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Document.xml" ContentType="application/vnd.openxmlformats-officedocument.wordprocessingml.commentsExtensible+xml"/>
  <Override PartName="/word/commentsDocument.xml" ContentType="application/vnd.openxmlformats-officedocument.wordprocessingml.comments+xml"/>
  <Override PartName="/word/commentsIdsDocument.xml" ContentType="application/vnd.openxmlformats-officedocument.wordprocessingml.commentsIds+xml"/>
  <Override PartName="/word/commentsExtendedDocument.xml" ContentType="application/vnd.openxmlformats-officedocument.wordprocessingml.commentsExtended+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5C95B" w14:textId="77777777" w:rsidR="006B113F" w:rsidRDefault="006B113F">
      <w:pPr>
        <w:widowControl w:val="0"/>
        <w:spacing w:line="240" w:lineRule="auto"/>
        <w:jc w:val="center"/>
        <w:rPr>
          <w:rFonts w:ascii="Times New Roman" w:eastAsia="Times New Roman" w:hAnsi="Times New Roman" w:cs="Times New Roman"/>
          <w:color w:val="333333"/>
          <w:sz w:val="28"/>
          <w:szCs w:val="28"/>
        </w:rPr>
      </w:pPr>
    </w:p>
    <w:p w14:paraId="01AA95E8" w14:textId="77777777" w:rsidR="006B113F" w:rsidRDefault="00000000">
      <w:pPr>
        <w:widowControl w:val="0"/>
        <w:spacing w:after="120" w:line="240" w:lineRule="auto"/>
        <w:jc w:val="center"/>
        <w:rPr>
          <w:rFonts w:ascii="Calibri" w:eastAsia="Calibri" w:hAnsi="Calibri" w:cs="Calibri"/>
          <w:b/>
          <w:color w:val="003560"/>
          <w:sz w:val="40"/>
          <w:szCs w:val="40"/>
        </w:rPr>
      </w:pPr>
      <w:r>
        <w:rPr>
          <w:rFonts w:ascii="Calibri" w:eastAsia="Calibri" w:hAnsi="Calibri" w:cs="Calibri"/>
          <w:b/>
          <w:color w:val="003560"/>
          <w:sz w:val="40"/>
          <w:szCs w:val="40"/>
        </w:rPr>
        <w:t>Partnership Agreement</w:t>
      </w:r>
    </w:p>
    <w:p w14:paraId="0845A3B3" w14:textId="77777777" w:rsidR="006B113F" w:rsidRDefault="00000000">
      <w:pPr>
        <w:widowControl w:val="0"/>
        <w:spacing w:line="360" w:lineRule="auto"/>
        <w:ind w:left="460" w:hanging="360"/>
        <w:jc w:val="center"/>
        <w:rPr>
          <w:rFonts w:ascii="Calibri" w:eastAsia="Calibri" w:hAnsi="Calibri" w:cs="Calibri"/>
          <w:sz w:val="36"/>
          <w:szCs w:val="36"/>
        </w:rPr>
      </w:pPr>
      <w:bookmarkStart w:id="0" w:name="_30j0zll"/>
      <w:bookmarkEnd w:id="0"/>
      <w:r>
        <w:rPr>
          <w:rFonts w:ascii="Calibri" w:eastAsia="Calibri" w:hAnsi="Calibri" w:cs="Calibri"/>
          <w:sz w:val="36"/>
          <w:szCs w:val="36"/>
        </w:rPr>
        <w:t>for the Joint Master Degree Programme</w:t>
      </w:r>
    </w:p>
    <w:p w14:paraId="5D273239" w14:textId="51B09D2D" w:rsidR="006B113F" w:rsidRDefault="006B113F">
      <w:pPr>
        <w:widowControl w:val="0"/>
        <w:spacing w:after="120" w:line="240" w:lineRule="auto"/>
        <w:ind w:left="425"/>
        <w:jc w:val="center"/>
        <w:rPr>
          <w:rFonts w:ascii="Calibri" w:eastAsia="Calibri" w:hAnsi="Calibri" w:cs="Calibri"/>
          <w:b/>
          <w:bCs/>
          <w:color w:val="C00000"/>
          <w:sz w:val="44"/>
          <w:szCs w:val="44"/>
        </w:rPr>
      </w:pPr>
    </w:p>
    <w:p w14:paraId="43BEA16E" w14:textId="77777777" w:rsidR="006B113F" w:rsidRDefault="00000000">
      <w:pPr>
        <w:widowControl w:val="0"/>
        <w:spacing w:line="240" w:lineRule="auto"/>
        <w:jc w:val="center"/>
        <w:rPr>
          <w:rFonts w:ascii="Calibri" w:eastAsia="Calibri" w:hAnsi="Calibri" w:cs="Calibri"/>
          <w:sz w:val="36"/>
          <w:szCs w:val="36"/>
        </w:rPr>
      </w:pPr>
      <w:r>
        <w:rPr>
          <w:rFonts w:ascii="Calibri" w:eastAsia="Calibri" w:hAnsi="Calibri" w:cs="Calibri"/>
          <w:sz w:val="36"/>
          <w:szCs w:val="36"/>
        </w:rPr>
        <w:t>jointly delivered by:</w:t>
      </w:r>
    </w:p>
    <w:p w14:paraId="0343C1F2" w14:textId="77777777" w:rsidR="006B113F" w:rsidRDefault="006B113F">
      <w:pPr>
        <w:widowControl w:val="0"/>
        <w:spacing w:line="240" w:lineRule="auto"/>
        <w:jc w:val="center"/>
        <w:rPr>
          <w:rFonts w:ascii="Calibri" w:eastAsia="Calibri" w:hAnsi="Calibri" w:cs="Calibri"/>
          <w:sz w:val="28"/>
          <w:szCs w:val="28"/>
        </w:rPr>
      </w:pPr>
    </w:p>
    <w:p w14:paraId="69309F16" w14:textId="77777777" w:rsidR="006B113F" w:rsidRDefault="00000000">
      <w:pPr>
        <w:widowControl w:val="0"/>
        <w:spacing w:line="240" w:lineRule="auto"/>
        <w:rPr>
          <w:rFonts w:ascii="Calibri" w:eastAsia="Calibri" w:hAnsi="Calibri" w:cs="Calibri"/>
          <w:b/>
          <w:sz w:val="24"/>
          <w:szCs w:val="24"/>
        </w:rPr>
      </w:pPr>
      <w:r>
        <w:br w:type="page" w:clear="all"/>
      </w:r>
      <w:r>
        <w:rPr>
          <w:rFonts w:ascii="Calibri" w:eastAsia="Calibri" w:hAnsi="Calibri" w:cs="Calibri"/>
          <w:b/>
          <w:sz w:val="28"/>
          <w:szCs w:val="28"/>
        </w:rPr>
        <w:lastRenderedPageBreak/>
        <w:t>Table of Contents</w:t>
      </w:r>
    </w:p>
    <w:p w14:paraId="09540E87" w14:textId="77777777" w:rsidR="006B113F" w:rsidRDefault="006B113F">
      <w:pPr>
        <w:widowControl w:val="0"/>
        <w:spacing w:line="240" w:lineRule="auto"/>
        <w:ind w:left="101"/>
        <w:rPr>
          <w:rFonts w:ascii="Cambria" w:eastAsia="Cambria" w:hAnsi="Cambria" w:cs="Cambria"/>
          <w:sz w:val="2"/>
          <w:szCs w:val="2"/>
        </w:rPr>
      </w:pPr>
    </w:p>
    <w:sdt>
      <w:sdtPr>
        <w:id w:val="-1834059428"/>
        <w:docPartObj>
          <w:docPartGallery w:val="Table of Contents"/>
          <w:docPartUnique/>
        </w:docPartObj>
      </w:sdtPr>
      <w:sdtContent>
        <w:p w14:paraId="78BDFB00" w14:textId="77777777" w:rsidR="006B113F" w:rsidRDefault="006B113F">
          <w:pPr>
            <w:pStyle w:val="Verzeichnis1"/>
            <w:tabs>
              <w:tab w:val="left" w:pos="1100"/>
            </w:tabs>
            <w:spacing w:line="240" w:lineRule="auto"/>
          </w:pPr>
        </w:p>
        <w:p w14:paraId="2B53246A"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r>
            <w:fldChar w:fldCharType="begin"/>
          </w:r>
          <w:r>
            <w:instrText xml:space="preserve"> TOC \h \u \z </w:instrText>
          </w:r>
          <w:r>
            <w:fldChar w:fldCharType="separate"/>
          </w:r>
          <w:hyperlink w:anchor="_Toc141279948" w:tooltip="#_Toc141279948" w:history="1">
            <w:r>
              <w:rPr>
                <w:rStyle w:val="Hyperlink"/>
                <w:rFonts w:asciiTheme="majorHAnsi" w:eastAsia="Calibri" w:hAnsiTheme="majorHAnsi" w:cstheme="majorHAnsi"/>
                <w:b/>
              </w:rPr>
              <w:t>Article 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Purpose of this Agreement</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_Toc141279948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4</w:t>
            </w:r>
            <w:r>
              <w:rPr>
                <w:rFonts w:asciiTheme="majorHAnsi" w:hAnsiTheme="majorHAnsi" w:cstheme="majorHAnsi"/>
              </w:rPr>
              <w:fldChar w:fldCharType="end"/>
            </w:r>
          </w:hyperlink>
        </w:p>
        <w:p w14:paraId="2FA8C243"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49" w:tooltip="#_Toc141279949" w:history="1">
            <w:r>
              <w:rPr>
                <w:rStyle w:val="Hyperlink"/>
                <w:rFonts w:asciiTheme="majorHAnsi" w:eastAsia="Calibri" w:hAnsiTheme="majorHAnsi" w:cstheme="majorHAnsi"/>
                <w:b/>
              </w:rPr>
              <w:t>Article 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Parties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_Toc141279949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4</w:t>
            </w:r>
            <w:r>
              <w:rPr>
                <w:rFonts w:asciiTheme="majorHAnsi" w:hAnsiTheme="majorHAnsi" w:cstheme="majorHAnsi"/>
              </w:rPr>
              <w:fldChar w:fldCharType="end"/>
            </w:r>
          </w:hyperlink>
        </w:p>
        <w:p w14:paraId="78315050"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50" w:tooltip="#_Toc141279950" w:history="1">
            <w:r>
              <w:rPr>
                <w:rStyle w:val="Hyperlink"/>
                <w:rFonts w:asciiTheme="majorHAnsi" w:eastAsia="Calibri" w:hAnsiTheme="majorHAnsi" w:cstheme="majorHAnsi"/>
                <w:b/>
              </w:rPr>
              <w:t>Article 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Legal Framework</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_Toc141279950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5</w:t>
            </w:r>
            <w:r>
              <w:rPr>
                <w:rFonts w:asciiTheme="majorHAnsi" w:hAnsiTheme="majorHAnsi" w:cstheme="majorHAnsi"/>
              </w:rPr>
              <w:fldChar w:fldCharType="end"/>
            </w:r>
          </w:hyperlink>
        </w:p>
        <w:p w14:paraId="16E31450"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51" w:tooltip="#_Toc141279951" w:history="1">
            <w:r>
              <w:rPr>
                <w:rStyle w:val="Hyperlink"/>
                <w:rFonts w:asciiTheme="majorHAnsi" w:eastAsia="Calibri" w:hAnsiTheme="majorHAnsi" w:cstheme="majorHAnsi"/>
                <w:b/>
              </w:rPr>
              <w:t>Article 4</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Programme Governance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_Toc141279951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7</w:t>
            </w:r>
            <w:r>
              <w:rPr>
                <w:rFonts w:asciiTheme="majorHAnsi" w:hAnsiTheme="majorHAnsi" w:cstheme="majorHAnsi"/>
              </w:rPr>
              <w:fldChar w:fldCharType="end"/>
            </w:r>
          </w:hyperlink>
        </w:p>
        <w:p w14:paraId="208EEF4C"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52" w:tooltip="#_Toc141279952" w:history="1">
            <w:r>
              <w:rPr>
                <w:rStyle w:val="Hyperlink"/>
                <w:rFonts w:asciiTheme="majorHAnsi" w:eastAsia="Cambria" w:hAnsiTheme="majorHAnsi" w:cstheme="majorHAnsi"/>
                <w:b/>
              </w:rPr>
              <w:t>4.1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Definition of Roles and Duties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_Toc141279952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7</w:t>
            </w:r>
            <w:r>
              <w:rPr>
                <w:rFonts w:asciiTheme="majorHAnsi" w:hAnsiTheme="majorHAnsi" w:cstheme="majorHAnsi"/>
              </w:rPr>
              <w:fldChar w:fldCharType="end"/>
            </w:r>
          </w:hyperlink>
        </w:p>
        <w:p w14:paraId="267EECDC" w14:textId="5D4CF53A"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53" w:tooltip="#_Toc141279953" w:history="1">
            <w:r>
              <w:rPr>
                <w:rStyle w:val="Hyperlink"/>
                <w:rFonts w:asciiTheme="majorHAnsi" w:eastAsia="Cambria" w:hAnsiTheme="majorHAnsi" w:cstheme="majorHAnsi"/>
                <w:b/>
              </w:rPr>
              <w:t>4.2</w:t>
            </w:r>
            <w:r>
              <w:rPr>
                <w:rFonts w:asciiTheme="majorHAnsi" w:eastAsiaTheme="minorEastAsia" w:hAnsiTheme="majorHAnsi" w:cstheme="majorHAnsi"/>
                <w:lang w:val="de-DE"/>
                <w14:ligatures w14:val="standardContextual"/>
              </w:rPr>
              <w:tab/>
            </w:r>
            <w:r w:rsidR="00B270F7">
              <w:rPr>
                <w:rStyle w:val="Hyperlink"/>
                <w:rFonts w:asciiTheme="majorHAnsi" w:eastAsia="Calibri" w:hAnsiTheme="majorHAnsi" w:cstheme="majorHAnsi"/>
                <w:b/>
              </w:rPr>
              <w:t>XX</w:t>
            </w:r>
            <w:r>
              <w:rPr>
                <w:rStyle w:val="Hyperlink"/>
                <w:rFonts w:asciiTheme="majorHAnsi" w:eastAsia="Calibri" w:hAnsiTheme="majorHAnsi" w:cstheme="majorHAnsi"/>
                <w:b/>
              </w:rPr>
              <w:t xml:space="preserve"> Governance Structure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_Toc141279953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9</w:t>
            </w:r>
            <w:r>
              <w:rPr>
                <w:rFonts w:asciiTheme="majorHAnsi" w:hAnsiTheme="majorHAnsi" w:cstheme="majorHAnsi"/>
              </w:rPr>
              <w:fldChar w:fldCharType="end"/>
            </w:r>
          </w:hyperlink>
        </w:p>
        <w:p w14:paraId="6E517AE0" w14:textId="05A90ED5" w:rsidR="006B113F" w:rsidRDefault="00000000">
          <w:pPr>
            <w:pStyle w:val="Verzeichnis3"/>
            <w:tabs>
              <w:tab w:val="left" w:pos="1276"/>
            </w:tabs>
            <w:spacing w:line="240" w:lineRule="auto"/>
            <w:rPr>
              <w:rFonts w:asciiTheme="majorHAnsi" w:eastAsiaTheme="minorEastAsia" w:hAnsiTheme="majorHAnsi" w:cstheme="majorHAnsi"/>
              <w:lang w:val="de-DE"/>
              <w14:ligatures w14:val="standardContextual"/>
            </w:rPr>
          </w:pPr>
          <w:hyperlink w:anchor="_Toc141279954" w:tooltip="#_Toc141279954" w:history="1">
            <w:r>
              <w:rPr>
                <w:rStyle w:val="Hyperlink"/>
                <w:rFonts w:asciiTheme="majorHAnsi" w:eastAsia="Cambria" w:hAnsiTheme="majorHAnsi" w:cstheme="majorHAnsi"/>
                <w:b/>
              </w:rPr>
              <w:t>4.2.1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 xml:space="preserve">Joint Governing Bodies in </w:t>
            </w:r>
            <w:r w:rsidR="00B270F7">
              <w:rPr>
                <w:rStyle w:val="Hyperlink"/>
                <w:rFonts w:asciiTheme="majorHAnsi" w:eastAsia="Calibri" w:hAnsiTheme="majorHAnsi" w:cstheme="majorHAnsi"/>
                <w:b/>
              </w:rPr>
              <w:t>XX</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_Toc141279954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9</w:t>
            </w:r>
            <w:r>
              <w:rPr>
                <w:rFonts w:asciiTheme="majorHAnsi" w:hAnsiTheme="majorHAnsi" w:cstheme="majorHAnsi"/>
              </w:rPr>
              <w:fldChar w:fldCharType="end"/>
            </w:r>
          </w:hyperlink>
        </w:p>
        <w:p w14:paraId="46E3E41A" w14:textId="4D2284A5" w:rsidR="006B113F" w:rsidRDefault="00000000">
          <w:pPr>
            <w:pStyle w:val="Verzeichnis3"/>
            <w:tabs>
              <w:tab w:val="left" w:pos="1276"/>
            </w:tabs>
            <w:spacing w:line="240" w:lineRule="auto"/>
            <w:rPr>
              <w:rFonts w:asciiTheme="majorHAnsi" w:eastAsiaTheme="minorEastAsia" w:hAnsiTheme="majorHAnsi" w:cstheme="majorHAnsi"/>
              <w:lang w:val="de-DE"/>
              <w14:ligatures w14:val="standardContextual"/>
            </w:rPr>
          </w:pPr>
          <w:hyperlink w:anchor="_Toc141279955" w:tooltip="#_Toc141279955" w:history="1">
            <w:r>
              <w:rPr>
                <w:rStyle w:val="Hyperlink"/>
                <w:rFonts w:asciiTheme="majorHAnsi" w:eastAsia="Cambria" w:hAnsiTheme="majorHAnsi" w:cstheme="majorHAnsi"/>
                <w:b/>
                <w:highlight w:val="white"/>
              </w:rPr>
              <w:t>4.2.2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highlight w:val="white"/>
              </w:rPr>
              <w:t xml:space="preserve">Terms of Mandate and main Rules of Procedure of the </w:t>
            </w:r>
            <w:r w:rsidR="00B270F7">
              <w:rPr>
                <w:rStyle w:val="Hyperlink"/>
                <w:rFonts w:asciiTheme="majorHAnsi" w:eastAsia="Calibri" w:hAnsiTheme="majorHAnsi" w:cstheme="majorHAnsi"/>
                <w:b/>
                <w:highlight w:val="white"/>
              </w:rPr>
              <w:t>XX</w:t>
            </w:r>
            <w:r>
              <w:rPr>
                <w:rStyle w:val="Hyperlink"/>
                <w:rFonts w:asciiTheme="majorHAnsi" w:eastAsia="Calibri" w:hAnsiTheme="majorHAnsi" w:cstheme="majorHAnsi"/>
                <w:b/>
                <w:highlight w:val="white"/>
              </w:rPr>
              <w:t xml:space="preserve"> Governing Bodies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_Toc141279955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10</w:t>
            </w:r>
            <w:r>
              <w:rPr>
                <w:rFonts w:asciiTheme="majorHAnsi" w:hAnsiTheme="majorHAnsi" w:cstheme="majorHAnsi"/>
              </w:rPr>
              <w:fldChar w:fldCharType="end"/>
            </w:r>
          </w:hyperlink>
        </w:p>
        <w:p w14:paraId="2FB295AF"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56" w:tooltip="#_Toc141279956" w:history="1">
            <w:r>
              <w:rPr>
                <w:rStyle w:val="Hyperlink"/>
                <w:rFonts w:asciiTheme="majorHAnsi" w:eastAsia="Cambria" w:hAnsiTheme="majorHAnsi" w:cstheme="majorHAnsi"/>
                <w:b/>
              </w:rPr>
              <w:t>4.3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Distribution of Responsibilities per Partner University</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_Toc141279956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10</w:t>
            </w:r>
            <w:r>
              <w:rPr>
                <w:rFonts w:asciiTheme="majorHAnsi" w:hAnsiTheme="majorHAnsi" w:cstheme="majorHAnsi"/>
              </w:rPr>
              <w:fldChar w:fldCharType="end"/>
            </w:r>
          </w:hyperlink>
        </w:p>
        <w:p w14:paraId="7125250D"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57" w:tooltip="#_Toc141279957" w:history="1">
            <w:r>
              <w:rPr>
                <w:rStyle w:val="Hyperlink"/>
                <w:rFonts w:asciiTheme="majorHAnsi" w:eastAsia="Calibri" w:hAnsiTheme="majorHAnsi" w:cstheme="majorHAnsi"/>
                <w:b/>
              </w:rPr>
              <w:t>Article 5</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Degree Programme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_Toc141279957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11</w:t>
            </w:r>
            <w:r>
              <w:rPr>
                <w:rFonts w:asciiTheme="majorHAnsi" w:hAnsiTheme="majorHAnsi" w:cstheme="majorHAnsi"/>
              </w:rPr>
              <w:fldChar w:fldCharType="end"/>
            </w:r>
          </w:hyperlink>
        </w:p>
        <w:p w14:paraId="390B52B1"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58" w:tooltip="#_Toc141279958" w:history="1">
            <w:r>
              <w:rPr>
                <w:rStyle w:val="Hyperlink"/>
                <w:rFonts w:asciiTheme="majorHAnsi" w:eastAsia="Cambria" w:hAnsiTheme="majorHAnsi" w:cstheme="majorHAnsi"/>
                <w:b/>
              </w:rPr>
              <w:t>5.1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Rationale of the Academic Programme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_Toc141279958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11</w:t>
            </w:r>
            <w:r>
              <w:rPr>
                <w:rFonts w:asciiTheme="majorHAnsi" w:hAnsiTheme="majorHAnsi" w:cstheme="majorHAnsi"/>
              </w:rPr>
              <w:fldChar w:fldCharType="end"/>
            </w:r>
          </w:hyperlink>
        </w:p>
        <w:p w14:paraId="02702A98"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59" w:tooltip="#_Toc141279959" w:history="1">
            <w:r>
              <w:rPr>
                <w:rStyle w:val="Hyperlink"/>
                <w:rFonts w:asciiTheme="majorHAnsi" w:eastAsia="Cambria" w:hAnsiTheme="majorHAnsi" w:cstheme="majorHAnsi"/>
                <w:b/>
              </w:rPr>
              <w:t>5.2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Semester Structure and Mobility Paths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_Toc141279959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11</w:t>
            </w:r>
            <w:r>
              <w:rPr>
                <w:rFonts w:asciiTheme="majorHAnsi" w:hAnsiTheme="majorHAnsi" w:cstheme="majorHAnsi"/>
              </w:rPr>
              <w:fldChar w:fldCharType="end"/>
            </w:r>
          </w:hyperlink>
        </w:p>
        <w:p w14:paraId="241EB7FA"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60" w:tooltip="#_Toc141279960" w:history="1">
            <w:r>
              <w:rPr>
                <w:rStyle w:val="Hyperlink"/>
                <w:rFonts w:asciiTheme="majorHAnsi" w:eastAsia="Cambria" w:hAnsiTheme="majorHAnsi" w:cstheme="majorHAnsi"/>
                <w:b/>
              </w:rPr>
              <w:t>5.3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highlight w:val="white"/>
              </w:rPr>
              <w:t>Thesis Semester</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_Toc141279960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13</w:t>
            </w:r>
            <w:r>
              <w:rPr>
                <w:rFonts w:asciiTheme="majorHAnsi" w:hAnsiTheme="majorHAnsi" w:cstheme="majorHAnsi"/>
              </w:rPr>
              <w:fldChar w:fldCharType="end"/>
            </w:r>
          </w:hyperlink>
        </w:p>
        <w:p w14:paraId="4984B27C"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61" w:tooltip="#_Toc141279961" w:history="1">
            <w:r>
              <w:rPr>
                <w:rStyle w:val="Hyperlink"/>
                <w:rFonts w:asciiTheme="majorHAnsi" w:eastAsia="Calibri" w:hAnsiTheme="majorHAnsi" w:cstheme="majorHAnsi"/>
                <w:b/>
              </w:rPr>
              <w:t>Article 6</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Student Administration</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_Toc141279961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14</w:t>
            </w:r>
            <w:r>
              <w:rPr>
                <w:rFonts w:asciiTheme="majorHAnsi" w:hAnsiTheme="majorHAnsi" w:cstheme="majorHAnsi"/>
              </w:rPr>
              <w:fldChar w:fldCharType="end"/>
            </w:r>
          </w:hyperlink>
        </w:p>
        <w:p w14:paraId="02C02687"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62" w:tooltip="#_Toc141279962" w:history="1">
            <w:r>
              <w:rPr>
                <w:rStyle w:val="Hyperlink"/>
                <w:rFonts w:asciiTheme="majorHAnsi" w:eastAsia="Cambria" w:hAnsiTheme="majorHAnsi" w:cstheme="majorHAnsi"/>
                <w:b/>
              </w:rPr>
              <w:t>6.1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Student Application, Selection, and Enrolment</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_Toc141279962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14</w:t>
            </w:r>
            <w:r>
              <w:rPr>
                <w:rFonts w:asciiTheme="majorHAnsi" w:hAnsiTheme="majorHAnsi" w:cstheme="majorHAnsi"/>
              </w:rPr>
              <w:fldChar w:fldCharType="end"/>
            </w:r>
          </w:hyperlink>
        </w:p>
        <w:p w14:paraId="2092B69A" w14:textId="77777777" w:rsidR="006B113F" w:rsidRDefault="00000000">
          <w:pPr>
            <w:pStyle w:val="Verzeichnis3"/>
            <w:tabs>
              <w:tab w:val="left" w:pos="1276"/>
            </w:tabs>
            <w:spacing w:line="240" w:lineRule="auto"/>
            <w:rPr>
              <w:rFonts w:asciiTheme="majorHAnsi" w:eastAsiaTheme="minorEastAsia" w:hAnsiTheme="majorHAnsi" w:cstheme="majorHAnsi"/>
              <w:lang w:val="de-DE"/>
              <w14:ligatures w14:val="standardContextual"/>
            </w:rPr>
          </w:pPr>
          <w:hyperlink w:anchor="_Toc141279963" w:tooltip="#_Toc141279963" w:history="1">
            <w:r>
              <w:rPr>
                <w:rStyle w:val="Hyperlink"/>
                <w:rFonts w:asciiTheme="majorHAnsi" w:eastAsia="Cambria" w:hAnsiTheme="majorHAnsi" w:cstheme="majorHAnsi"/>
                <w:b/>
              </w:rPr>
              <w:t>6.1.1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Application</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_Toc141279963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14</w:t>
            </w:r>
            <w:r>
              <w:rPr>
                <w:rFonts w:asciiTheme="majorHAnsi" w:hAnsiTheme="majorHAnsi" w:cstheme="majorHAnsi"/>
              </w:rPr>
              <w:fldChar w:fldCharType="end"/>
            </w:r>
          </w:hyperlink>
        </w:p>
        <w:p w14:paraId="3773F635" w14:textId="77777777" w:rsidR="006B113F" w:rsidRDefault="00000000">
          <w:pPr>
            <w:pStyle w:val="Verzeichnis3"/>
            <w:tabs>
              <w:tab w:val="left" w:pos="1276"/>
            </w:tabs>
            <w:spacing w:line="240" w:lineRule="auto"/>
            <w:rPr>
              <w:rFonts w:asciiTheme="majorHAnsi" w:eastAsiaTheme="minorEastAsia" w:hAnsiTheme="majorHAnsi" w:cstheme="majorHAnsi"/>
              <w:lang w:val="de-DE"/>
              <w14:ligatures w14:val="standardContextual"/>
            </w:rPr>
          </w:pPr>
          <w:hyperlink w:anchor="_Toc141279964" w:tooltip="#_Toc141279964" w:history="1">
            <w:r>
              <w:rPr>
                <w:rStyle w:val="Hyperlink"/>
                <w:rFonts w:asciiTheme="majorHAnsi" w:eastAsia="Cambria" w:hAnsiTheme="majorHAnsi" w:cstheme="majorHAnsi"/>
                <w:b/>
              </w:rPr>
              <w:t>6.1.2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Selection and Admission</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_Toc141279964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14</w:t>
            </w:r>
            <w:r>
              <w:rPr>
                <w:rFonts w:asciiTheme="majorHAnsi" w:hAnsiTheme="majorHAnsi" w:cstheme="majorHAnsi"/>
              </w:rPr>
              <w:fldChar w:fldCharType="end"/>
            </w:r>
          </w:hyperlink>
        </w:p>
        <w:p w14:paraId="76B92BF0" w14:textId="77777777" w:rsidR="006B113F" w:rsidRDefault="00000000">
          <w:pPr>
            <w:pStyle w:val="Verzeichnis3"/>
            <w:tabs>
              <w:tab w:val="left" w:pos="1276"/>
            </w:tabs>
            <w:spacing w:line="240" w:lineRule="auto"/>
            <w:rPr>
              <w:rFonts w:asciiTheme="majorHAnsi" w:eastAsiaTheme="minorEastAsia" w:hAnsiTheme="majorHAnsi" w:cstheme="majorHAnsi"/>
              <w:lang w:val="de-DE"/>
              <w14:ligatures w14:val="standardContextual"/>
            </w:rPr>
          </w:pPr>
          <w:hyperlink w:anchor="_Toc141279965" w:tooltip="#_Toc141279965" w:history="1">
            <w:r>
              <w:rPr>
                <w:rStyle w:val="Hyperlink"/>
                <w:rFonts w:asciiTheme="majorHAnsi" w:eastAsia="Cambria" w:hAnsiTheme="majorHAnsi" w:cstheme="majorHAnsi"/>
                <w:b/>
              </w:rPr>
              <w:t>6.1.3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Registration and Enrolment</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_Toc141279965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15</w:t>
            </w:r>
            <w:r>
              <w:rPr>
                <w:rFonts w:asciiTheme="majorHAnsi" w:hAnsiTheme="majorHAnsi" w:cstheme="majorHAnsi"/>
              </w:rPr>
              <w:fldChar w:fldCharType="end"/>
            </w:r>
          </w:hyperlink>
        </w:p>
        <w:p w14:paraId="38D78A7A"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66" w:tooltip="#_Toc141279966" w:history="1">
            <w:r>
              <w:rPr>
                <w:rStyle w:val="Hyperlink"/>
                <w:rFonts w:asciiTheme="majorHAnsi" w:eastAsia="Cambria" w:hAnsiTheme="majorHAnsi" w:cstheme="majorHAnsi"/>
                <w:b/>
              </w:rPr>
              <w:t>6.2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EMJM Scholarship Management</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_Toc141279966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15</w:t>
            </w:r>
            <w:r>
              <w:rPr>
                <w:rFonts w:asciiTheme="majorHAnsi" w:hAnsiTheme="majorHAnsi" w:cstheme="majorHAnsi"/>
              </w:rPr>
              <w:fldChar w:fldCharType="end"/>
            </w:r>
          </w:hyperlink>
        </w:p>
        <w:p w14:paraId="3FE84090"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67" w:tooltip="#_Toc141279967" w:history="1">
            <w:r>
              <w:rPr>
                <w:rStyle w:val="Hyperlink"/>
                <w:rFonts w:asciiTheme="majorHAnsi" w:eastAsia="Cambria" w:hAnsiTheme="majorHAnsi" w:cstheme="majorHAnsi"/>
                <w:b/>
              </w:rPr>
              <w:t>6.3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Performance Monitoring</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_Toc141279967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16</w:t>
            </w:r>
            <w:r>
              <w:rPr>
                <w:rFonts w:asciiTheme="majorHAnsi" w:hAnsiTheme="majorHAnsi" w:cstheme="majorHAnsi"/>
              </w:rPr>
              <w:fldChar w:fldCharType="end"/>
            </w:r>
          </w:hyperlink>
        </w:p>
        <w:p w14:paraId="4C01B0C6" w14:textId="77777777" w:rsidR="006B113F" w:rsidRDefault="00000000">
          <w:pPr>
            <w:pStyle w:val="Verzeichnis3"/>
            <w:tabs>
              <w:tab w:val="left" w:pos="1276"/>
            </w:tabs>
            <w:spacing w:line="240" w:lineRule="auto"/>
            <w:rPr>
              <w:rFonts w:asciiTheme="majorHAnsi" w:eastAsiaTheme="minorEastAsia" w:hAnsiTheme="majorHAnsi" w:cstheme="majorHAnsi"/>
              <w:lang w:val="de-DE"/>
              <w14:ligatures w14:val="standardContextual"/>
            </w:rPr>
          </w:pPr>
          <w:hyperlink w:anchor="_Toc141279968" w:tooltip="#_Toc141279968" w:history="1">
            <w:r>
              <w:rPr>
                <w:rStyle w:val="Hyperlink"/>
                <w:rFonts w:asciiTheme="majorHAnsi" w:eastAsia="Cambria" w:hAnsiTheme="majorHAnsi" w:cstheme="majorHAnsi"/>
                <w:b/>
              </w:rPr>
              <w:t>6.3.1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Examination of Students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_Toc141279968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16</w:t>
            </w:r>
            <w:r>
              <w:rPr>
                <w:rFonts w:asciiTheme="majorHAnsi" w:hAnsiTheme="majorHAnsi" w:cstheme="majorHAnsi"/>
              </w:rPr>
              <w:fldChar w:fldCharType="end"/>
            </w:r>
          </w:hyperlink>
        </w:p>
        <w:p w14:paraId="77E77B4F" w14:textId="77777777" w:rsidR="006B113F" w:rsidRDefault="00000000">
          <w:pPr>
            <w:pStyle w:val="Verzeichnis3"/>
            <w:tabs>
              <w:tab w:val="left" w:pos="1276"/>
            </w:tabs>
            <w:spacing w:line="240" w:lineRule="auto"/>
            <w:rPr>
              <w:rFonts w:asciiTheme="majorHAnsi" w:eastAsiaTheme="minorEastAsia" w:hAnsiTheme="majorHAnsi" w:cstheme="majorHAnsi"/>
              <w:lang w:val="de-DE"/>
              <w14:ligatures w14:val="standardContextual"/>
            </w:rPr>
          </w:pPr>
          <w:hyperlink w:anchor="_Toc141279969" w:tooltip="#_Toc141279969" w:history="1">
            <w:r>
              <w:rPr>
                <w:rStyle w:val="Hyperlink"/>
                <w:rFonts w:asciiTheme="majorHAnsi" w:eastAsia="Cambria" w:hAnsiTheme="majorHAnsi" w:cstheme="majorHAnsi"/>
                <w:b/>
              </w:rPr>
              <w:t>6.3.2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Student Records, Data Security, and Personal Data Protection</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_Toc141279969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16</w:t>
            </w:r>
            <w:r>
              <w:rPr>
                <w:rFonts w:asciiTheme="majorHAnsi" w:hAnsiTheme="majorHAnsi" w:cstheme="majorHAnsi"/>
              </w:rPr>
              <w:fldChar w:fldCharType="end"/>
            </w:r>
          </w:hyperlink>
        </w:p>
        <w:p w14:paraId="06728EAC" w14:textId="12451FF0"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70" w:tooltip="#_Toc141279970" w:history="1">
            <w:r>
              <w:rPr>
                <w:rStyle w:val="Hyperlink"/>
                <w:rFonts w:asciiTheme="majorHAnsi" w:eastAsia="Cambria" w:hAnsiTheme="majorHAnsi" w:cstheme="majorHAnsi"/>
                <w:b/>
                <w:bCs/>
                <w:highlight w:val="white"/>
              </w:rPr>
              <w:t>6.4</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bCs/>
              </w:rPr>
              <w:t xml:space="preserve">Joint Degree Award, Diploma Supplement and Joint </w:t>
            </w:r>
            <w:r w:rsidR="00B270F7">
              <w:rPr>
                <w:rStyle w:val="Hyperlink"/>
                <w:rFonts w:asciiTheme="majorHAnsi" w:eastAsia="Calibri" w:hAnsiTheme="majorHAnsi" w:cstheme="majorHAnsi"/>
                <w:b/>
                <w:bCs/>
              </w:rPr>
              <w:t>XX</w:t>
            </w:r>
            <w:r>
              <w:rPr>
                <w:rStyle w:val="Hyperlink"/>
                <w:rFonts w:asciiTheme="majorHAnsi" w:eastAsia="Calibri" w:hAnsiTheme="majorHAnsi" w:cstheme="majorHAnsi"/>
                <w:b/>
                <w:bCs/>
              </w:rPr>
              <w:t xml:space="preserve"> Certificate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_Toc141279970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17</w:t>
            </w:r>
            <w:r>
              <w:rPr>
                <w:rFonts w:asciiTheme="majorHAnsi" w:hAnsiTheme="majorHAnsi" w:cstheme="majorHAnsi"/>
              </w:rPr>
              <w:fldChar w:fldCharType="end"/>
            </w:r>
          </w:hyperlink>
        </w:p>
        <w:p w14:paraId="73D81175"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71" w:tooltip="#_Toc141279971" w:history="1">
            <w:r>
              <w:rPr>
                <w:rStyle w:val="Hyperlink"/>
                <w:rFonts w:asciiTheme="majorHAnsi" w:eastAsia="Cambria" w:hAnsiTheme="majorHAnsi" w:cstheme="majorHAnsi"/>
                <w:b/>
              </w:rPr>
              <w:t>6.5</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Services for Students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_Toc141279971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18</w:t>
            </w:r>
            <w:r>
              <w:rPr>
                <w:rFonts w:asciiTheme="majorHAnsi" w:hAnsiTheme="majorHAnsi" w:cstheme="majorHAnsi"/>
              </w:rPr>
              <w:fldChar w:fldCharType="end"/>
            </w:r>
          </w:hyperlink>
        </w:p>
        <w:p w14:paraId="43229F74"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72" w:tooltip="#_Toc141279972" w:history="1">
            <w:r>
              <w:rPr>
                <w:rStyle w:val="Hyperlink"/>
                <w:rFonts w:asciiTheme="majorHAnsi" w:eastAsia="Cambria" w:hAnsiTheme="majorHAnsi" w:cstheme="majorHAnsi"/>
                <w:b/>
              </w:rPr>
              <w:t>6.6</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Students’ Rights and Responsibilities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_Toc141279972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19</w:t>
            </w:r>
            <w:r>
              <w:rPr>
                <w:rFonts w:asciiTheme="majorHAnsi" w:hAnsiTheme="majorHAnsi" w:cstheme="majorHAnsi"/>
              </w:rPr>
              <w:fldChar w:fldCharType="end"/>
            </w:r>
          </w:hyperlink>
        </w:p>
        <w:p w14:paraId="224BF8FD"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73" w:tooltip="#_Toc141279973" w:history="1">
            <w:r>
              <w:rPr>
                <w:rStyle w:val="Hyperlink"/>
                <w:rFonts w:asciiTheme="majorHAnsi" w:eastAsia="Calibri" w:hAnsiTheme="majorHAnsi" w:cstheme="majorHAnsi"/>
                <w:b/>
              </w:rPr>
              <w:t>Article 7</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Staff</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_Toc141279973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20</w:t>
            </w:r>
            <w:r>
              <w:rPr>
                <w:rFonts w:asciiTheme="majorHAnsi" w:hAnsiTheme="majorHAnsi" w:cstheme="majorHAnsi"/>
              </w:rPr>
              <w:fldChar w:fldCharType="end"/>
            </w:r>
          </w:hyperlink>
        </w:p>
        <w:p w14:paraId="579BBF33"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74" w:tooltip="#_Toc141279974" w:history="1">
            <w:r>
              <w:rPr>
                <w:rStyle w:val="Hyperlink"/>
                <w:rFonts w:asciiTheme="majorHAnsi" w:eastAsia="Cambria" w:hAnsiTheme="majorHAnsi" w:cstheme="majorHAnsi"/>
                <w:b/>
              </w:rPr>
              <w:t>7.1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Teaching and Administrative Staff</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_Toc141279974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20</w:t>
            </w:r>
            <w:r>
              <w:rPr>
                <w:rFonts w:asciiTheme="majorHAnsi" w:hAnsiTheme="majorHAnsi" w:cstheme="majorHAnsi"/>
              </w:rPr>
              <w:fldChar w:fldCharType="end"/>
            </w:r>
          </w:hyperlink>
        </w:p>
        <w:p w14:paraId="0D02F7B3"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75" w:tooltip="#_Toc141279975" w:history="1">
            <w:r>
              <w:rPr>
                <w:rStyle w:val="Hyperlink"/>
                <w:rFonts w:asciiTheme="majorHAnsi" w:eastAsia="Cambria" w:hAnsiTheme="majorHAnsi" w:cstheme="majorHAnsi"/>
                <w:b/>
              </w:rPr>
              <w:t>7.2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Staff Mobility</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_Toc141279975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20</w:t>
            </w:r>
            <w:r>
              <w:rPr>
                <w:rFonts w:asciiTheme="majorHAnsi" w:hAnsiTheme="majorHAnsi" w:cstheme="majorHAnsi"/>
              </w:rPr>
              <w:fldChar w:fldCharType="end"/>
            </w:r>
          </w:hyperlink>
        </w:p>
        <w:p w14:paraId="45E53E48"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76" w:tooltip="#_Toc141279976" w:history="1">
            <w:r>
              <w:rPr>
                <w:rStyle w:val="Hyperlink"/>
                <w:rFonts w:asciiTheme="majorHAnsi" w:eastAsia="Cambria" w:hAnsiTheme="majorHAnsi" w:cstheme="majorHAnsi"/>
                <w:b/>
              </w:rPr>
              <w:t>7.3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EMJM scholars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_Toc141279976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21</w:t>
            </w:r>
            <w:r>
              <w:rPr>
                <w:rFonts w:asciiTheme="majorHAnsi" w:hAnsiTheme="majorHAnsi" w:cstheme="majorHAnsi"/>
              </w:rPr>
              <w:fldChar w:fldCharType="end"/>
            </w:r>
          </w:hyperlink>
        </w:p>
        <w:p w14:paraId="0693291A"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77" w:tooltip="#_Toc141279977" w:history="1">
            <w:r>
              <w:rPr>
                <w:rStyle w:val="Hyperlink"/>
                <w:rFonts w:asciiTheme="majorHAnsi" w:eastAsia="Cambria" w:hAnsiTheme="majorHAnsi" w:cstheme="majorHAnsi"/>
                <w:b/>
              </w:rPr>
              <w:t>7.4</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Non-Educational Stakeholders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_Toc141279977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21</w:t>
            </w:r>
            <w:r>
              <w:rPr>
                <w:rFonts w:asciiTheme="majorHAnsi" w:hAnsiTheme="majorHAnsi" w:cstheme="majorHAnsi"/>
              </w:rPr>
              <w:fldChar w:fldCharType="end"/>
            </w:r>
          </w:hyperlink>
        </w:p>
        <w:p w14:paraId="569C6EDC"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78" w:tooltip="#_Toc141279978" w:history="1">
            <w:r>
              <w:rPr>
                <w:rStyle w:val="Hyperlink"/>
                <w:rFonts w:asciiTheme="majorHAnsi" w:eastAsia="Calibri" w:hAnsiTheme="majorHAnsi" w:cstheme="majorHAnsi"/>
                <w:b/>
              </w:rPr>
              <w:t>Article 8</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Quality Assurance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_Toc141279978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22</w:t>
            </w:r>
            <w:r>
              <w:rPr>
                <w:rFonts w:asciiTheme="majorHAnsi" w:hAnsiTheme="majorHAnsi" w:cstheme="majorHAnsi"/>
              </w:rPr>
              <w:fldChar w:fldCharType="end"/>
            </w:r>
          </w:hyperlink>
        </w:p>
        <w:p w14:paraId="4A55D267" w14:textId="350D71E1"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79" w:tooltip="#_Toc141279979" w:history="1">
            <w:r>
              <w:rPr>
                <w:rStyle w:val="Hyperlink"/>
                <w:rFonts w:asciiTheme="majorHAnsi" w:eastAsia="Calibri" w:hAnsiTheme="majorHAnsi" w:cstheme="majorHAnsi"/>
                <w:b/>
              </w:rPr>
              <w:t>Article 9</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 xml:space="preserve">Awareness-Raising and Promotion of </w:t>
            </w:r>
            <w:r w:rsidR="00B270F7">
              <w:rPr>
                <w:rStyle w:val="Hyperlink"/>
                <w:rFonts w:asciiTheme="majorHAnsi" w:eastAsia="Calibri" w:hAnsiTheme="majorHAnsi" w:cstheme="majorHAnsi"/>
                <w:b/>
              </w:rPr>
              <w:t>XX</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_Toc141279979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23</w:t>
            </w:r>
            <w:r>
              <w:rPr>
                <w:rFonts w:asciiTheme="majorHAnsi" w:hAnsiTheme="majorHAnsi" w:cstheme="majorHAnsi"/>
              </w:rPr>
              <w:fldChar w:fldCharType="end"/>
            </w:r>
          </w:hyperlink>
        </w:p>
        <w:p w14:paraId="59758325"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80" w:tooltip="#_Toc141279980" w:history="1">
            <w:r>
              <w:rPr>
                <w:rStyle w:val="Hyperlink"/>
                <w:rFonts w:asciiTheme="majorHAnsi" w:eastAsia="Cambria" w:hAnsiTheme="majorHAnsi" w:cstheme="majorHAnsi"/>
                <w:b/>
              </w:rPr>
              <w:t>9.1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Promotion and Branding</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_Toc141279980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23</w:t>
            </w:r>
            <w:r>
              <w:rPr>
                <w:rFonts w:asciiTheme="majorHAnsi" w:hAnsiTheme="majorHAnsi" w:cstheme="majorHAnsi"/>
              </w:rPr>
              <w:fldChar w:fldCharType="end"/>
            </w:r>
          </w:hyperlink>
        </w:p>
        <w:p w14:paraId="0C351875" w14:textId="487A2656"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81" w:tooltip="#_Toc141279981" w:history="1">
            <w:r>
              <w:rPr>
                <w:rStyle w:val="Hyperlink"/>
                <w:rFonts w:asciiTheme="majorHAnsi" w:eastAsia="Cambria" w:hAnsiTheme="majorHAnsi" w:cstheme="majorHAnsi"/>
                <w:b/>
              </w:rPr>
              <w:t>9.2</w:t>
            </w:r>
            <w:r>
              <w:rPr>
                <w:rFonts w:asciiTheme="majorHAnsi" w:eastAsiaTheme="minorEastAsia" w:hAnsiTheme="majorHAnsi" w:cstheme="majorHAnsi"/>
                <w:lang w:val="de-DE"/>
                <w14:ligatures w14:val="standardContextual"/>
              </w:rPr>
              <w:tab/>
            </w:r>
            <w:r w:rsidR="00B270F7">
              <w:rPr>
                <w:rStyle w:val="Hyperlink"/>
                <w:rFonts w:asciiTheme="majorHAnsi" w:eastAsia="Calibri" w:hAnsiTheme="majorHAnsi" w:cstheme="majorHAnsi"/>
                <w:b/>
              </w:rPr>
              <w:t>XX</w:t>
            </w:r>
            <w:r>
              <w:rPr>
                <w:rStyle w:val="Hyperlink"/>
                <w:rFonts w:asciiTheme="majorHAnsi" w:eastAsia="Calibri" w:hAnsiTheme="majorHAnsi" w:cstheme="majorHAnsi"/>
                <w:b/>
              </w:rPr>
              <w:t xml:space="preserve"> Website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_Toc141279981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23</w:t>
            </w:r>
            <w:r>
              <w:rPr>
                <w:rFonts w:asciiTheme="majorHAnsi" w:hAnsiTheme="majorHAnsi" w:cstheme="majorHAnsi"/>
              </w:rPr>
              <w:fldChar w:fldCharType="end"/>
            </w:r>
          </w:hyperlink>
        </w:p>
        <w:p w14:paraId="6BF7F733"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82" w:tooltip="#_Toc141279982" w:history="1">
            <w:r>
              <w:rPr>
                <w:rStyle w:val="Hyperlink"/>
                <w:rFonts w:asciiTheme="majorHAnsi" w:eastAsia="Cambria" w:hAnsiTheme="majorHAnsi" w:cstheme="majorHAnsi"/>
                <w:b/>
              </w:rPr>
              <w:t>9.3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Use of Crests and Logos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_Toc141279982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23</w:t>
            </w:r>
            <w:r>
              <w:rPr>
                <w:rFonts w:asciiTheme="majorHAnsi" w:hAnsiTheme="majorHAnsi" w:cstheme="majorHAnsi"/>
              </w:rPr>
              <w:fldChar w:fldCharType="end"/>
            </w:r>
          </w:hyperlink>
        </w:p>
        <w:p w14:paraId="22D3504C"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83" w:tooltip="#_Toc141279983" w:history="1">
            <w:r>
              <w:rPr>
                <w:rStyle w:val="Hyperlink"/>
                <w:rFonts w:asciiTheme="majorHAnsi" w:eastAsia="Calibri" w:hAnsiTheme="majorHAnsi" w:cstheme="majorHAnsi"/>
                <w:b/>
              </w:rPr>
              <w:t>Article 10</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Financial Management</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_Toc141279983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24</w:t>
            </w:r>
            <w:r>
              <w:rPr>
                <w:rFonts w:asciiTheme="majorHAnsi" w:hAnsiTheme="majorHAnsi" w:cstheme="majorHAnsi"/>
              </w:rPr>
              <w:fldChar w:fldCharType="end"/>
            </w:r>
          </w:hyperlink>
        </w:p>
        <w:p w14:paraId="1FBC3553" w14:textId="77777777" w:rsidR="006B113F" w:rsidRDefault="00000000">
          <w:pPr>
            <w:pStyle w:val="Verzeichnis2"/>
            <w:spacing w:line="240" w:lineRule="auto"/>
            <w:rPr>
              <w:rStyle w:val="Hyperlink"/>
              <w:rFonts w:eastAsia="Cambria"/>
              <w:b/>
            </w:rPr>
          </w:pPr>
          <w:hyperlink w:anchor="_Toc141279984" w:tooltip="#_Toc141279984" w:history="1">
            <w:r>
              <w:rPr>
                <w:rStyle w:val="Hyperlink"/>
                <w:rFonts w:asciiTheme="majorHAnsi" w:eastAsia="Cambria" w:hAnsiTheme="majorHAnsi" w:cstheme="majorHAnsi"/>
                <w:b/>
              </w:rPr>
              <w:t>10.1</w:t>
            </w:r>
            <w:r>
              <w:rPr>
                <w:rStyle w:val="Hyperlink"/>
                <w:rFonts w:eastAsia="Cambria"/>
                <w:b/>
              </w:rPr>
              <w:tab/>
            </w:r>
            <w:r>
              <w:rPr>
                <w:rStyle w:val="Hyperlink"/>
                <w:rFonts w:asciiTheme="majorHAnsi" w:eastAsia="Cambria" w:hAnsiTheme="majorHAnsi" w:cstheme="majorHAnsi"/>
                <w:b/>
              </w:rPr>
              <w:t>Financial Arrangements</w:t>
            </w:r>
            <w:r>
              <w:rPr>
                <w:rStyle w:val="Hyperlink"/>
                <w:rFonts w:eastAsia="Cambria"/>
                <w:b/>
              </w:rPr>
              <w:tab/>
            </w:r>
            <w:r>
              <w:rPr>
                <w:rStyle w:val="Hyperlink"/>
                <w:rFonts w:asciiTheme="majorHAnsi" w:eastAsia="Cambria" w:hAnsiTheme="majorHAnsi" w:cstheme="majorHAnsi"/>
                <w:bCs/>
              </w:rPr>
              <w:fldChar w:fldCharType="begin"/>
            </w:r>
            <w:r>
              <w:rPr>
                <w:rStyle w:val="Hyperlink"/>
                <w:rFonts w:asciiTheme="majorHAnsi" w:eastAsia="Cambria" w:hAnsiTheme="majorHAnsi" w:cstheme="majorHAnsi"/>
                <w:bCs/>
              </w:rPr>
              <w:instrText xml:space="preserve"> PAGEREF _Toc141279984 \h </w:instrText>
            </w:r>
            <w:r>
              <w:rPr>
                <w:rStyle w:val="Hyperlink"/>
                <w:rFonts w:asciiTheme="majorHAnsi" w:eastAsia="Cambria" w:hAnsiTheme="majorHAnsi" w:cstheme="majorHAnsi"/>
                <w:bCs/>
              </w:rPr>
            </w:r>
            <w:r>
              <w:rPr>
                <w:rStyle w:val="Hyperlink"/>
                <w:rFonts w:asciiTheme="majorHAnsi" w:eastAsia="Cambria" w:hAnsiTheme="majorHAnsi" w:cstheme="majorHAnsi"/>
                <w:bCs/>
              </w:rPr>
              <w:fldChar w:fldCharType="separate"/>
            </w:r>
            <w:r>
              <w:rPr>
                <w:rStyle w:val="Hyperlink"/>
                <w:rFonts w:asciiTheme="majorHAnsi" w:eastAsia="Cambria" w:hAnsiTheme="majorHAnsi" w:cstheme="majorHAnsi"/>
                <w:bCs/>
              </w:rPr>
              <w:t>24</w:t>
            </w:r>
            <w:r>
              <w:rPr>
                <w:rStyle w:val="Hyperlink"/>
                <w:rFonts w:asciiTheme="majorHAnsi" w:eastAsia="Cambria" w:hAnsiTheme="majorHAnsi" w:cstheme="majorHAnsi"/>
                <w:bCs/>
              </w:rPr>
              <w:fldChar w:fldCharType="end"/>
            </w:r>
          </w:hyperlink>
        </w:p>
        <w:p w14:paraId="12567018" w14:textId="77777777" w:rsidR="006B113F" w:rsidRDefault="00000000">
          <w:pPr>
            <w:pStyle w:val="Verzeichnis2"/>
            <w:spacing w:line="240" w:lineRule="auto"/>
            <w:rPr>
              <w:rStyle w:val="Hyperlink"/>
              <w:rFonts w:eastAsia="Cambria"/>
              <w:b/>
            </w:rPr>
          </w:pPr>
          <w:hyperlink w:anchor="_Toc141279985" w:tooltip="#_Toc141279985" w:history="1">
            <w:r>
              <w:rPr>
                <w:rStyle w:val="Hyperlink"/>
                <w:rFonts w:asciiTheme="majorHAnsi" w:eastAsia="Cambria" w:hAnsiTheme="majorHAnsi" w:cstheme="majorHAnsi"/>
                <w:b/>
              </w:rPr>
              <w:t>10.2</w:t>
            </w:r>
            <w:r>
              <w:rPr>
                <w:rStyle w:val="Hyperlink"/>
                <w:rFonts w:eastAsia="Cambria"/>
                <w:b/>
              </w:rPr>
              <w:tab/>
            </w:r>
            <w:r>
              <w:rPr>
                <w:rStyle w:val="Hyperlink"/>
                <w:rFonts w:asciiTheme="majorHAnsi" w:eastAsia="Cambria" w:hAnsiTheme="majorHAnsi" w:cstheme="majorHAnsi"/>
                <w:b/>
              </w:rPr>
              <w:t>Programme Budget</w:t>
            </w:r>
            <w:r>
              <w:rPr>
                <w:rStyle w:val="Hyperlink"/>
                <w:rFonts w:eastAsia="Cambria"/>
                <w:b/>
              </w:rPr>
              <w:tab/>
            </w:r>
            <w:r>
              <w:rPr>
                <w:rStyle w:val="Hyperlink"/>
                <w:rFonts w:asciiTheme="majorHAnsi" w:eastAsia="Cambria" w:hAnsiTheme="majorHAnsi" w:cstheme="majorHAnsi"/>
                <w:bCs/>
              </w:rPr>
              <w:fldChar w:fldCharType="begin"/>
            </w:r>
            <w:r>
              <w:rPr>
                <w:rStyle w:val="Hyperlink"/>
                <w:rFonts w:asciiTheme="majorHAnsi" w:eastAsia="Cambria" w:hAnsiTheme="majorHAnsi" w:cstheme="majorHAnsi"/>
                <w:bCs/>
              </w:rPr>
              <w:instrText xml:space="preserve"> PAGEREF _Toc141279985 \h </w:instrText>
            </w:r>
            <w:r>
              <w:rPr>
                <w:rStyle w:val="Hyperlink"/>
                <w:rFonts w:asciiTheme="majorHAnsi" w:eastAsia="Cambria" w:hAnsiTheme="majorHAnsi" w:cstheme="majorHAnsi"/>
                <w:bCs/>
              </w:rPr>
            </w:r>
            <w:r>
              <w:rPr>
                <w:rStyle w:val="Hyperlink"/>
                <w:rFonts w:asciiTheme="majorHAnsi" w:eastAsia="Cambria" w:hAnsiTheme="majorHAnsi" w:cstheme="majorHAnsi"/>
                <w:bCs/>
              </w:rPr>
              <w:fldChar w:fldCharType="separate"/>
            </w:r>
            <w:r>
              <w:rPr>
                <w:rStyle w:val="Hyperlink"/>
                <w:rFonts w:asciiTheme="majorHAnsi" w:eastAsia="Cambria" w:hAnsiTheme="majorHAnsi" w:cstheme="majorHAnsi"/>
                <w:bCs/>
              </w:rPr>
              <w:t>25</w:t>
            </w:r>
            <w:r>
              <w:rPr>
                <w:rStyle w:val="Hyperlink"/>
                <w:rFonts w:asciiTheme="majorHAnsi" w:eastAsia="Cambria" w:hAnsiTheme="majorHAnsi" w:cstheme="majorHAnsi"/>
                <w:bCs/>
              </w:rPr>
              <w:fldChar w:fldCharType="end"/>
            </w:r>
          </w:hyperlink>
        </w:p>
        <w:p w14:paraId="19171260"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86" w:tooltip="#_Toc141279986" w:history="1">
            <w:r>
              <w:rPr>
                <w:rStyle w:val="Hyperlink"/>
                <w:rFonts w:asciiTheme="majorHAnsi" w:eastAsia="Cambria" w:hAnsiTheme="majorHAnsi" w:cstheme="majorHAnsi"/>
                <w:b/>
              </w:rPr>
              <w:t>10.3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Student Participation Fees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_Toc141279986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26</w:t>
            </w:r>
            <w:r>
              <w:rPr>
                <w:rFonts w:asciiTheme="majorHAnsi" w:hAnsiTheme="majorHAnsi" w:cstheme="majorHAnsi"/>
              </w:rPr>
              <w:fldChar w:fldCharType="end"/>
            </w:r>
          </w:hyperlink>
        </w:p>
        <w:p w14:paraId="2528B58F"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87" w:tooltip="#_Toc141279987" w:history="1">
            <w:r>
              <w:rPr>
                <w:rStyle w:val="Hyperlink"/>
                <w:rFonts w:asciiTheme="majorHAnsi" w:eastAsia="Calibri" w:hAnsiTheme="majorHAnsi" w:cstheme="majorHAnsi"/>
                <w:b/>
              </w:rPr>
              <w:t>Article 11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Sustainability of the Programme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_Toc141279987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27</w:t>
            </w:r>
            <w:r>
              <w:rPr>
                <w:rFonts w:asciiTheme="majorHAnsi" w:hAnsiTheme="majorHAnsi" w:cstheme="majorHAnsi"/>
              </w:rPr>
              <w:fldChar w:fldCharType="end"/>
            </w:r>
          </w:hyperlink>
        </w:p>
        <w:p w14:paraId="25C9E9C5"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88" w:tooltip="#_Toc141279988" w:history="1">
            <w:r>
              <w:rPr>
                <w:rStyle w:val="Hyperlink"/>
                <w:rFonts w:asciiTheme="majorHAnsi" w:eastAsia="Calibri" w:hAnsiTheme="majorHAnsi" w:cstheme="majorHAnsi"/>
                <w:b/>
              </w:rPr>
              <w:t>Article 12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Intellectual Property Rights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_Toc141279988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27</w:t>
            </w:r>
            <w:r>
              <w:rPr>
                <w:rFonts w:asciiTheme="majorHAnsi" w:hAnsiTheme="majorHAnsi" w:cstheme="majorHAnsi"/>
              </w:rPr>
              <w:fldChar w:fldCharType="end"/>
            </w:r>
          </w:hyperlink>
        </w:p>
        <w:p w14:paraId="4E19F498"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89" w:tooltip="#_Toc141279989" w:history="1">
            <w:r>
              <w:rPr>
                <w:rStyle w:val="Hyperlink"/>
                <w:rFonts w:asciiTheme="majorHAnsi" w:eastAsia="Calibri" w:hAnsiTheme="majorHAnsi" w:cstheme="majorHAnsi"/>
                <w:b/>
              </w:rPr>
              <w:t>Article 13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Confidentiality</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_Toc141279989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27</w:t>
            </w:r>
            <w:r>
              <w:rPr>
                <w:rFonts w:asciiTheme="majorHAnsi" w:hAnsiTheme="majorHAnsi" w:cstheme="majorHAnsi"/>
              </w:rPr>
              <w:fldChar w:fldCharType="end"/>
            </w:r>
          </w:hyperlink>
        </w:p>
        <w:p w14:paraId="54C956BD"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90" w:tooltip="#_Toc141279990" w:history="1">
            <w:r>
              <w:rPr>
                <w:rStyle w:val="Hyperlink"/>
                <w:rFonts w:asciiTheme="majorHAnsi" w:eastAsia="Calibri" w:hAnsiTheme="majorHAnsi" w:cstheme="majorHAnsi"/>
                <w:b/>
              </w:rPr>
              <w:t>Article 14</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Claims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_Toc141279990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28</w:t>
            </w:r>
            <w:r>
              <w:rPr>
                <w:rFonts w:asciiTheme="majorHAnsi" w:hAnsiTheme="majorHAnsi" w:cstheme="majorHAnsi"/>
              </w:rPr>
              <w:fldChar w:fldCharType="end"/>
            </w:r>
          </w:hyperlink>
        </w:p>
        <w:p w14:paraId="4B11839A"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1" w:tooltip="#_Toc141279991" w:history="1">
            <w:r>
              <w:rPr>
                <w:rStyle w:val="Hyperlink"/>
                <w:rFonts w:asciiTheme="majorHAnsi" w:eastAsia="Cambria" w:hAnsiTheme="majorHAnsi" w:cstheme="majorHAnsi"/>
                <w:b/>
              </w:rPr>
              <w:t>14.1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Indemnity</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_Toc141279991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28</w:t>
            </w:r>
            <w:r>
              <w:rPr>
                <w:rFonts w:asciiTheme="majorHAnsi" w:hAnsiTheme="majorHAnsi" w:cstheme="majorHAnsi"/>
              </w:rPr>
              <w:fldChar w:fldCharType="end"/>
            </w:r>
          </w:hyperlink>
        </w:p>
        <w:p w14:paraId="79F276D8"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2" w:tooltip="#_Toc141279992" w:history="1">
            <w:r>
              <w:rPr>
                <w:rStyle w:val="Hyperlink"/>
                <w:rFonts w:asciiTheme="majorHAnsi" w:eastAsia="Cambria" w:hAnsiTheme="majorHAnsi" w:cstheme="majorHAnsi"/>
                <w:b/>
              </w:rPr>
              <w:t>14.2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Warning of other Partner Institutions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_Toc141279992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29</w:t>
            </w:r>
            <w:r>
              <w:rPr>
                <w:rFonts w:asciiTheme="majorHAnsi" w:hAnsiTheme="majorHAnsi" w:cstheme="majorHAnsi"/>
              </w:rPr>
              <w:fldChar w:fldCharType="end"/>
            </w:r>
          </w:hyperlink>
        </w:p>
        <w:p w14:paraId="65C63CBE"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3" w:tooltip="#_Toc141279993" w:history="1">
            <w:r>
              <w:rPr>
                <w:rStyle w:val="Hyperlink"/>
                <w:rFonts w:asciiTheme="majorHAnsi" w:eastAsia="Cambria" w:hAnsiTheme="majorHAnsi" w:cstheme="majorHAnsi"/>
                <w:b/>
              </w:rPr>
              <w:t>14.3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Force Majeure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_Toc141279993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29</w:t>
            </w:r>
            <w:r>
              <w:rPr>
                <w:rFonts w:asciiTheme="majorHAnsi" w:hAnsiTheme="majorHAnsi" w:cstheme="majorHAnsi"/>
              </w:rPr>
              <w:fldChar w:fldCharType="end"/>
            </w:r>
          </w:hyperlink>
        </w:p>
        <w:p w14:paraId="01154408" w14:textId="77777777" w:rsidR="006B113F" w:rsidRDefault="00000000">
          <w:pPr>
            <w:pStyle w:val="Verzeichnis1"/>
            <w:tabs>
              <w:tab w:val="left" w:pos="1100"/>
            </w:tabs>
            <w:spacing w:line="240" w:lineRule="auto"/>
            <w:rPr>
              <w:rFonts w:asciiTheme="majorHAnsi" w:eastAsiaTheme="minorEastAsia" w:hAnsiTheme="majorHAnsi" w:cstheme="majorHAnsi"/>
              <w:lang w:val="de-DE"/>
              <w14:ligatures w14:val="standardContextual"/>
            </w:rPr>
          </w:pPr>
          <w:hyperlink w:anchor="_Toc141279994" w:tooltip="#_Toc141279994" w:history="1">
            <w:r>
              <w:rPr>
                <w:rStyle w:val="Hyperlink"/>
                <w:rFonts w:asciiTheme="majorHAnsi" w:eastAsia="Calibri" w:hAnsiTheme="majorHAnsi" w:cstheme="majorHAnsi"/>
                <w:b/>
              </w:rPr>
              <w:t>Article 15</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This Agreement</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_Toc141279994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30</w:t>
            </w:r>
            <w:r>
              <w:rPr>
                <w:rFonts w:asciiTheme="majorHAnsi" w:hAnsiTheme="majorHAnsi" w:cstheme="majorHAnsi"/>
              </w:rPr>
              <w:fldChar w:fldCharType="end"/>
            </w:r>
          </w:hyperlink>
        </w:p>
        <w:p w14:paraId="27DF95D0"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5" w:tooltip="#_Toc141279995" w:history="1">
            <w:r>
              <w:rPr>
                <w:rStyle w:val="Hyperlink"/>
                <w:rFonts w:asciiTheme="majorHAnsi" w:eastAsia="Cambria" w:hAnsiTheme="majorHAnsi" w:cstheme="majorHAnsi"/>
                <w:b/>
              </w:rPr>
              <w:t>15.1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Contractual Relationship</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_Toc141279995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30</w:t>
            </w:r>
            <w:r>
              <w:rPr>
                <w:rFonts w:asciiTheme="majorHAnsi" w:hAnsiTheme="majorHAnsi" w:cstheme="majorHAnsi"/>
              </w:rPr>
              <w:fldChar w:fldCharType="end"/>
            </w:r>
          </w:hyperlink>
        </w:p>
        <w:p w14:paraId="47831B2A"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6" w:tooltip="#_Toc141279996" w:history="1">
            <w:r>
              <w:rPr>
                <w:rStyle w:val="Hyperlink"/>
                <w:rFonts w:asciiTheme="majorHAnsi" w:eastAsia="Cambria" w:hAnsiTheme="majorHAnsi" w:cstheme="majorHAnsi"/>
                <w:b/>
              </w:rPr>
              <w:t>15.2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Transitional Provisions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_Toc141279996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30</w:t>
            </w:r>
            <w:r>
              <w:rPr>
                <w:rFonts w:asciiTheme="majorHAnsi" w:hAnsiTheme="majorHAnsi" w:cstheme="majorHAnsi"/>
              </w:rPr>
              <w:fldChar w:fldCharType="end"/>
            </w:r>
          </w:hyperlink>
        </w:p>
        <w:p w14:paraId="0BB5EDFE"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7" w:tooltip="#_Toc141279997" w:history="1">
            <w:r>
              <w:rPr>
                <w:rStyle w:val="Hyperlink"/>
                <w:rFonts w:asciiTheme="majorHAnsi" w:eastAsia="Cambria" w:hAnsiTheme="majorHAnsi" w:cstheme="majorHAnsi"/>
                <w:b/>
              </w:rPr>
              <w:t>15.3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Amendments and Communications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_Toc141279997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30</w:t>
            </w:r>
            <w:r>
              <w:rPr>
                <w:rFonts w:asciiTheme="majorHAnsi" w:hAnsiTheme="majorHAnsi" w:cstheme="majorHAnsi"/>
              </w:rPr>
              <w:fldChar w:fldCharType="end"/>
            </w:r>
          </w:hyperlink>
        </w:p>
        <w:p w14:paraId="5D77EF41"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8" w:tooltip="#_Toc141279998" w:history="1">
            <w:r>
              <w:rPr>
                <w:rStyle w:val="Hyperlink"/>
                <w:rFonts w:asciiTheme="majorHAnsi" w:eastAsia="Cambria" w:hAnsiTheme="majorHAnsi" w:cstheme="majorHAnsi"/>
                <w:b/>
              </w:rPr>
              <w:t>15.4</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Dispute Settlement</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_Toc141279998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30</w:t>
            </w:r>
            <w:r>
              <w:rPr>
                <w:rFonts w:asciiTheme="majorHAnsi" w:hAnsiTheme="majorHAnsi" w:cstheme="majorHAnsi"/>
              </w:rPr>
              <w:fldChar w:fldCharType="end"/>
            </w:r>
          </w:hyperlink>
        </w:p>
        <w:p w14:paraId="5D22837A"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79999" w:tooltip="#_Toc141279999" w:history="1">
            <w:r>
              <w:rPr>
                <w:rStyle w:val="Hyperlink"/>
                <w:rFonts w:asciiTheme="majorHAnsi" w:eastAsia="Cambria" w:hAnsiTheme="majorHAnsi" w:cstheme="majorHAnsi"/>
                <w:b/>
              </w:rPr>
              <w:t>15.5</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Termination</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_Toc141279999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31</w:t>
            </w:r>
            <w:r>
              <w:rPr>
                <w:rFonts w:asciiTheme="majorHAnsi" w:hAnsiTheme="majorHAnsi" w:cstheme="majorHAnsi"/>
              </w:rPr>
              <w:fldChar w:fldCharType="end"/>
            </w:r>
          </w:hyperlink>
        </w:p>
        <w:p w14:paraId="101ACA9F"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80000" w:tooltip="#_Toc141280000" w:history="1">
            <w:r>
              <w:rPr>
                <w:rStyle w:val="Hyperlink"/>
                <w:rFonts w:asciiTheme="majorHAnsi" w:eastAsia="Cambria" w:hAnsiTheme="majorHAnsi" w:cstheme="majorHAnsi"/>
                <w:b/>
              </w:rPr>
              <w:t>15.6</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Duration</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_Toc141280000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31</w:t>
            </w:r>
            <w:r>
              <w:rPr>
                <w:rFonts w:asciiTheme="majorHAnsi" w:hAnsiTheme="majorHAnsi" w:cstheme="majorHAnsi"/>
              </w:rPr>
              <w:fldChar w:fldCharType="end"/>
            </w:r>
          </w:hyperlink>
        </w:p>
        <w:p w14:paraId="6EDBED6E" w14:textId="77777777"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80001" w:tooltip="#_Toc141280001" w:history="1">
            <w:r>
              <w:rPr>
                <w:rStyle w:val="Hyperlink"/>
                <w:rFonts w:asciiTheme="majorHAnsi" w:eastAsia="Cambria" w:hAnsiTheme="majorHAnsi" w:cstheme="majorHAnsi"/>
                <w:b/>
              </w:rPr>
              <w:t>15.7</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rPr>
              <w:t>Signatures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_Toc141280001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32</w:t>
            </w:r>
            <w:r>
              <w:rPr>
                <w:rFonts w:asciiTheme="majorHAnsi" w:hAnsiTheme="majorHAnsi" w:cstheme="majorHAnsi"/>
              </w:rPr>
              <w:fldChar w:fldCharType="end"/>
            </w:r>
          </w:hyperlink>
        </w:p>
        <w:p w14:paraId="06309398"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2" w:tooltip="#_Toc141280002" w:history="1">
            <w:r>
              <w:rPr>
                <w:rStyle w:val="Hyperlink"/>
                <w:rFonts w:asciiTheme="majorHAnsi" w:eastAsia="Calibri" w:hAnsiTheme="majorHAnsi" w:cstheme="majorHAnsi"/>
                <w:b/>
              </w:rPr>
              <w:t>Signature page Ruhr-Universität Bochum</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_Toc141280002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33</w:t>
            </w:r>
            <w:r>
              <w:rPr>
                <w:rFonts w:asciiTheme="majorHAnsi" w:hAnsiTheme="majorHAnsi" w:cstheme="majorHAnsi"/>
              </w:rPr>
              <w:fldChar w:fldCharType="end"/>
            </w:r>
          </w:hyperlink>
        </w:p>
        <w:p w14:paraId="109AE0CC"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3" w:tooltip="#_Toc141280003" w:history="1">
            <w:r>
              <w:rPr>
                <w:rStyle w:val="Hyperlink"/>
                <w:rFonts w:asciiTheme="majorHAnsi" w:eastAsia="Calibri" w:hAnsiTheme="majorHAnsi" w:cstheme="majorHAnsi"/>
                <w:b/>
              </w:rPr>
              <w:t>Signature page University College Cork</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_Toc141280003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34</w:t>
            </w:r>
            <w:r>
              <w:rPr>
                <w:rFonts w:asciiTheme="majorHAnsi" w:hAnsiTheme="majorHAnsi" w:cstheme="majorHAnsi"/>
              </w:rPr>
              <w:fldChar w:fldCharType="end"/>
            </w:r>
          </w:hyperlink>
        </w:p>
        <w:p w14:paraId="20AEBCE4"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4" w:tooltip="#_Toc141280004" w:history="1">
            <w:r>
              <w:rPr>
                <w:rStyle w:val="Hyperlink"/>
                <w:rFonts w:asciiTheme="majorHAnsi" w:eastAsia="Calibri" w:hAnsiTheme="majorHAnsi" w:cstheme="majorHAnsi"/>
                <w:b/>
              </w:rPr>
              <w:t>Signature page University of Deusto</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_Toc141280004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35</w:t>
            </w:r>
            <w:r>
              <w:rPr>
                <w:rFonts w:asciiTheme="majorHAnsi" w:hAnsiTheme="majorHAnsi" w:cstheme="majorHAnsi"/>
              </w:rPr>
              <w:fldChar w:fldCharType="end"/>
            </w:r>
          </w:hyperlink>
        </w:p>
        <w:p w14:paraId="6A9134F1"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5" w:tooltip="#_Toc141280005" w:history="1">
            <w:r>
              <w:rPr>
                <w:rStyle w:val="Hyperlink"/>
                <w:rFonts w:asciiTheme="majorHAnsi" w:eastAsia="Calibri" w:hAnsiTheme="majorHAnsi" w:cstheme="majorHAnsi"/>
                <w:b/>
              </w:rPr>
              <w:t>Signature page Erasmus University Rotterdam</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_Toc141280005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36</w:t>
            </w:r>
            <w:r>
              <w:rPr>
                <w:rFonts w:asciiTheme="majorHAnsi" w:hAnsiTheme="majorHAnsi" w:cstheme="majorHAnsi"/>
              </w:rPr>
              <w:fldChar w:fldCharType="end"/>
            </w:r>
          </w:hyperlink>
        </w:p>
        <w:p w14:paraId="5FA8F1A4"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6" w:tooltip="#_Toc141280006" w:history="1">
            <w:r>
              <w:rPr>
                <w:rStyle w:val="Hyperlink"/>
                <w:rFonts w:asciiTheme="majorHAnsi" w:eastAsia="Calibri" w:hAnsiTheme="majorHAnsi" w:cstheme="majorHAnsi"/>
                <w:b/>
              </w:rPr>
              <w:t>Signature page Koç University</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_Toc141280006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37</w:t>
            </w:r>
            <w:r>
              <w:rPr>
                <w:rFonts w:asciiTheme="majorHAnsi" w:hAnsiTheme="majorHAnsi" w:cstheme="majorHAnsi"/>
              </w:rPr>
              <w:fldChar w:fldCharType="end"/>
            </w:r>
          </w:hyperlink>
        </w:p>
        <w:p w14:paraId="6F4B1696"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7" w:tooltip="#_Toc141280007" w:history="1">
            <w:r>
              <w:rPr>
                <w:rStyle w:val="Hyperlink"/>
                <w:rFonts w:asciiTheme="majorHAnsi" w:eastAsia="Calibri" w:hAnsiTheme="majorHAnsi" w:cstheme="majorHAnsi"/>
                <w:b/>
              </w:rPr>
              <w:t>Signature page Université de Liège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_Toc141280007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38</w:t>
            </w:r>
            <w:r>
              <w:rPr>
                <w:rFonts w:asciiTheme="majorHAnsi" w:hAnsiTheme="majorHAnsi" w:cstheme="majorHAnsi"/>
              </w:rPr>
              <w:fldChar w:fldCharType="end"/>
            </w:r>
          </w:hyperlink>
        </w:p>
        <w:p w14:paraId="2EAE7BEB"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8" w:tooltip="#_Toc141280008" w:history="1">
            <w:r>
              <w:rPr>
                <w:rStyle w:val="Hyperlink"/>
                <w:rFonts w:asciiTheme="majorHAnsi" w:eastAsia="Calibri" w:hAnsiTheme="majorHAnsi" w:cstheme="majorHAnsi"/>
                <w:b/>
              </w:rPr>
              <w:t>Signature page University of Oulu</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_Toc141280008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39</w:t>
            </w:r>
            <w:r>
              <w:rPr>
                <w:rFonts w:asciiTheme="majorHAnsi" w:hAnsiTheme="majorHAnsi" w:cstheme="majorHAnsi"/>
              </w:rPr>
              <w:fldChar w:fldCharType="end"/>
            </w:r>
          </w:hyperlink>
        </w:p>
        <w:p w14:paraId="76D4B0EC" w14:textId="77777777" w:rsidR="006B113F" w:rsidRDefault="00000000">
          <w:pPr>
            <w:pStyle w:val="Verzeichnis3"/>
            <w:spacing w:line="240" w:lineRule="auto"/>
            <w:ind w:left="1560" w:hanging="284"/>
            <w:rPr>
              <w:rFonts w:asciiTheme="majorHAnsi" w:eastAsiaTheme="minorEastAsia" w:hAnsiTheme="majorHAnsi" w:cstheme="majorHAnsi"/>
              <w:lang w:val="de-DE"/>
              <w14:ligatures w14:val="standardContextual"/>
            </w:rPr>
          </w:pPr>
          <w:hyperlink w:anchor="_Toc141280009" w:tooltip="#_Toc141280009" w:history="1">
            <w:r>
              <w:rPr>
                <w:rStyle w:val="Hyperlink"/>
                <w:rFonts w:asciiTheme="majorHAnsi" w:eastAsia="Calibri" w:hAnsiTheme="majorHAnsi" w:cstheme="majorHAnsi"/>
                <w:b/>
              </w:rPr>
              <w:t>Signature page University of Zagreb</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_Toc141280009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40</w:t>
            </w:r>
            <w:r>
              <w:rPr>
                <w:rFonts w:asciiTheme="majorHAnsi" w:hAnsiTheme="majorHAnsi" w:cstheme="majorHAnsi"/>
              </w:rPr>
              <w:fldChar w:fldCharType="end"/>
            </w:r>
          </w:hyperlink>
        </w:p>
        <w:p w14:paraId="589443AC" w14:textId="77777777" w:rsidR="006B113F" w:rsidRDefault="00000000">
          <w:pPr>
            <w:pStyle w:val="Verzeichnis1"/>
            <w:spacing w:line="240" w:lineRule="auto"/>
            <w:rPr>
              <w:rFonts w:asciiTheme="majorHAnsi" w:eastAsiaTheme="minorEastAsia" w:hAnsiTheme="majorHAnsi" w:cstheme="majorHAnsi"/>
              <w:lang w:val="de-DE"/>
              <w14:ligatures w14:val="standardContextual"/>
            </w:rPr>
          </w:pPr>
          <w:hyperlink w:anchor="_Toc141280010" w:tooltip="#_Toc141280010" w:history="1">
            <w:r>
              <w:rPr>
                <w:rStyle w:val="Hyperlink"/>
                <w:rFonts w:asciiTheme="majorHAnsi" w:eastAsia="Calibri" w:hAnsiTheme="majorHAnsi" w:cstheme="majorHAnsi"/>
                <w:b/>
              </w:rPr>
              <w:t>Annexes</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_Toc141280010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41</w:t>
            </w:r>
            <w:r>
              <w:rPr>
                <w:rFonts w:asciiTheme="majorHAnsi" w:hAnsiTheme="majorHAnsi" w:cstheme="majorHAnsi"/>
              </w:rPr>
              <w:fldChar w:fldCharType="end"/>
            </w:r>
          </w:hyperlink>
        </w:p>
        <w:p w14:paraId="4AF4F3BA" w14:textId="32E6B366"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80011" w:tooltip="#_Toc141280011" w:history="1">
            <w:r>
              <w:rPr>
                <w:rStyle w:val="Hyperlink"/>
                <w:rFonts w:asciiTheme="majorHAnsi" w:eastAsia="Cambria" w:hAnsiTheme="majorHAnsi" w:cstheme="majorHAnsi"/>
                <w:b/>
              </w:rPr>
              <w:t>1.</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bCs/>
              </w:rPr>
              <w:t xml:space="preserve">ANNEX </w:t>
            </w:r>
            <w:r>
              <w:rPr>
                <w:rStyle w:val="Hyperlink"/>
                <w:rFonts w:asciiTheme="majorHAnsi" w:eastAsia="Calibri" w:hAnsiTheme="majorHAnsi" w:cstheme="majorHAnsi"/>
                <w:b/>
              </w:rPr>
              <w:t xml:space="preserve">Conversion table for grades in the </w:t>
            </w:r>
            <w:r w:rsidR="00B270F7">
              <w:rPr>
                <w:rStyle w:val="Hyperlink"/>
                <w:rFonts w:asciiTheme="majorHAnsi" w:eastAsia="Calibri" w:hAnsiTheme="majorHAnsi" w:cstheme="majorHAnsi"/>
                <w:b/>
              </w:rPr>
              <w:t>XX</w:t>
            </w:r>
            <w:r>
              <w:rPr>
                <w:rStyle w:val="Hyperlink"/>
                <w:rFonts w:asciiTheme="majorHAnsi" w:eastAsia="Calibri" w:hAnsiTheme="majorHAnsi" w:cstheme="majorHAnsi"/>
                <w:b/>
              </w:rPr>
              <w:t xml:space="preserve"> joint Master programme</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_Toc141280011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41</w:t>
            </w:r>
            <w:r>
              <w:rPr>
                <w:rFonts w:asciiTheme="majorHAnsi" w:hAnsiTheme="majorHAnsi" w:cstheme="majorHAnsi"/>
              </w:rPr>
              <w:fldChar w:fldCharType="end"/>
            </w:r>
          </w:hyperlink>
        </w:p>
        <w:p w14:paraId="32370308" w14:textId="78A5DD62"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80012" w:tooltip="#_Toc141280012" w:history="1">
            <w:r>
              <w:rPr>
                <w:rStyle w:val="Hyperlink"/>
                <w:rFonts w:asciiTheme="majorHAnsi" w:eastAsia="Cambria" w:hAnsiTheme="majorHAnsi" w:cstheme="majorHAnsi"/>
                <w:b/>
              </w:rPr>
              <w:t>2.</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bCs/>
              </w:rPr>
              <w:t xml:space="preserve">ANNEX Usage of personal data in </w:t>
            </w:r>
            <w:r w:rsidR="00B270F7">
              <w:rPr>
                <w:rStyle w:val="Hyperlink"/>
                <w:rFonts w:asciiTheme="majorHAnsi" w:eastAsia="Calibri" w:hAnsiTheme="majorHAnsi" w:cstheme="majorHAnsi"/>
                <w:b/>
                <w:bCs/>
              </w:rPr>
              <w:t>XX</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_Toc141280012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42</w:t>
            </w:r>
            <w:r>
              <w:rPr>
                <w:rFonts w:asciiTheme="majorHAnsi" w:hAnsiTheme="majorHAnsi" w:cstheme="majorHAnsi"/>
              </w:rPr>
              <w:fldChar w:fldCharType="end"/>
            </w:r>
          </w:hyperlink>
        </w:p>
        <w:p w14:paraId="037C294B" w14:textId="233E55A6" w:rsidR="006B113F" w:rsidRDefault="00000000">
          <w:pPr>
            <w:pStyle w:val="Verzeichnis2"/>
            <w:spacing w:line="240" w:lineRule="auto"/>
            <w:rPr>
              <w:rFonts w:asciiTheme="majorHAnsi" w:eastAsiaTheme="minorEastAsia" w:hAnsiTheme="majorHAnsi" w:cstheme="majorHAnsi"/>
              <w:lang w:val="de-DE"/>
              <w14:ligatures w14:val="standardContextual"/>
            </w:rPr>
          </w:pPr>
          <w:hyperlink w:anchor="_Toc141280013" w:tooltip="#_Toc141280013" w:history="1">
            <w:r>
              <w:rPr>
                <w:rStyle w:val="Hyperlink"/>
                <w:rFonts w:asciiTheme="majorHAnsi" w:eastAsia="Calibri" w:hAnsiTheme="majorHAnsi" w:cstheme="majorHAnsi"/>
                <w:b/>
                <w:bCs/>
              </w:rPr>
              <w:t>3.</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bCs/>
              </w:rPr>
              <w:t xml:space="preserve">ANNEX Description of the financial management of </w:t>
            </w:r>
            <w:r w:rsidR="00B270F7">
              <w:rPr>
                <w:rStyle w:val="Hyperlink"/>
                <w:rFonts w:asciiTheme="majorHAnsi" w:eastAsia="Calibri" w:hAnsiTheme="majorHAnsi" w:cstheme="majorHAnsi"/>
                <w:b/>
                <w:bCs/>
              </w:rPr>
              <w:t>XX</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_Toc141280013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46</w:t>
            </w:r>
            <w:r>
              <w:rPr>
                <w:rFonts w:asciiTheme="majorHAnsi" w:hAnsiTheme="majorHAnsi" w:cstheme="majorHAnsi"/>
              </w:rPr>
              <w:fldChar w:fldCharType="end"/>
            </w:r>
          </w:hyperlink>
        </w:p>
        <w:p w14:paraId="4D48DE7D" w14:textId="2A8DE937" w:rsidR="006B113F" w:rsidRDefault="00000000">
          <w:pPr>
            <w:pStyle w:val="Verzeichnis2"/>
            <w:spacing w:line="240" w:lineRule="auto"/>
            <w:rPr>
              <w:rFonts w:asciiTheme="minorHAnsi" w:eastAsiaTheme="minorEastAsia" w:hAnsiTheme="minorHAnsi" w:cstheme="minorBidi"/>
              <w:lang w:val="de-DE"/>
              <w14:ligatures w14:val="standardContextual"/>
            </w:rPr>
          </w:pPr>
          <w:hyperlink w:anchor="_Toc141280014" w:tooltip="#_Toc141280014" w:history="1">
            <w:r>
              <w:rPr>
                <w:rStyle w:val="Hyperlink"/>
                <w:rFonts w:asciiTheme="majorHAnsi" w:eastAsia="Calibri" w:hAnsiTheme="majorHAnsi" w:cstheme="majorHAnsi"/>
                <w:b/>
                <w:bCs/>
              </w:rPr>
              <w:t>4.</w:t>
            </w:r>
            <w:r>
              <w:rPr>
                <w:rFonts w:asciiTheme="majorHAnsi" w:eastAsiaTheme="minorEastAsia" w:hAnsiTheme="majorHAnsi" w:cstheme="majorHAnsi"/>
                <w:lang w:val="de-DE"/>
                <w14:ligatures w14:val="standardContextual"/>
              </w:rPr>
              <w:tab/>
            </w:r>
            <w:r>
              <w:rPr>
                <w:rStyle w:val="Hyperlink"/>
                <w:rFonts w:asciiTheme="majorHAnsi" w:eastAsia="Calibri" w:hAnsiTheme="majorHAnsi" w:cstheme="majorHAnsi"/>
                <w:b/>
                <w:bCs/>
              </w:rPr>
              <w:t>ANNEX Standard Contractual Clauses for data exchanges with Koç University as non-</w:t>
            </w:r>
            <w:r>
              <w:rPr>
                <w:rStyle w:val="Hyperlink"/>
                <w:rFonts w:asciiTheme="majorHAnsi" w:eastAsia="Calibri" w:hAnsiTheme="majorHAnsi" w:cstheme="majorHAnsi"/>
                <w:b/>
                <w:bCs/>
              </w:rPr>
              <w:tab/>
              <w:t xml:space="preserve">EU partner institution in the joint Master programme </w:t>
            </w:r>
            <w:r w:rsidR="00B270F7">
              <w:rPr>
                <w:rStyle w:val="Hyperlink"/>
                <w:rFonts w:asciiTheme="majorHAnsi" w:eastAsia="Calibri" w:hAnsiTheme="majorHAnsi" w:cstheme="majorHAnsi"/>
                <w:b/>
                <w:bCs/>
              </w:rPr>
              <w:t>XX</w:t>
            </w:r>
            <w:r>
              <w:rPr>
                <w:rFonts w:asciiTheme="majorHAnsi" w:hAnsiTheme="majorHAnsi" w:cstheme="majorHAnsi"/>
              </w:rPr>
              <w:tab/>
            </w:r>
            <w:r>
              <w:rPr>
                <w:rFonts w:asciiTheme="majorHAnsi" w:hAnsiTheme="majorHAnsi" w:cstheme="majorHAnsi"/>
              </w:rPr>
              <w:fldChar w:fldCharType="begin"/>
            </w:r>
            <w:r>
              <w:rPr>
                <w:rFonts w:asciiTheme="majorHAnsi" w:hAnsiTheme="majorHAnsi" w:cstheme="majorHAnsi"/>
              </w:rPr>
              <w:instrText xml:space="preserve"> PAGEREF _Toc141280014 \h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t>55</w:t>
            </w:r>
            <w:r>
              <w:rPr>
                <w:rFonts w:asciiTheme="majorHAnsi" w:hAnsiTheme="majorHAnsi" w:cstheme="majorHAnsi"/>
              </w:rPr>
              <w:fldChar w:fldCharType="end"/>
            </w:r>
          </w:hyperlink>
        </w:p>
        <w:p w14:paraId="7F8C3CBF" w14:textId="77777777" w:rsidR="006B113F" w:rsidRDefault="00000000">
          <w:pPr>
            <w:pStyle w:val="Verzeichnis2"/>
            <w:tabs>
              <w:tab w:val="clear" w:pos="1100"/>
              <w:tab w:val="left" w:pos="756"/>
            </w:tabs>
            <w:spacing w:line="240" w:lineRule="auto"/>
            <w:ind w:left="0"/>
            <w:rPr>
              <w:rFonts w:ascii="Calibri" w:eastAsia="Calibri" w:hAnsi="Calibri" w:cs="Calibri"/>
              <w:sz w:val="20"/>
              <w:szCs w:val="20"/>
            </w:rPr>
          </w:pPr>
          <w:r>
            <w:fldChar w:fldCharType="end"/>
          </w:r>
        </w:p>
      </w:sdtContent>
    </w:sdt>
    <w:p w14:paraId="42035556" w14:textId="77777777" w:rsidR="006B113F" w:rsidRDefault="00000000">
      <w:pPr>
        <w:spacing w:line="240" w:lineRule="auto"/>
        <w:rPr>
          <w:rFonts w:ascii="Calibri" w:eastAsia="Calibri" w:hAnsi="Calibri" w:cs="Calibri"/>
          <w:b/>
          <w:color w:val="365F91"/>
          <w:sz w:val="28"/>
          <w:szCs w:val="28"/>
        </w:rPr>
      </w:pPr>
      <w:r>
        <w:rPr>
          <w:rFonts w:ascii="Calibri" w:eastAsia="Calibri" w:hAnsi="Calibri" w:cs="Calibri"/>
          <w:b/>
          <w:color w:val="365F91"/>
          <w:sz w:val="28"/>
          <w:szCs w:val="28"/>
        </w:rPr>
        <w:br w:type="page" w:clear="all"/>
      </w:r>
    </w:p>
    <w:p w14:paraId="14ED9817" w14:textId="77777777" w:rsidR="006B113F" w:rsidRDefault="00000000">
      <w:pPr>
        <w:pStyle w:val="berschrift1"/>
        <w:keepNext w:val="0"/>
        <w:keepLines w:val="0"/>
        <w:widowControl w:val="0"/>
        <w:tabs>
          <w:tab w:val="left" w:pos="1518"/>
        </w:tabs>
        <w:spacing w:before="0" w:after="0" w:line="240" w:lineRule="auto"/>
        <w:ind w:left="102"/>
        <w:jc w:val="both"/>
        <w:rPr>
          <w:rFonts w:ascii="Cambria" w:eastAsia="Cambria" w:hAnsi="Cambria" w:cs="Cambria"/>
          <w:sz w:val="28"/>
          <w:szCs w:val="28"/>
        </w:rPr>
      </w:pPr>
      <w:bookmarkStart w:id="1" w:name="_Toc141279948"/>
      <w:r>
        <w:rPr>
          <w:rFonts w:ascii="Calibri" w:eastAsia="Calibri" w:hAnsi="Calibri" w:cs="Calibri"/>
          <w:b/>
          <w:color w:val="365F91"/>
          <w:sz w:val="28"/>
          <w:szCs w:val="28"/>
        </w:rPr>
        <w:lastRenderedPageBreak/>
        <w:t>Article 1</w:t>
      </w:r>
      <w:r>
        <w:rPr>
          <w:rFonts w:ascii="Calibri" w:eastAsia="Calibri" w:hAnsi="Calibri" w:cs="Calibri"/>
          <w:b/>
          <w:color w:val="365F91"/>
          <w:sz w:val="28"/>
          <w:szCs w:val="28"/>
        </w:rPr>
        <w:tab/>
        <w:t>Purpose of this Agreement</w:t>
      </w:r>
      <w:bookmarkEnd w:id="1"/>
    </w:p>
    <w:p w14:paraId="79F067A5" w14:textId="6210690A" w:rsidR="006B113F" w:rsidRDefault="00000000">
      <w:pPr>
        <w:widowControl w:val="0"/>
        <w:spacing w:line="240" w:lineRule="auto"/>
        <w:ind w:left="100"/>
        <w:jc w:val="both"/>
        <w:rPr>
          <w:rFonts w:ascii="Calibri" w:eastAsia="Calibri" w:hAnsi="Calibri" w:cs="Calibri"/>
        </w:rPr>
      </w:pPr>
      <w:bookmarkStart w:id="2" w:name="_3znysh7"/>
      <w:bookmarkEnd w:id="2"/>
      <w:r>
        <w:rPr>
          <w:rFonts w:ascii="Calibri" w:eastAsia="Calibri" w:hAnsi="Calibri" w:cs="Calibri"/>
        </w:rPr>
        <w:t xml:space="preserve">This Partnership Agreement represents the joint procedure for the provision of a 120 ECTS Joint Degree Master of Science programme in </w:t>
      </w:r>
      <w:r w:rsidR="004A3702">
        <w:rPr>
          <w:rFonts w:ascii="Calibri" w:eastAsia="Calibri" w:hAnsi="Calibri" w:cs="Calibri"/>
        </w:rPr>
        <w:t>xxx</w:t>
      </w:r>
      <w:r>
        <w:rPr>
          <w:rFonts w:ascii="Calibri" w:eastAsia="Calibri" w:hAnsi="Calibri" w:cs="Calibri"/>
        </w:rPr>
        <w:t>(hereinafter abbreviated as</w:t>
      </w:r>
      <w:r w:rsidR="004A3702">
        <w:rPr>
          <w:rFonts w:ascii="Calibri" w:eastAsia="Calibri" w:hAnsi="Calibri" w:cs="Calibri"/>
        </w:rPr>
        <w:t>xxx</w:t>
      </w:r>
      <w:r>
        <w:rPr>
          <w:rFonts w:ascii="Calibri" w:eastAsia="Calibri" w:hAnsi="Calibri" w:cs="Calibri"/>
        </w:rPr>
        <w:t xml:space="preserve">). </w:t>
      </w:r>
    </w:p>
    <w:p w14:paraId="16C5151D" w14:textId="77777777" w:rsidR="006B113F" w:rsidRDefault="00000000">
      <w:pPr>
        <w:widowControl w:val="0"/>
        <w:spacing w:line="240" w:lineRule="auto"/>
        <w:ind w:left="100"/>
        <w:jc w:val="both"/>
        <w:rPr>
          <w:rFonts w:ascii="Calibri" w:eastAsia="Calibri" w:hAnsi="Calibri" w:cs="Calibri"/>
        </w:rPr>
      </w:pPr>
      <w:r>
        <w:rPr>
          <w:rFonts w:ascii="Calibri" w:eastAsia="Calibri" w:hAnsi="Calibri" w:cs="Calibri"/>
        </w:rPr>
        <w:t xml:space="preserve">This Agreement has been jointly developed by the Partner Institutions and is in accordance with legislation in their respective national jurisdictions. </w:t>
      </w:r>
    </w:p>
    <w:p w14:paraId="21C7A9DE" w14:textId="0437B687" w:rsidR="006B113F" w:rsidRDefault="00000000">
      <w:pPr>
        <w:widowControl w:val="0"/>
        <w:spacing w:line="240" w:lineRule="auto"/>
        <w:ind w:left="100"/>
        <w:jc w:val="both"/>
        <w:rPr>
          <w:rFonts w:ascii="Calibri" w:eastAsia="Calibri" w:hAnsi="Calibri" w:cs="Calibri"/>
          <w:highlight w:val="green"/>
        </w:rPr>
      </w:pPr>
      <w:r w:rsidRPr="00B270F7">
        <w:rPr>
          <w:rFonts w:ascii="Calibri" w:eastAsia="Calibri" w:hAnsi="Calibri" w:cs="Calibri"/>
          <w:b/>
          <w:bCs/>
        </w:rPr>
        <w:t xml:space="preserve">Without affecting the former, </w:t>
      </w:r>
      <w:r w:rsidRPr="00B270F7">
        <w:rPr>
          <w:rFonts w:ascii="Calibri" w:eastAsia="Calibri" w:hAnsi="Calibri" w:cs="Calibri"/>
          <w:b/>
          <w:bCs/>
          <w:highlight w:val="white"/>
        </w:rPr>
        <w:t xml:space="preserve">the Agreement is also intended to be in accordance with a multi-beneficiary grant agreement with the European Commission, within the framework of the EU’s Erasmus+ funding scheme Erasmus Mundus Joint Masters (hereinafter referred to as “EMJM”). </w:t>
      </w:r>
      <w:r w:rsidRPr="00B270F7">
        <w:rPr>
          <w:rStyle w:val="cf01"/>
          <w:rFonts w:asciiTheme="majorHAnsi" w:hAnsiTheme="majorHAnsi" w:cstheme="majorHAnsi"/>
          <w:b/>
          <w:bCs/>
          <w:sz w:val="22"/>
          <w:szCs w:val="22"/>
        </w:rPr>
        <w:t xml:space="preserve">The Consortium agrees to run the </w:t>
      </w:r>
      <w:r w:rsidR="004A3702">
        <w:rPr>
          <w:rStyle w:val="cf01"/>
          <w:rFonts w:asciiTheme="majorHAnsi" w:hAnsiTheme="majorHAnsi" w:cstheme="majorHAnsi"/>
          <w:b/>
          <w:bCs/>
          <w:sz w:val="22"/>
          <w:szCs w:val="22"/>
        </w:rPr>
        <w:t>xx</w:t>
      </w:r>
      <w:r w:rsidRPr="00B270F7">
        <w:rPr>
          <w:rStyle w:val="cf01"/>
          <w:rFonts w:asciiTheme="majorHAnsi" w:hAnsiTheme="majorHAnsi" w:cstheme="majorHAnsi"/>
          <w:b/>
          <w:bCs/>
          <w:sz w:val="22"/>
          <w:szCs w:val="22"/>
        </w:rPr>
        <w:t xml:space="preserve"> programme with or without Erasmus Mundus Joint Master’s funds (EMJM status).</w:t>
      </w:r>
      <w:r>
        <w:rPr>
          <w:rFonts w:ascii="Calibri" w:eastAsia="Calibri" w:hAnsi="Calibri" w:cs="Calibri"/>
          <w:highlight w:val="green"/>
        </w:rPr>
        <w:t xml:space="preserve"> </w:t>
      </w:r>
    </w:p>
    <w:p w14:paraId="53063BD2" w14:textId="77777777" w:rsidR="006B113F" w:rsidRDefault="00000000">
      <w:pPr>
        <w:widowControl w:val="0"/>
        <w:spacing w:line="240" w:lineRule="auto"/>
        <w:ind w:left="100"/>
        <w:jc w:val="both"/>
        <w:rPr>
          <w:rFonts w:ascii="Calibri" w:eastAsia="Calibri" w:hAnsi="Calibri" w:cs="Calibri"/>
        </w:rPr>
      </w:pPr>
      <w:r>
        <w:rPr>
          <w:rFonts w:ascii="Calibri" w:eastAsia="Calibri" w:hAnsi="Calibri" w:cs="Calibri"/>
        </w:rPr>
        <w:t>As all Partner Universities are part of the European University of Postindustrial Cities (UNIC), this Agreement supplements the overall Cooperation Agreement which the partners concluded when founding the UNIC network.</w:t>
      </w:r>
    </w:p>
    <w:p w14:paraId="5E716DA6" w14:textId="77777777" w:rsidR="006B113F" w:rsidRDefault="006B113F">
      <w:pPr>
        <w:widowControl w:val="0"/>
        <w:spacing w:line="240" w:lineRule="auto"/>
        <w:ind w:left="100"/>
        <w:jc w:val="both"/>
        <w:rPr>
          <w:rFonts w:ascii="Calibri" w:eastAsia="Calibri" w:hAnsi="Calibri" w:cs="Calibri"/>
        </w:rPr>
      </w:pPr>
    </w:p>
    <w:p w14:paraId="40885AB6" w14:textId="77777777" w:rsidR="006B113F" w:rsidRDefault="006B113F">
      <w:pPr>
        <w:widowControl w:val="0"/>
        <w:spacing w:line="240" w:lineRule="auto"/>
        <w:ind w:left="100"/>
        <w:jc w:val="both"/>
        <w:rPr>
          <w:rFonts w:ascii="Calibri" w:eastAsia="Calibri" w:hAnsi="Calibri" w:cs="Calibri"/>
        </w:rPr>
      </w:pPr>
    </w:p>
    <w:p w14:paraId="4A0CD70D" w14:textId="77777777" w:rsidR="006B113F" w:rsidRDefault="00000000">
      <w:pPr>
        <w:pStyle w:val="berschrift1"/>
        <w:keepNext w:val="0"/>
        <w:keepLines w:val="0"/>
        <w:widowControl w:val="0"/>
        <w:tabs>
          <w:tab w:val="left" w:pos="1518"/>
        </w:tabs>
        <w:spacing w:before="0" w:after="0" w:line="240" w:lineRule="auto"/>
        <w:ind w:left="100"/>
        <w:jc w:val="both"/>
        <w:rPr>
          <w:rFonts w:ascii="Cambria" w:eastAsia="Cambria" w:hAnsi="Cambria" w:cs="Cambria"/>
          <w:sz w:val="28"/>
          <w:szCs w:val="28"/>
        </w:rPr>
      </w:pPr>
      <w:bookmarkStart w:id="3" w:name="_Toc141279949"/>
      <w:r>
        <w:rPr>
          <w:rFonts w:ascii="Calibri" w:eastAsia="Calibri" w:hAnsi="Calibri" w:cs="Calibri"/>
          <w:b/>
          <w:color w:val="365F91"/>
          <w:sz w:val="28"/>
          <w:szCs w:val="28"/>
        </w:rPr>
        <w:t>Article 2</w:t>
      </w:r>
      <w:r>
        <w:rPr>
          <w:rFonts w:ascii="Calibri" w:eastAsia="Calibri" w:hAnsi="Calibri" w:cs="Calibri"/>
          <w:b/>
          <w:color w:val="365F91"/>
          <w:sz w:val="28"/>
          <w:szCs w:val="28"/>
        </w:rPr>
        <w:tab/>
        <w:t>Parties</w:t>
      </w:r>
      <w:bookmarkEnd w:id="3"/>
    </w:p>
    <w:p w14:paraId="69A2ECE1" w14:textId="16E2C0D5" w:rsidR="006B113F" w:rsidRDefault="00000000">
      <w:pPr>
        <w:widowControl w:val="0"/>
        <w:numPr>
          <w:ilvl w:val="0"/>
          <w:numId w:val="29"/>
        </w:numPr>
        <w:tabs>
          <w:tab w:val="left" w:pos="461"/>
        </w:tabs>
        <w:spacing w:line="240" w:lineRule="auto"/>
        <w:jc w:val="both"/>
      </w:pPr>
      <w:r>
        <w:rPr>
          <w:rFonts w:ascii="Calibri" w:eastAsia="Calibri" w:hAnsi="Calibri" w:cs="Calibri"/>
        </w:rPr>
        <w:t>The Partnership Agreement is concluded by and between the following Parties</w:t>
      </w:r>
      <w:bookmarkStart w:id="4" w:name="_Hlk114217421"/>
      <w:r>
        <w:rPr>
          <w:rFonts w:ascii="Calibri" w:eastAsia="Calibri" w:hAnsi="Calibri" w:cs="Calibri"/>
        </w:rPr>
        <w:t xml:space="preserve">, forming the </w:t>
      </w:r>
      <w:r w:rsidR="004A3702">
        <w:rPr>
          <w:rFonts w:ascii="Calibri" w:eastAsia="Calibri" w:hAnsi="Calibri" w:cs="Calibri"/>
          <w:b/>
          <w:bCs/>
        </w:rPr>
        <w:t>xx</w:t>
      </w:r>
      <w:r>
        <w:rPr>
          <w:rFonts w:ascii="Calibri" w:eastAsia="Calibri" w:hAnsi="Calibri" w:cs="Calibri"/>
          <w:b/>
          <w:bCs/>
        </w:rPr>
        <w:t xml:space="preserve"> Consortium</w:t>
      </w:r>
      <w:bookmarkEnd w:id="4"/>
      <w:r>
        <w:rPr>
          <w:rFonts w:ascii="Calibri" w:eastAsia="Calibri" w:hAnsi="Calibri" w:cs="Calibri"/>
          <w:b/>
          <w:bCs/>
        </w:rPr>
        <w:t xml:space="preserve"> </w:t>
      </w:r>
      <w:r>
        <w:rPr>
          <w:rFonts w:ascii="Calibri" w:eastAsia="Calibri" w:hAnsi="Calibri" w:cs="Calibri"/>
        </w:rPr>
        <w:t>(hereinafter also referred to as “Consortium”):</w:t>
      </w:r>
    </w:p>
    <w:p w14:paraId="2A6667CE" w14:textId="77777777" w:rsidR="006B113F" w:rsidRDefault="00000000">
      <w:pPr>
        <w:pStyle w:val="Listenabsatz"/>
        <w:widowControl w:val="0"/>
        <w:numPr>
          <w:ilvl w:val="1"/>
          <w:numId w:val="59"/>
        </w:numPr>
        <w:tabs>
          <w:tab w:val="left" w:pos="1134"/>
        </w:tabs>
        <w:spacing w:line="240" w:lineRule="auto"/>
        <w:ind w:left="1134" w:hanging="567"/>
        <w:jc w:val="both"/>
      </w:pPr>
      <w:bookmarkStart w:id="5" w:name="_tyjcwt"/>
      <w:bookmarkEnd w:id="5"/>
      <w:r>
        <w:rPr>
          <w:rFonts w:ascii="Calibri" w:eastAsia="Calibri" w:hAnsi="Calibri" w:cs="Calibri"/>
          <w:b/>
        </w:rPr>
        <w:t>Ruhr-Universität Bochum</w:t>
      </w:r>
      <w:r>
        <w:rPr>
          <w:rFonts w:ascii="Calibri" w:eastAsia="Calibri" w:hAnsi="Calibri" w:cs="Calibri"/>
        </w:rPr>
        <w:t>, Universitätsstraße 150, 44801 Bochum, Germany (hereinafter also referred to as “</w:t>
      </w:r>
      <w:r>
        <w:rPr>
          <w:rFonts w:ascii="Calibri" w:eastAsia="Calibri" w:hAnsi="Calibri" w:cs="Calibri"/>
          <w:b/>
        </w:rPr>
        <w:t>RUB</w:t>
      </w:r>
      <w:r>
        <w:rPr>
          <w:rFonts w:ascii="Calibri" w:eastAsia="Calibri" w:hAnsi="Calibri" w:cs="Calibri"/>
        </w:rPr>
        <w:t>”),</w:t>
      </w:r>
    </w:p>
    <w:p w14:paraId="35A90B2D" w14:textId="77777777" w:rsidR="006B113F" w:rsidRDefault="00000000">
      <w:pPr>
        <w:pStyle w:val="Listenabsatz"/>
        <w:widowControl w:val="0"/>
        <w:numPr>
          <w:ilvl w:val="1"/>
          <w:numId w:val="59"/>
        </w:numPr>
        <w:tabs>
          <w:tab w:val="left" w:pos="1134"/>
        </w:tabs>
        <w:spacing w:line="240" w:lineRule="auto"/>
        <w:ind w:left="1134" w:hanging="567"/>
        <w:jc w:val="both"/>
        <w:rPr>
          <w:b/>
        </w:rPr>
      </w:pPr>
      <w:hyperlink r:id="rId8" w:tooltip="https://unic.eu/en/universities/university-college-cork" w:history="1">
        <w:r>
          <w:rPr>
            <w:rFonts w:ascii="Calibri" w:eastAsia="Calibri" w:hAnsi="Calibri" w:cs="Calibri"/>
            <w:b/>
          </w:rPr>
          <w:t>University College Cork</w:t>
        </w:r>
      </w:hyperlink>
      <w:r>
        <w:rPr>
          <w:rFonts w:ascii="Calibri" w:eastAsia="Calibri" w:hAnsi="Calibri" w:cs="Calibri"/>
          <w:b/>
          <w:bCs/>
        </w:rPr>
        <w:t>, National University of Ireland, Cork</w:t>
      </w:r>
      <w:r>
        <w:rPr>
          <w:rFonts w:ascii="Calibri" w:eastAsia="Calibri" w:hAnsi="Calibri" w:cs="Calibri"/>
        </w:rPr>
        <w:t xml:space="preserve"> (hereinafter also referred to as “</w:t>
      </w:r>
      <w:r>
        <w:rPr>
          <w:rFonts w:ascii="Calibri" w:eastAsia="Calibri" w:hAnsi="Calibri" w:cs="Calibri"/>
          <w:b/>
        </w:rPr>
        <w:t>UCC</w:t>
      </w:r>
      <w:r>
        <w:rPr>
          <w:rFonts w:ascii="Calibri" w:eastAsia="Calibri" w:hAnsi="Calibri" w:cs="Calibri"/>
        </w:rPr>
        <w:t>”),</w:t>
      </w:r>
    </w:p>
    <w:p w14:paraId="311E7FCF" w14:textId="77777777" w:rsidR="006B113F" w:rsidRDefault="00000000">
      <w:pPr>
        <w:pStyle w:val="Listenabsatz"/>
        <w:widowControl w:val="0"/>
        <w:numPr>
          <w:ilvl w:val="1"/>
          <w:numId w:val="59"/>
        </w:numPr>
        <w:tabs>
          <w:tab w:val="left" w:pos="1134"/>
        </w:tabs>
        <w:spacing w:line="240" w:lineRule="auto"/>
        <w:ind w:left="1134" w:hanging="567"/>
        <w:jc w:val="both"/>
        <w:rPr>
          <w:b/>
        </w:rPr>
      </w:pPr>
      <w:hyperlink r:id="rId9" w:tooltip="https://unic.eu/en/universities/university-of-deusto" w:history="1">
        <w:r>
          <w:rPr>
            <w:rFonts w:ascii="Calibri" w:eastAsia="Calibri" w:hAnsi="Calibri" w:cs="Calibri"/>
            <w:b/>
          </w:rPr>
          <w:t>University of Deusto</w:t>
        </w:r>
      </w:hyperlink>
      <w:r>
        <w:rPr>
          <w:rFonts w:ascii="Calibri" w:eastAsia="Calibri" w:hAnsi="Calibri" w:cs="Calibri"/>
        </w:rPr>
        <w:t>, Avda Universidades 24, 48007, Bilbao, Spain (hereinafter also referred to as “</w:t>
      </w:r>
      <w:r>
        <w:rPr>
          <w:rFonts w:ascii="Calibri" w:eastAsia="Calibri" w:hAnsi="Calibri" w:cs="Calibri"/>
          <w:b/>
        </w:rPr>
        <w:t>UDeusto</w:t>
      </w:r>
      <w:r>
        <w:rPr>
          <w:rFonts w:ascii="Calibri" w:eastAsia="Calibri" w:hAnsi="Calibri" w:cs="Calibri"/>
        </w:rPr>
        <w:t>”)</w:t>
      </w:r>
    </w:p>
    <w:p w14:paraId="7A1A0675" w14:textId="77777777" w:rsidR="006B113F" w:rsidRDefault="00000000">
      <w:pPr>
        <w:pStyle w:val="Listenabsatz"/>
        <w:widowControl w:val="0"/>
        <w:numPr>
          <w:ilvl w:val="1"/>
          <w:numId w:val="59"/>
        </w:numPr>
        <w:tabs>
          <w:tab w:val="left" w:pos="1134"/>
        </w:tabs>
        <w:spacing w:line="240" w:lineRule="auto"/>
        <w:ind w:left="1134" w:hanging="567"/>
        <w:jc w:val="both"/>
        <w:rPr>
          <w:b/>
        </w:rPr>
      </w:pPr>
      <w:hyperlink r:id="rId10" w:tooltip="https://unic.eu/en/universities/erasmus-university" w:history="1">
        <w:r>
          <w:rPr>
            <w:rFonts w:ascii="Calibri" w:eastAsia="Calibri" w:hAnsi="Calibri" w:cs="Calibri"/>
            <w:b/>
          </w:rPr>
          <w:t>Erasmus University</w:t>
        </w:r>
      </w:hyperlink>
      <w:r>
        <w:rPr>
          <w:rFonts w:ascii="Calibri" w:eastAsia="Calibri" w:hAnsi="Calibri" w:cs="Calibri"/>
          <w:b/>
        </w:rPr>
        <w:t xml:space="preserve"> Rotterdam</w:t>
      </w:r>
      <w:r>
        <w:rPr>
          <w:rFonts w:ascii="Calibri" w:eastAsia="Calibri" w:hAnsi="Calibri" w:cs="Calibri"/>
        </w:rPr>
        <w:t>, Burgemeester Oudlaan 50, 3062 PA Rotterdam (hereinafter also referred to as “</w:t>
      </w:r>
      <w:r>
        <w:rPr>
          <w:rFonts w:ascii="Calibri" w:eastAsia="Calibri" w:hAnsi="Calibri" w:cs="Calibri"/>
          <w:b/>
        </w:rPr>
        <w:t>EUR</w:t>
      </w:r>
      <w:r>
        <w:rPr>
          <w:rFonts w:ascii="Calibri" w:eastAsia="Calibri" w:hAnsi="Calibri" w:cs="Calibri"/>
        </w:rPr>
        <w:t>”),</w:t>
      </w:r>
    </w:p>
    <w:p w14:paraId="5376A3AC" w14:textId="77777777" w:rsidR="006B113F" w:rsidRDefault="00000000">
      <w:pPr>
        <w:pStyle w:val="Listenabsatz"/>
        <w:widowControl w:val="0"/>
        <w:numPr>
          <w:ilvl w:val="1"/>
          <w:numId w:val="59"/>
        </w:numPr>
        <w:tabs>
          <w:tab w:val="left" w:pos="1134"/>
        </w:tabs>
        <w:spacing w:line="240" w:lineRule="auto"/>
        <w:ind w:left="1134" w:hanging="567"/>
        <w:jc w:val="both"/>
        <w:rPr>
          <w:b/>
        </w:rPr>
      </w:pPr>
      <w:r>
        <w:rPr>
          <w:rFonts w:ascii="Calibri" w:eastAsia="Calibri" w:hAnsi="Calibri" w:cs="Calibri"/>
          <w:b/>
        </w:rPr>
        <w:t>Koç University</w:t>
      </w:r>
      <w:r>
        <w:rPr>
          <w:rFonts w:ascii="Calibri" w:eastAsia="Calibri" w:hAnsi="Calibri" w:cs="Calibri"/>
        </w:rPr>
        <w:t>, Rumelifeneri Yolu, Sarıyer 34450, Istanbul, Türkiye (hereinafter also referred to as “</w:t>
      </w:r>
      <w:r>
        <w:rPr>
          <w:rFonts w:ascii="Calibri" w:eastAsia="Calibri" w:hAnsi="Calibri" w:cs="Calibri"/>
          <w:b/>
        </w:rPr>
        <w:t>KU</w:t>
      </w:r>
      <w:r>
        <w:rPr>
          <w:rFonts w:ascii="Calibri" w:eastAsia="Calibri" w:hAnsi="Calibri" w:cs="Calibri"/>
        </w:rPr>
        <w:t>”),</w:t>
      </w:r>
    </w:p>
    <w:p w14:paraId="0971F05A" w14:textId="77777777" w:rsidR="006B113F" w:rsidRDefault="00000000">
      <w:pPr>
        <w:pStyle w:val="Listenabsatz"/>
        <w:widowControl w:val="0"/>
        <w:numPr>
          <w:ilvl w:val="1"/>
          <w:numId w:val="59"/>
        </w:numPr>
        <w:tabs>
          <w:tab w:val="left" w:pos="1134"/>
        </w:tabs>
        <w:spacing w:line="240" w:lineRule="auto"/>
        <w:ind w:left="1134" w:hanging="567"/>
        <w:jc w:val="both"/>
        <w:rPr>
          <w:b/>
        </w:rPr>
      </w:pPr>
      <w:hyperlink r:id="rId11" w:tooltip="https://unic.eu/en/universities/university-of-liege" w:history="1">
        <w:r>
          <w:rPr>
            <w:rFonts w:ascii="Calibri" w:eastAsia="Calibri" w:hAnsi="Calibri" w:cs="Calibri"/>
            <w:b/>
          </w:rPr>
          <w:t>Université de Liège</w:t>
        </w:r>
      </w:hyperlink>
      <w:hyperlink r:id="rId12" w:tooltip="https://unic.eu/en/universities/university-of-liege" w:history="1">
        <w:r>
          <w:rPr>
            <w:rFonts w:ascii="Calibri" w:eastAsia="Calibri" w:hAnsi="Calibri" w:cs="Calibri"/>
          </w:rPr>
          <w:t>, Place du 20-août, 4000 Liège, Belgium (hereinafter also referred to as “</w:t>
        </w:r>
      </w:hyperlink>
      <w:hyperlink r:id="rId13" w:tooltip="https://unic.eu/en/universities/university-of-liege" w:history="1">
        <w:r>
          <w:rPr>
            <w:rFonts w:ascii="Calibri" w:eastAsia="Calibri" w:hAnsi="Calibri" w:cs="Calibri"/>
            <w:b/>
          </w:rPr>
          <w:t>ULiège</w:t>
        </w:r>
      </w:hyperlink>
      <w:hyperlink r:id="rId14" w:tooltip="https://unic.eu/en/universities/university-of-liege" w:history="1">
        <w:r>
          <w:rPr>
            <w:rFonts w:ascii="Calibri" w:eastAsia="Calibri" w:hAnsi="Calibri" w:cs="Calibri"/>
          </w:rPr>
          <w:t>”)</w:t>
        </w:r>
      </w:hyperlink>
    </w:p>
    <w:p w14:paraId="731E71A0" w14:textId="77777777" w:rsidR="006B113F" w:rsidRDefault="00000000">
      <w:pPr>
        <w:pStyle w:val="Listenabsatz"/>
        <w:widowControl w:val="0"/>
        <w:numPr>
          <w:ilvl w:val="1"/>
          <w:numId w:val="59"/>
        </w:numPr>
        <w:tabs>
          <w:tab w:val="left" w:pos="1134"/>
        </w:tabs>
        <w:spacing w:line="240" w:lineRule="auto"/>
        <w:ind w:left="1134" w:hanging="567"/>
        <w:jc w:val="both"/>
      </w:pPr>
      <w:hyperlink r:id="rId15" w:tooltip="https://unic.eu/en/universities/university-of-oulu" w:history="1">
        <w:r>
          <w:rPr>
            <w:rFonts w:ascii="Calibri" w:eastAsia="Calibri" w:hAnsi="Calibri" w:cs="Calibri"/>
            <w:b/>
          </w:rPr>
          <w:t>University of Oulu</w:t>
        </w:r>
      </w:hyperlink>
      <w:hyperlink r:id="rId16" w:tooltip="https://unic.eu/en/universities/university-of-oulu" w:history="1">
        <w:r>
          <w:rPr>
            <w:rFonts w:ascii="Calibri" w:eastAsia="Calibri" w:hAnsi="Calibri" w:cs="Calibri"/>
          </w:rPr>
          <w:t>,</w:t>
        </w:r>
      </w:hyperlink>
      <w:r>
        <w:rPr>
          <w:rFonts w:ascii="Calibri" w:eastAsia="Calibri" w:hAnsi="Calibri" w:cs="Calibri"/>
        </w:rPr>
        <w:t xml:space="preserve"> Pentti Kaiteran katu 1, 90014 Oulu, Finland (hereinafter also referred to as “</w:t>
      </w:r>
      <w:r>
        <w:rPr>
          <w:rFonts w:ascii="Calibri" w:eastAsia="Calibri" w:hAnsi="Calibri" w:cs="Calibri"/>
          <w:b/>
        </w:rPr>
        <w:t>UOulu</w:t>
      </w:r>
      <w:r>
        <w:rPr>
          <w:rFonts w:ascii="Calibri" w:eastAsia="Calibri" w:hAnsi="Calibri" w:cs="Calibri"/>
        </w:rPr>
        <w:t>”),</w:t>
      </w:r>
    </w:p>
    <w:p w14:paraId="71FA0B85" w14:textId="77777777" w:rsidR="006B113F" w:rsidRDefault="00000000">
      <w:pPr>
        <w:pStyle w:val="Listenabsatz"/>
        <w:widowControl w:val="0"/>
        <w:numPr>
          <w:ilvl w:val="1"/>
          <w:numId w:val="59"/>
        </w:numPr>
        <w:tabs>
          <w:tab w:val="left" w:pos="1134"/>
        </w:tabs>
        <w:spacing w:line="240" w:lineRule="auto"/>
        <w:ind w:left="1134" w:hanging="567"/>
        <w:jc w:val="both"/>
      </w:pPr>
      <w:hyperlink r:id="rId17" w:tooltip="https://unic.eu/en/universities/university-of-zagreb" w:history="1">
        <w:r>
          <w:rPr>
            <w:rFonts w:ascii="Calibri" w:eastAsia="Calibri" w:hAnsi="Calibri" w:cs="Calibri"/>
            <w:b/>
          </w:rPr>
          <w:t>University of Zagreb</w:t>
        </w:r>
      </w:hyperlink>
      <w:hyperlink r:id="rId18" w:tooltip="https://unic.eu/en/universities/university-of-zagreb" w:history="1">
        <w:r>
          <w:rPr>
            <w:rFonts w:ascii="Calibri" w:eastAsia="Calibri" w:hAnsi="Calibri" w:cs="Calibri"/>
          </w:rPr>
          <w:t>,</w:t>
        </w:r>
      </w:hyperlink>
      <w:r>
        <w:rPr>
          <w:rFonts w:ascii="Calibri" w:eastAsia="Calibri" w:hAnsi="Calibri" w:cs="Calibri"/>
        </w:rPr>
        <w:t xml:space="preserve"> Trg Republike Hrvatske 14, 10000 Zagreb, Croatia (hereinafter also referred to as “</w:t>
      </w:r>
      <w:r>
        <w:rPr>
          <w:rFonts w:ascii="Calibri" w:eastAsia="Calibri" w:hAnsi="Calibri" w:cs="Calibri"/>
          <w:b/>
        </w:rPr>
        <w:t>UniZG</w:t>
      </w:r>
      <w:r>
        <w:rPr>
          <w:rFonts w:ascii="Calibri" w:eastAsia="Calibri" w:hAnsi="Calibri" w:cs="Calibri"/>
        </w:rPr>
        <w:t>”).</w:t>
      </w:r>
    </w:p>
    <w:p w14:paraId="2098EC06" w14:textId="77777777" w:rsidR="006B113F" w:rsidRDefault="00000000">
      <w:pPr>
        <w:widowControl w:val="0"/>
        <w:numPr>
          <w:ilvl w:val="0"/>
          <w:numId w:val="29"/>
        </w:numPr>
        <w:tabs>
          <w:tab w:val="left" w:pos="461"/>
        </w:tabs>
        <w:spacing w:line="240" w:lineRule="auto"/>
        <w:jc w:val="both"/>
      </w:pPr>
      <w:r>
        <w:rPr>
          <w:rFonts w:ascii="Calibri" w:eastAsia="Calibri" w:hAnsi="Calibri" w:cs="Calibri"/>
        </w:rPr>
        <w:t>The Parties to this Agreement are collectively referred to as the “</w:t>
      </w:r>
      <w:r>
        <w:rPr>
          <w:rFonts w:ascii="Calibri" w:eastAsia="Calibri" w:hAnsi="Calibri" w:cs="Calibri"/>
          <w:b/>
        </w:rPr>
        <w:t>Partner Institutions</w:t>
      </w:r>
      <w:r>
        <w:rPr>
          <w:rFonts w:ascii="Calibri" w:eastAsia="Calibri" w:hAnsi="Calibri" w:cs="Calibri"/>
        </w:rPr>
        <w:t>” or interchangeably as the</w:t>
      </w:r>
      <w:r>
        <w:rPr>
          <w:rFonts w:ascii="Calibri" w:eastAsia="Calibri" w:hAnsi="Calibri" w:cs="Calibri"/>
          <w:b/>
        </w:rPr>
        <w:t xml:space="preserve"> </w:t>
      </w:r>
      <w:r>
        <w:rPr>
          <w:rFonts w:ascii="Calibri" w:eastAsia="Calibri" w:hAnsi="Calibri" w:cs="Calibri"/>
        </w:rPr>
        <w:t>“</w:t>
      </w:r>
      <w:r>
        <w:rPr>
          <w:rFonts w:ascii="Calibri" w:eastAsia="Calibri" w:hAnsi="Calibri" w:cs="Calibri"/>
          <w:b/>
        </w:rPr>
        <w:t>Partner Universities</w:t>
      </w:r>
      <w:r>
        <w:rPr>
          <w:rFonts w:ascii="Calibri" w:eastAsia="Calibri" w:hAnsi="Calibri" w:cs="Calibri"/>
        </w:rPr>
        <w:t>” (individually: “Partner Institution” or “Partner University”).</w:t>
      </w:r>
    </w:p>
    <w:p w14:paraId="25A35BA7" w14:textId="5237E532" w:rsidR="006B113F" w:rsidRDefault="00000000">
      <w:pPr>
        <w:widowControl w:val="0"/>
        <w:numPr>
          <w:ilvl w:val="0"/>
          <w:numId w:val="29"/>
        </w:numPr>
        <w:tabs>
          <w:tab w:val="left" w:pos="461"/>
        </w:tabs>
        <w:spacing w:line="240" w:lineRule="auto"/>
        <w:jc w:val="both"/>
        <w:rPr>
          <w:color w:val="000000"/>
        </w:rPr>
      </w:pPr>
      <w:r>
        <w:rPr>
          <w:rFonts w:ascii="Calibri" w:eastAsia="Calibri" w:hAnsi="Calibri" w:cs="Calibri"/>
        </w:rPr>
        <w:t xml:space="preserve">Further parties may be added to this Agreement by </w:t>
      </w:r>
      <w:bookmarkStart w:id="6" w:name="_Hlk114217524"/>
      <w:r>
        <w:rPr>
          <w:rFonts w:ascii="Calibri" w:eastAsia="Calibri" w:hAnsi="Calibri" w:cs="Calibri"/>
        </w:rPr>
        <w:t xml:space="preserve">unanimous </w:t>
      </w:r>
      <w:bookmarkEnd w:id="6"/>
      <w:r>
        <w:rPr>
          <w:rFonts w:ascii="Calibri" w:eastAsia="Calibri" w:hAnsi="Calibri" w:cs="Calibri"/>
        </w:rPr>
        <w:t xml:space="preserve">consent of the present Partner Institutions. The addition of new </w:t>
      </w:r>
      <w:r>
        <w:rPr>
          <w:rFonts w:ascii="Calibri" w:eastAsia="Calibri" w:hAnsi="Calibri" w:cs="Calibri"/>
          <w:b/>
        </w:rPr>
        <w:t>full partners</w:t>
      </w:r>
      <w:r>
        <w:rPr>
          <w:rFonts w:ascii="Calibri" w:eastAsia="Calibri" w:hAnsi="Calibri" w:cs="Calibri"/>
        </w:rPr>
        <w:t xml:space="preserve"> may require a review of the terms of this Agreement. The Consortium may also invite </w:t>
      </w:r>
      <w:r>
        <w:rPr>
          <w:rFonts w:ascii="Calibri" w:eastAsia="Calibri" w:hAnsi="Calibri" w:cs="Calibri"/>
          <w:b/>
        </w:rPr>
        <w:t xml:space="preserve">associated partners </w:t>
      </w:r>
      <w:r>
        <w:rPr>
          <w:rFonts w:ascii="Calibri" w:eastAsia="Calibri" w:hAnsi="Calibri" w:cs="Calibri"/>
        </w:rPr>
        <w:t xml:space="preserve">with a limited role in the implementation and delivery of the degree programme in the form of, but not limited to, the involvement in City Labs, the provision of possibilities for outreach placements, of complementary courses, or of knowledge and skills transfer. For contractual management issues, associated partners are not considered part of the Consortium, and arrangements between the </w:t>
      </w:r>
      <w:r w:rsidR="004A3702">
        <w:rPr>
          <w:rFonts w:ascii="Calibri" w:eastAsia="Calibri" w:hAnsi="Calibri" w:cs="Calibri"/>
        </w:rPr>
        <w:t>xx</w:t>
      </w:r>
      <w:r>
        <w:rPr>
          <w:rFonts w:ascii="Calibri" w:eastAsia="Calibri" w:hAnsi="Calibri" w:cs="Calibri"/>
        </w:rPr>
        <w:t xml:space="preserve"> Consortium and such associated partners shall be regulated separately and must be in conformity with the requirements of this Agreement. </w:t>
      </w:r>
    </w:p>
    <w:p w14:paraId="06FFD55C"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1FA8ED09"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2E9A381B" w14:textId="77777777" w:rsidR="006B113F" w:rsidRDefault="00000000">
      <w:pPr>
        <w:pStyle w:val="berschrift1"/>
        <w:keepNext w:val="0"/>
        <w:keepLines w:val="0"/>
        <w:widowControl w:val="0"/>
        <w:tabs>
          <w:tab w:val="left" w:pos="1518"/>
        </w:tabs>
        <w:spacing w:before="0" w:after="0" w:line="240" w:lineRule="auto"/>
        <w:ind w:left="100"/>
        <w:jc w:val="both"/>
        <w:rPr>
          <w:rFonts w:ascii="Cambria" w:eastAsia="Cambria" w:hAnsi="Cambria" w:cs="Cambria"/>
          <w:sz w:val="28"/>
          <w:szCs w:val="28"/>
        </w:rPr>
      </w:pPr>
      <w:bookmarkStart w:id="7" w:name="_Toc141279950"/>
      <w:r>
        <w:rPr>
          <w:rFonts w:ascii="Calibri" w:eastAsia="Calibri" w:hAnsi="Calibri" w:cs="Calibri"/>
          <w:b/>
          <w:color w:val="365F91"/>
          <w:sz w:val="28"/>
          <w:szCs w:val="28"/>
        </w:rPr>
        <w:t>Article 3</w:t>
      </w:r>
      <w:r>
        <w:rPr>
          <w:rFonts w:ascii="Calibri" w:eastAsia="Calibri" w:hAnsi="Calibri" w:cs="Calibri"/>
          <w:b/>
          <w:color w:val="365F91"/>
          <w:sz w:val="28"/>
          <w:szCs w:val="28"/>
        </w:rPr>
        <w:tab/>
        <w:t>Legal Framework</w:t>
      </w:r>
      <w:bookmarkEnd w:id="7"/>
    </w:p>
    <w:p w14:paraId="6D67225F" w14:textId="69654E5B"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rPr>
        <w:t xml:space="preserve">This Agreement shall specify the rights and obligations of the Partner Institutions concerning the </w:t>
      </w:r>
      <w:r>
        <w:rPr>
          <w:rFonts w:ascii="Calibri" w:eastAsia="Calibri" w:hAnsi="Calibri" w:cs="Calibri"/>
        </w:rPr>
        <w:lastRenderedPageBreak/>
        <w:t xml:space="preserve">delivery and running of the </w:t>
      </w:r>
      <w:r w:rsidR="004A3702">
        <w:rPr>
          <w:rFonts w:ascii="Calibri" w:eastAsia="Calibri" w:hAnsi="Calibri" w:cs="Calibri"/>
        </w:rPr>
        <w:t>xx</w:t>
      </w:r>
      <w:r>
        <w:rPr>
          <w:rFonts w:ascii="Calibri" w:eastAsia="Calibri" w:hAnsi="Calibri" w:cs="Calibri"/>
        </w:rPr>
        <w:t xml:space="preserve"> joint degree programme. All Partner Institutions are subject to the rules and regulations set up by this Agreement regarding the responsibilities towards</w:t>
      </w:r>
      <w:r w:rsidR="004A3702">
        <w:rPr>
          <w:rFonts w:ascii="Calibri" w:eastAsia="Calibri" w:hAnsi="Calibri" w:cs="Calibri"/>
        </w:rPr>
        <w:t>xx</w:t>
      </w:r>
      <w:r>
        <w:rPr>
          <w:rFonts w:ascii="Calibri" w:eastAsia="Calibri" w:hAnsi="Calibri" w:cs="Calibri"/>
        </w:rPr>
        <w:t xml:space="preserve"> students and the other parties to this Agreement. </w:t>
      </w:r>
    </w:p>
    <w:p w14:paraId="289E8A0E" w14:textId="77777777"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rPr>
        <w:t xml:space="preserve">The Partnership Agreement builds, draws, and extends on the previous experiences of all partners in the setup of joint Master Programmes and respective agreements. </w:t>
      </w:r>
    </w:p>
    <w:p w14:paraId="6522F228" w14:textId="77777777" w:rsidR="006B113F" w:rsidRDefault="00000000">
      <w:pPr>
        <w:numPr>
          <w:ilvl w:val="0"/>
          <w:numId w:val="32"/>
        </w:numPr>
        <w:spacing w:line="240" w:lineRule="auto"/>
        <w:rPr>
          <w:color w:val="000000"/>
        </w:rPr>
      </w:pPr>
      <w:r>
        <w:rPr>
          <w:rFonts w:ascii="Calibri" w:eastAsia="Calibri" w:hAnsi="Calibri" w:cs="Calibri"/>
        </w:rPr>
        <w:t xml:space="preserve">It is acknowledged that the Partner Universities are committed to the promotion of </w:t>
      </w:r>
      <w:r>
        <w:rPr>
          <w:rFonts w:ascii="Calibri" w:eastAsia="Calibri" w:hAnsi="Calibri" w:cs="Calibri"/>
          <w:color w:val="000000"/>
        </w:rPr>
        <w:t>an inclusive policy with regards to all participants of the study programme,</w:t>
      </w:r>
      <w:r>
        <w:rPr>
          <w:rFonts w:ascii="Calibri" w:eastAsia="Calibri" w:hAnsi="Calibri" w:cs="Calibri"/>
        </w:rPr>
        <w:t xml:space="preserve"> and </w:t>
      </w:r>
      <w:r>
        <w:rPr>
          <w:rFonts w:ascii="Calibri" w:eastAsia="Calibri" w:hAnsi="Calibri" w:cs="Calibri"/>
          <w:color w:val="000000"/>
        </w:rPr>
        <w:t xml:space="preserve">to the provision of </w:t>
      </w:r>
      <w:r>
        <w:rPr>
          <w:rFonts w:ascii="Calibri" w:eastAsia="Calibri" w:hAnsi="Calibri" w:cs="Calibri"/>
        </w:rPr>
        <w:t>services to the broader community.</w:t>
      </w:r>
    </w:p>
    <w:p w14:paraId="08B0D5C8" w14:textId="13D9ADB4"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rPr>
        <w:t xml:space="preserve">The joint Master degree programme established by this Partnership Agreement shall be a 120 ECTS credit point programme with a Master Thesis, at level 7 of the European Qualifications Framework for Lifelong Learning and the second cycle in the Framework for Qualifications of the European Higher Education Area. The </w:t>
      </w:r>
      <w:r w:rsidR="00B270F7">
        <w:rPr>
          <w:rFonts w:ascii="Calibri" w:eastAsia="Calibri" w:hAnsi="Calibri" w:cs="Calibri"/>
        </w:rPr>
        <w:t>XX</w:t>
      </w:r>
      <w:r>
        <w:rPr>
          <w:rFonts w:ascii="Calibri" w:eastAsia="Calibri" w:hAnsi="Calibri" w:cs="Calibri"/>
        </w:rPr>
        <w:t xml:space="preserve"> programme shall take in up to </w:t>
      </w:r>
      <w:r w:rsidR="004A3702">
        <w:rPr>
          <w:rFonts w:ascii="Calibri" w:eastAsia="Calibri" w:hAnsi="Calibri" w:cs="Calibri"/>
        </w:rPr>
        <w:t>xx</w:t>
      </w:r>
      <w:r w:rsidR="004A3702">
        <w:rPr>
          <w:rFonts w:ascii="Calibri" w:eastAsia="Calibri" w:hAnsi="Calibri" w:cs="Calibri"/>
        </w:rPr>
        <w:t xml:space="preserve"> </w:t>
      </w:r>
      <w:r>
        <w:rPr>
          <w:rFonts w:ascii="Calibri" w:eastAsia="Calibri" w:hAnsi="Calibri" w:cs="Calibri"/>
        </w:rPr>
        <w:t>students per cohort. Numbers may be adjusted according to demand and capacities.</w:t>
      </w:r>
    </w:p>
    <w:p w14:paraId="193B6E26" w14:textId="3B67F44F" w:rsidR="006B113F" w:rsidRDefault="00000000">
      <w:pPr>
        <w:widowControl w:val="0"/>
        <w:numPr>
          <w:ilvl w:val="0"/>
          <w:numId w:val="32"/>
        </w:numPr>
        <w:tabs>
          <w:tab w:val="left" w:pos="461"/>
        </w:tabs>
        <w:spacing w:line="240" w:lineRule="auto"/>
        <w:jc w:val="both"/>
        <w:rPr>
          <w:color w:val="000000"/>
        </w:rPr>
      </w:pPr>
      <w:bookmarkStart w:id="8" w:name="_1t3h5sf"/>
      <w:bookmarkEnd w:id="8"/>
      <w:r>
        <w:rPr>
          <w:rFonts w:ascii="Calibri" w:eastAsia="Calibri" w:hAnsi="Calibri" w:cs="Calibri"/>
        </w:rPr>
        <w:t>The academic programme, the learning outcomes, the mandatory modules, and the timetable of modules run by the Consortium are established in detail in the "</w:t>
      </w:r>
      <w:r w:rsidR="00B270F7">
        <w:rPr>
          <w:rFonts w:ascii="Calibri" w:eastAsia="Calibri" w:hAnsi="Calibri" w:cs="Calibri"/>
        </w:rPr>
        <w:t>XX</w:t>
      </w:r>
      <w:r>
        <w:rPr>
          <w:rFonts w:ascii="Calibri" w:eastAsia="Calibri" w:hAnsi="Calibri" w:cs="Calibri"/>
        </w:rPr>
        <w:t xml:space="preserve"> Examination Regulations", which constitute an annex to this Partnership Agreement, and which, as any supplemental or further regulations provided by the Partner Institutions, will not be in contradiction with national legislation and the Partnership Agreement.</w:t>
      </w:r>
    </w:p>
    <w:p w14:paraId="17FD63FA" w14:textId="77777777"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rPr>
        <w:t xml:space="preserve">The Partner Institutions are subject to national legislative requirements and agree that they shall </w:t>
      </w:r>
      <w:r>
        <w:rPr>
          <w:rFonts w:ascii="Calibri" w:eastAsia="Calibri" w:hAnsi="Calibri" w:cs="Calibri"/>
          <w:highlight w:val="white"/>
        </w:rPr>
        <w:t xml:space="preserve">co-operate and provide assistance </w:t>
      </w:r>
      <w:r>
        <w:rPr>
          <w:rFonts w:ascii="Calibri" w:eastAsia="Calibri" w:hAnsi="Calibri" w:cs="Calibri"/>
        </w:rPr>
        <w:t>as may be reasonably requested by any Partner Institution to enable compliance with such obligations.</w:t>
      </w:r>
    </w:p>
    <w:p w14:paraId="6EF132D4" w14:textId="77777777" w:rsidR="006B113F" w:rsidRDefault="00000000">
      <w:pPr>
        <w:widowControl w:val="0"/>
        <w:numPr>
          <w:ilvl w:val="0"/>
          <w:numId w:val="32"/>
        </w:numPr>
        <w:tabs>
          <w:tab w:val="left" w:pos="461"/>
        </w:tabs>
        <w:spacing w:line="240" w:lineRule="auto"/>
        <w:jc w:val="both"/>
        <w:rPr>
          <w:rFonts w:ascii="Calibri" w:eastAsia="Calibri" w:hAnsi="Calibri" w:cs="Calibri"/>
        </w:rPr>
      </w:pPr>
      <w:r>
        <w:rPr>
          <w:rFonts w:ascii="Calibri" w:eastAsia="Calibri" w:hAnsi="Calibri" w:cs="Calibri"/>
        </w:rPr>
        <w:t xml:space="preserve">For the duration of this Agreement, all Partner Institutions shall ensure that their academic contributions to this degree programme are correctly registered locally at their institutions, and are correctly accredited and shall prepare to jointly accredit the programme as a joint Master degree, preferably following the European Approach for Accreditation, and in accordance with national regulations. They shall duly inform each other of any developments regarding the accreditation status. </w:t>
      </w:r>
    </w:p>
    <w:p w14:paraId="3637D405" w14:textId="77777777"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color w:val="000000"/>
        </w:rPr>
        <w:t>Accreditation authorities and legal basis for programme delivery and degree award are:</w:t>
      </w:r>
    </w:p>
    <w:p w14:paraId="16CD97F7" w14:textId="77777777" w:rsidR="006B113F" w:rsidRDefault="006B113F">
      <w:pPr>
        <w:widowControl w:val="0"/>
        <w:spacing w:line="240" w:lineRule="auto"/>
        <w:jc w:val="both"/>
        <w:rPr>
          <w:rFonts w:ascii="Calibri" w:eastAsia="Calibri" w:hAnsi="Calibri" w:cs="Calibri"/>
          <w:color w:val="000000"/>
          <w:sz w:val="17"/>
          <w:szCs w:val="17"/>
        </w:rPr>
      </w:pPr>
    </w:p>
    <w:tbl>
      <w:tblPr>
        <w:tblStyle w:val="StGen0"/>
        <w:tblW w:w="8930" w:type="dxa"/>
        <w:tblInd w:w="132" w:type="dxa"/>
        <w:tblLayout w:type="fixed"/>
        <w:tblLook w:val="0000" w:firstRow="0" w:lastRow="0" w:firstColumn="0" w:lastColumn="0" w:noHBand="0" w:noVBand="0"/>
      </w:tblPr>
      <w:tblGrid>
        <w:gridCol w:w="1134"/>
        <w:gridCol w:w="3119"/>
        <w:gridCol w:w="4677"/>
      </w:tblGrid>
      <w:tr w:rsidR="006B113F" w14:paraId="4B526CA5" w14:textId="77777777">
        <w:trPr>
          <w:trHeight w:val="957"/>
        </w:trPr>
        <w:tc>
          <w:tcPr>
            <w:tcW w:w="1134" w:type="dxa"/>
            <w:tcBorders>
              <w:top w:val="single" w:sz="8" w:space="0" w:color="000000"/>
              <w:left w:val="single" w:sz="8" w:space="0" w:color="000000"/>
              <w:bottom w:val="single" w:sz="8" w:space="0" w:color="000000"/>
              <w:right w:val="single" w:sz="8" w:space="0" w:color="000000"/>
            </w:tcBorders>
          </w:tcPr>
          <w:p w14:paraId="684B9188" w14:textId="77777777" w:rsidR="006B113F" w:rsidRDefault="00000000">
            <w:pPr>
              <w:widowControl w:val="0"/>
              <w:spacing w:line="240" w:lineRule="auto"/>
              <w:ind w:left="46"/>
              <w:jc w:val="both"/>
              <w:rPr>
                <w:rFonts w:ascii="Calibri" w:eastAsia="Calibri" w:hAnsi="Calibri" w:cs="Calibri"/>
                <w:b/>
              </w:rPr>
            </w:pPr>
            <w:bookmarkStart w:id="9" w:name="_2s8eyo1"/>
            <w:bookmarkEnd w:id="9"/>
            <w:r>
              <w:rPr>
                <w:rFonts w:ascii="Calibri" w:eastAsia="Calibri" w:hAnsi="Calibri" w:cs="Calibri"/>
                <w:b/>
              </w:rPr>
              <w:t>Institution</w:t>
            </w:r>
          </w:p>
        </w:tc>
        <w:tc>
          <w:tcPr>
            <w:tcW w:w="3119" w:type="dxa"/>
            <w:tcBorders>
              <w:top w:val="single" w:sz="8" w:space="0" w:color="000000"/>
              <w:left w:val="single" w:sz="8" w:space="0" w:color="000000"/>
              <w:bottom w:val="single" w:sz="8" w:space="0" w:color="000000"/>
              <w:right w:val="single" w:sz="8" w:space="0" w:color="000000"/>
            </w:tcBorders>
          </w:tcPr>
          <w:p w14:paraId="361AEE17" w14:textId="77777777" w:rsidR="006B113F" w:rsidRDefault="00000000">
            <w:pPr>
              <w:widowControl w:val="0"/>
              <w:spacing w:line="240" w:lineRule="auto"/>
              <w:ind w:left="44"/>
              <w:jc w:val="both"/>
              <w:rPr>
                <w:rFonts w:ascii="Calibri" w:eastAsia="Calibri" w:hAnsi="Calibri" w:cs="Calibri"/>
                <w:b/>
              </w:rPr>
            </w:pPr>
            <w:commentRangeStart w:id="10"/>
            <w:r>
              <w:rPr>
                <w:rFonts w:ascii="Calibri" w:eastAsia="Calibri" w:hAnsi="Calibri" w:cs="Calibri"/>
                <w:b/>
              </w:rPr>
              <w:t>Accreditation authority</w:t>
            </w:r>
          </w:p>
        </w:tc>
        <w:tc>
          <w:tcPr>
            <w:tcW w:w="4677" w:type="dxa"/>
            <w:tcBorders>
              <w:top w:val="single" w:sz="8" w:space="0" w:color="000000"/>
              <w:left w:val="single" w:sz="8" w:space="0" w:color="000000"/>
              <w:bottom w:val="single" w:sz="8" w:space="0" w:color="000000"/>
              <w:right w:val="single" w:sz="8" w:space="0" w:color="000000"/>
            </w:tcBorders>
          </w:tcPr>
          <w:p w14:paraId="422CC079" w14:textId="77777777" w:rsidR="006B113F" w:rsidRDefault="00000000">
            <w:pPr>
              <w:widowControl w:val="0"/>
              <w:spacing w:line="240" w:lineRule="auto"/>
              <w:ind w:left="47"/>
              <w:rPr>
                <w:rFonts w:ascii="Calibri" w:eastAsia="Calibri" w:hAnsi="Calibri" w:cs="Calibri"/>
                <w:b/>
                <w:highlight w:val="yellow"/>
              </w:rPr>
            </w:pPr>
            <w:r>
              <w:rPr>
                <w:rFonts w:ascii="Calibri" w:eastAsia="Calibri" w:hAnsi="Calibri" w:cs="Calibri"/>
                <w:b/>
              </w:rPr>
              <w:t>Legal basis for accreditation and awarding of the joint Master degree, in force at the time of signing the Partnership Agreement:</w:t>
            </w:r>
            <w:commentRangeEnd w:id="10"/>
            <w:r>
              <w:commentReference w:id="10"/>
            </w:r>
          </w:p>
        </w:tc>
      </w:tr>
      <w:tr w:rsidR="006B113F" w14:paraId="74210046" w14:textId="77777777">
        <w:trPr>
          <w:trHeight w:val="2163"/>
        </w:trPr>
        <w:tc>
          <w:tcPr>
            <w:tcW w:w="1134" w:type="dxa"/>
            <w:tcBorders>
              <w:top w:val="single" w:sz="8" w:space="0" w:color="000000"/>
              <w:left w:val="single" w:sz="8" w:space="0" w:color="000000"/>
              <w:bottom w:val="single" w:sz="8" w:space="0" w:color="000000"/>
              <w:right w:val="single" w:sz="8" w:space="0" w:color="000000"/>
            </w:tcBorders>
          </w:tcPr>
          <w:p w14:paraId="341EE1EA" w14:textId="77777777" w:rsidR="006B113F" w:rsidRDefault="00000000">
            <w:pPr>
              <w:widowControl w:val="0"/>
              <w:spacing w:line="240" w:lineRule="auto"/>
              <w:ind w:left="46"/>
              <w:jc w:val="both"/>
              <w:rPr>
                <w:rFonts w:ascii="Calibri" w:eastAsia="Calibri" w:hAnsi="Calibri" w:cs="Calibri"/>
              </w:rPr>
            </w:pPr>
            <w:r>
              <w:rPr>
                <w:rFonts w:ascii="Calibri" w:eastAsia="Calibri" w:hAnsi="Calibri" w:cs="Calibri"/>
              </w:rPr>
              <w:t>RUB</w:t>
            </w:r>
          </w:p>
        </w:tc>
        <w:tc>
          <w:tcPr>
            <w:tcW w:w="3119" w:type="dxa"/>
            <w:tcBorders>
              <w:top w:val="single" w:sz="8" w:space="0" w:color="000000"/>
              <w:left w:val="single" w:sz="8" w:space="0" w:color="000000"/>
              <w:bottom w:val="single" w:sz="8" w:space="0" w:color="000000"/>
              <w:right w:val="single" w:sz="8" w:space="0" w:color="000000"/>
            </w:tcBorders>
          </w:tcPr>
          <w:p w14:paraId="1FCD9E09" w14:textId="77777777" w:rsidR="006B113F" w:rsidRDefault="00000000">
            <w:pPr>
              <w:widowControl w:val="0"/>
              <w:spacing w:line="240" w:lineRule="auto"/>
              <w:ind w:left="44"/>
              <w:rPr>
                <w:rFonts w:ascii="Calibri" w:eastAsia="Calibri" w:hAnsi="Calibri" w:cs="Calibri"/>
              </w:rPr>
            </w:pPr>
            <w:r>
              <w:rPr>
                <w:rFonts w:ascii="Calibri" w:eastAsia="Calibri" w:hAnsi="Calibri" w:cs="Calibri"/>
              </w:rPr>
              <w:t>Accreditation Council (Akkreditierungsrat) through AQAS accreditation agency (signatory to the Multilateral Agreement on the Mutual Recognition of Accreditation Results regarding Joint Programmes [MULTRA])</w:t>
            </w:r>
          </w:p>
        </w:tc>
        <w:tc>
          <w:tcPr>
            <w:tcW w:w="4677" w:type="dxa"/>
            <w:tcBorders>
              <w:top w:val="single" w:sz="8" w:space="0" w:color="000000"/>
              <w:left w:val="single" w:sz="8" w:space="0" w:color="000000"/>
              <w:bottom w:val="single" w:sz="8" w:space="0" w:color="000000"/>
              <w:right w:val="single" w:sz="8" w:space="0" w:color="000000"/>
            </w:tcBorders>
          </w:tcPr>
          <w:p w14:paraId="2E347272"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Act on the Universities of the State of North Rhine-Westphalia of 16 September 2014 (GV.NRW.Page 547). </w:t>
            </w:r>
          </w:p>
          <w:p w14:paraId="2D175B94" w14:textId="77777777" w:rsidR="006B113F" w:rsidRDefault="00000000">
            <w:pPr>
              <w:widowControl w:val="0"/>
              <w:spacing w:line="240" w:lineRule="auto"/>
              <w:rPr>
                <w:rFonts w:ascii="Calibri" w:eastAsia="Calibri" w:hAnsi="Calibri" w:cs="Calibri"/>
              </w:rPr>
            </w:pPr>
            <w:r>
              <w:rPr>
                <w:rFonts w:ascii="Calibri" w:eastAsia="Calibri" w:hAnsi="Calibri" w:cs="Calibri"/>
              </w:rPr>
              <w:t>State Treaty on the Organisation of a Joint Accreditation System for Quality Assurance in Studies and Teaching at German Universities of June 2017. Student Accreditation Decree (StudakVO) NRW of 25.1.2018.</w:t>
            </w:r>
          </w:p>
        </w:tc>
      </w:tr>
      <w:tr w:rsidR="006B113F" w14:paraId="3E585323" w14:textId="77777777">
        <w:trPr>
          <w:trHeight w:val="1208"/>
        </w:trPr>
        <w:tc>
          <w:tcPr>
            <w:tcW w:w="1134" w:type="dxa"/>
            <w:tcBorders>
              <w:top w:val="single" w:sz="8" w:space="0" w:color="000000"/>
              <w:left w:val="single" w:sz="8" w:space="0" w:color="000000"/>
              <w:bottom w:val="single" w:sz="4" w:space="0" w:color="auto"/>
              <w:right w:val="single" w:sz="8" w:space="0" w:color="000000"/>
            </w:tcBorders>
          </w:tcPr>
          <w:p w14:paraId="31147085" w14:textId="77777777" w:rsidR="006B113F" w:rsidRDefault="00000000">
            <w:pPr>
              <w:widowControl w:val="0"/>
              <w:spacing w:line="240" w:lineRule="auto"/>
              <w:ind w:left="46"/>
              <w:jc w:val="both"/>
              <w:rPr>
                <w:rFonts w:ascii="Calibri" w:eastAsia="Calibri" w:hAnsi="Calibri" w:cs="Calibri"/>
              </w:rPr>
            </w:pPr>
            <w:r>
              <w:rPr>
                <w:rFonts w:ascii="Calibri" w:eastAsia="Calibri" w:hAnsi="Calibri" w:cs="Calibri"/>
              </w:rPr>
              <w:t>UCC</w:t>
            </w:r>
          </w:p>
        </w:tc>
        <w:tc>
          <w:tcPr>
            <w:tcW w:w="3119" w:type="dxa"/>
            <w:tcBorders>
              <w:top w:val="single" w:sz="8" w:space="0" w:color="000000"/>
              <w:left w:val="single" w:sz="8" w:space="0" w:color="000000"/>
              <w:bottom w:val="single" w:sz="4" w:space="0" w:color="auto"/>
              <w:right w:val="single" w:sz="8" w:space="0" w:color="000000"/>
            </w:tcBorders>
          </w:tcPr>
          <w:p w14:paraId="782D7827" w14:textId="77777777" w:rsidR="006B113F" w:rsidRDefault="00000000">
            <w:pPr>
              <w:widowControl w:val="0"/>
              <w:spacing w:line="240" w:lineRule="auto"/>
              <w:ind w:left="44"/>
              <w:rPr>
                <w:rFonts w:ascii="Calibri" w:eastAsia="Calibri" w:hAnsi="Calibri" w:cs="Calibri"/>
              </w:rPr>
            </w:pPr>
            <w:r>
              <w:rPr>
                <w:rFonts w:ascii="Calibri" w:eastAsia="Calibri" w:hAnsi="Calibri" w:cs="Calibri"/>
              </w:rPr>
              <w:t>Full autonomy and independence to develop, validate, and operate new degree programmes from EQF levels 5-8</w:t>
            </w:r>
          </w:p>
        </w:tc>
        <w:tc>
          <w:tcPr>
            <w:tcW w:w="4677" w:type="dxa"/>
            <w:tcBorders>
              <w:top w:val="single" w:sz="8" w:space="0" w:color="000000"/>
              <w:left w:val="single" w:sz="8" w:space="0" w:color="000000"/>
              <w:bottom w:val="single" w:sz="4" w:space="0" w:color="auto"/>
              <w:right w:val="single" w:sz="8" w:space="0" w:color="000000"/>
            </w:tcBorders>
          </w:tcPr>
          <w:p w14:paraId="03676835" w14:textId="77777777" w:rsidR="006B113F" w:rsidRDefault="00000000">
            <w:pPr>
              <w:widowControl w:val="0"/>
              <w:spacing w:line="240" w:lineRule="auto"/>
              <w:rPr>
                <w:rFonts w:ascii="Calibri" w:eastAsia="Calibri" w:hAnsi="Calibri" w:cs="Calibri"/>
              </w:rPr>
            </w:pPr>
            <w:r>
              <w:rPr>
                <w:rFonts w:ascii="Calibri" w:eastAsia="Calibri" w:hAnsi="Calibri" w:cs="Calibri"/>
              </w:rPr>
              <w:t>Universities Act, 1997</w:t>
            </w:r>
          </w:p>
          <w:p w14:paraId="31156C6E" w14:textId="77777777" w:rsidR="006B113F" w:rsidRDefault="006B113F">
            <w:pPr>
              <w:widowControl w:val="0"/>
              <w:spacing w:line="240" w:lineRule="auto"/>
              <w:rPr>
                <w:rFonts w:ascii="Calibri" w:eastAsia="Calibri" w:hAnsi="Calibri" w:cs="Calibri"/>
              </w:rPr>
            </w:pPr>
          </w:p>
          <w:p w14:paraId="1DED9420" w14:textId="77777777" w:rsidR="006B113F" w:rsidRDefault="00000000">
            <w:pPr>
              <w:widowControl w:val="0"/>
              <w:spacing w:line="240" w:lineRule="auto"/>
              <w:rPr>
                <w:rFonts w:ascii="Calibri" w:eastAsia="Calibri" w:hAnsi="Calibri" w:cs="Calibri"/>
              </w:rPr>
            </w:pPr>
            <w:r>
              <w:rPr>
                <w:rFonts w:ascii="Calibri" w:eastAsia="Calibri" w:hAnsi="Calibri" w:cs="Calibri"/>
              </w:rPr>
              <w:t>Qualifications and Quality Assurance (Education and Training) Act 2012.</w:t>
            </w:r>
          </w:p>
        </w:tc>
      </w:tr>
      <w:tr w:rsidR="006B113F" w14:paraId="21811A0E" w14:textId="77777777">
        <w:trPr>
          <w:trHeight w:val="1124"/>
        </w:trPr>
        <w:tc>
          <w:tcPr>
            <w:tcW w:w="1134" w:type="dxa"/>
            <w:tcBorders>
              <w:top w:val="single" w:sz="4" w:space="0" w:color="auto"/>
              <w:left w:val="single" w:sz="8" w:space="0" w:color="000000"/>
              <w:bottom w:val="single" w:sz="8" w:space="0" w:color="000000"/>
              <w:right w:val="single" w:sz="8" w:space="0" w:color="000000"/>
            </w:tcBorders>
          </w:tcPr>
          <w:p w14:paraId="5D7A3271" w14:textId="77777777" w:rsidR="006B113F" w:rsidRDefault="00000000">
            <w:pPr>
              <w:widowControl w:val="0"/>
              <w:spacing w:line="240" w:lineRule="auto"/>
              <w:ind w:left="46"/>
              <w:jc w:val="both"/>
              <w:rPr>
                <w:rFonts w:ascii="Calibri" w:eastAsia="Calibri" w:hAnsi="Calibri" w:cs="Calibri"/>
                <w:highlight w:val="yellow"/>
              </w:rPr>
            </w:pPr>
            <w:r>
              <w:rPr>
                <w:rFonts w:ascii="Calibri" w:eastAsia="Calibri" w:hAnsi="Calibri" w:cs="Calibri"/>
              </w:rPr>
              <w:t>UDeusto</w:t>
            </w:r>
          </w:p>
        </w:tc>
        <w:tc>
          <w:tcPr>
            <w:tcW w:w="3119" w:type="dxa"/>
            <w:tcBorders>
              <w:top w:val="single" w:sz="4" w:space="0" w:color="auto"/>
              <w:left w:val="single" w:sz="8" w:space="0" w:color="000000"/>
              <w:bottom w:val="single" w:sz="8" w:space="0" w:color="000000"/>
              <w:right w:val="single" w:sz="8" w:space="0" w:color="000000"/>
            </w:tcBorders>
          </w:tcPr>
          <w:p w14:paraId="33EDF2E4" w14:textId="77777777" w:rsidR="006B113F" w:rsidRDefault="00000000">
            <w:pPr>
              <w:pStyle w:val="gmail-tableparagraph"/>
              <w:spacing w:before="0" w:beforeAutospacing="0" w:after="0" w:afterAutospacing="0"/>
              <w:jc w:val="both"/>
              <w:rPr>
                <w:rFonts w:eastAsia="Calibri"/>
                <w:lang w:val="eu"/>
              </w:rPr>
            </w:pPr>
            <w:r>
              <w:rPr>
                <w:rFonts w:eastAsia="Calibri"/>
                <w:lang w:val="eu"/>
              </w:rPr>
              <w:t>Unibasq</w:t>
            </w:r>
          </w:p>
          <w:p w14:paraId="4A8BE680" w14:textId="77777777" w:rsidR="006B113F" w:rsidRDefault="00000000">
            <w:pPr>
              <w:spacing w:line="240" w:lineRule="auto"/>
              <w:rPr>
                <w:rFonts w:ascii="Calibri" w:eastAsia="Calibri" w:hAnsi="Calibri" w:cs="Calibri"/>
              </w:rPr>
            </w:pPr>
            <w:r>
              <w:rPr>
                <w:rFonts w:ascii="Calibri" w:eastAsia="Calibri" w:hAnsi="Calibri" w:cs="Calibri"/>
              </w:rPr>
              <w:t>Agency for Quality of the Basque University System</w:t>
            </w:r>
          </w:p>
        </w:tc>
        <w:tc>
          <w:tcPr>
            <w:tcW w:w="4677" w:type="dxa"/>
            <w:tcBorders>
              <w:top w:val="single" w:sz="4" w:space="0" w:color="auto"/>
              <w:left w:val="single" w:sz="8" w:space="0" w:color="000000"/>
              <w:bottom w:val="single" w:sz="8" w:space="0" w:color="000000"/>
              <w:right w:val="single" w:sz="8" w:space="0" w:color="000000"/>
            </w:tcBorders>
          </w:tcPr>
          <w:p w14:paraId="741695E3" w14:textId="77777777" w:rsidR="006B113F" w:rsidRDefault="00000000">
            <w:pPr>
              <w:widowControl w:val="0"/>
              <w:spacing w:line="240" w:lineRule="auto"/>
            </w:pPr>
            <w:r>
              <w:rPr>
                <w:rFonts w:ascii="Calibri" w:eastAsia="Calibri" w:hAnsi="Calibri" w:cs="Calibri"/>
              </w:rPr>
              <w:t>Royal Decree 822/2021, of 28 September, on the organization of university education and the procedure for ensuring its quality. (Additional Provision 7)</w:t>
            </w:r>
          </w:p>
        </w:tc>
      </w:tr>
      <w:tr w:rsidR="006B113F" w14:paraId="36EFAE27" w14:textId="77777777">
        <w:trPr>
          <w:trHeight w:val="2107"/>
        </w:trPr>
        <w:tc>
          <w:tcPr>
            <w:tcW w:w="1134" w:type="dxa"/>
            <w:tcBorders>
              <w:top w:val="single" w:sz="8" w:space="0" w:color="000000"/>
              <w:left w:val="single" w:sz="8" w:space="0" w:color="000000"/>
              <w:bottom w:val="single" w:sz="8" w:space="0" w:color="000000"/>
              <w:right w:val="single" w:sz="8" w:space="0" w:color="000000"/>
            </w:tcBorders>
          </w:tcPr>
          <w:p w14:paraId="70D156D6" w14:textId="77777777" w:rsidR="006B113F" w:rsidRDefault="00000000">
            <w:pPr>
              <w:widowControl w:val="0"/>
              <w:spacing w:line="240" w:lineRule="auto"/>
              <w:ind w:left="46"/>
              <w:jc w:val="both"/>
              <w:rPr>
                <w:rFonts w:ascii="Calibri" w:eastAsia="Calibri" w:hAnsi="Calibri" w:cs="Calibri"/>
              </w:rPr>
            </w:pPr>
            <w:r>
              <w:rPr>
                <w:rFonts w:ascii="Calibri" w:eastAsia="Calibri" w:hAnsi="Calibri" w:cs="Calibri"/>
              </w:rPr>
              <w:lastRenderedPageBreak/>
              <w:t>EUR</w:t>
            </w:r>
          </w:p>
        </w:tc>
        <w:tc>
          <w:tcPr>
            <w:tcW w:w="3119" w:type="dxa"/>
            <w:tcBorders>
              <w:top w:val="single" w:sz="8" w:space="0" w:color="000000"/>
              <w:left w:val="single" w:sz="8" w:space="0" w:color="000000"/>
              <w:bottom w:val="single" w:sz="8" w:space="0" w:color="000000"/>
              <w:right w:val="single" w:sz="8" w:space="0" w:color="000000"/>
            </w:tcBorders>
          </w:tcPr>
          <w:p w14:paraId="29FD4216" w14:textId="77777777" w:rsidR="006B113F" w:rsidRDefault="00000000">
            <w:pPr>
              <w:spacing w:line="240" w:lineRule="auto"/>
              <w:rPr>
                <w:rFonts w:ascii="Calibri" w:eastAsia="Calibri" w:hAnsi="Calibri" w:cs="Calibri"/>
              </w:rPr>
            </w:pPr>
            <w:r>
              <w:rPr>
                <w:rFonts w:ascii="Calibri" w:eastAsia="Calibri" w:hAnsi="Calibri" w:cs="Calibri"/>
              </w:rPr>
              <w:t>Dutch-Flemish Accreditation Organisation (Nederlands-Vlaamse Accreditatie Organisatie, NVAO);</w:t>
            </w:r>
          </w:p>
          <w:p w14:paraId="73DD00A9"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signatory to the Multilateral Agreement on the Mutual Recognition of Accreditation Results regarding Joint Programmes [MULTRA]) </w:t>
            </w:r>
          </w:p>
        </w:tc>
        <w:tc>
          <w:tcPr>
            <w:tcW w:w="4677" w:type="dxa"/>
            <w:tcBorders>
              <w:top w:val="single" w:sz="8" w:space="0" w:color="000000"/>
              <w:left w:val="single" w:sz="8" w:space="0" w:color="000000"/>
              <w:bottom w:val="single" w:sz="8" w:space="0" w:color="000000"/>
              <w:right w:val="single" w:sz="8" w:space="0" w:color="000000"/>
            </w:tcBorders>
          </w:tcPr>
          <w:p w14:paraId="006F35DB" w14:textId="77777777" w:rsidR="006B113F" w:rsidRDefault="00000000">
            <w:pPr>
              <w:spacing w:line="240" w:lineRule="auto"/>
              <w:rPr>
                <w:rFonts w:ascii="Calibri" w:eastAsia="Calibri" w:hAnsi="Calibri" w:cs="Calibri"/>
              </w:rPr>
            </w:pPr>
            <w:r>
              <w:rPr>
                <w:rFonts w:ascii="Calibri" w:eastAsia="Calibri" w:hAnsi="Calibri" w:cs="Calibri"/>
              </w:rPr>
              <w:t>Article 7.3c (Gezamenlijk onderwijs) of the Dutch Higher Education and Research Act (WHW)</w:t>
            </w:r>
          </w:p>
          <w:p w14:paraId="4571B9BF" w14:textId="77777777" w:rsidR="006B113F" w:rsidRDefault="006B113F">
            <w:pPr>
              <w:widowControl w:val="0"/>
              <w:spacing w:line="240" w:lineRule="auto"/>
              <w:rPr>
                <w:rFonts w:ascii="Calibri" w:eastAsia="Calibri" w:hAnsi="Calibri" w:cs="Calibri"/>
              </w:rPr>
            </w:pPr>
          </w:p>
        </w:tc>
      </w:tr>
      <w:tr w:rsidR="006B113F" w14:paraId="7DB488DE" w14:textId="77777777">
        <w:trPr>
          <w:trHeight w:val="1208"/>
        </w:trPr>
        <w:tc>
          <w:tcPr>
            <w:tcW w:w="1134" w:type="dxa"/>
            <w:tcBorders>
              <w:top w:val="single" w:sz="8" w:space="0" w:color="000000"/>
              <w:left w:val="single" w:sz="8" w:space="0" w:color="000000"/>
              <w:right w:val="single" w:sz="8" w:space="0" w:color="000000"/>
            </w:tcBorders>
          </w:tcPr>
          <w:p w14:paraId="23F8E456" w14:textId="77777777" w:rsidR="006B113F" w:rsidRDefault="00000000">
            <w:pPr>
              <w:widowControl w:val="0"/>
              <w:spacing w:line="240" w:lineRule="auto"/>
              <w:ind w:left="46"/>
              <w:jc w:val="both"/>
              <w:rPr>
                <w:rFonts w:ascii="Calibri" w:eastAsia="Calibri" w:hAnsi="Calibri" w:cs="Calibri"/>
              </w:rPr>
            </w:pPr>
            <w:r>
              <w:rPr>
                <w:rFonts w:ascii="Calibri" w:eastAsia="Calibri" w:hAnsi="Calibri" w:cs="Calibri"/>
              </w:rPr>
              <w:t>KU</w:t>
            </w:r>
          </w:p>
        </w:tc>
        <w:tc>
          <w:tcPr>
            <w:tcW w:w="3119" w:type="dxa"/>
            <w:tcBorders>
              <w:top w:val="single" w:sz="8" w:space="0" w:color="000000"/>
              <w:left w:val="single" w:sz="8" w:space="0" w:color="000000"/>
              <w:right w:val="single" w:sz="8" w:space="0" w:color="000000"/>
            </w:tcBorders>
          </w:tcPr>
          <w:p w14:paraId="1E5C8CBD" w14:textId="77777777" w:rsidR="006B113F" w:rsidRDefault="00000000">
            <w:pPr>
              <w:widowControl w:val="0"/>
              <w:spacing w:line="240" w:lineRule="auto"/>
              <w:ind w:left="44"/>
              <w:rPr>
                <w:rFonts w:ascii="Calibri" w:eastAsia="Calibri" w:hAnsi="Calibri" w:cs="Calibri"/>
              </w:rPr>
            </w:pPr>
            <w:r>
              <w:rPr>
                <w:rFonts w:ascii="Calibri" w:eastAsia="Calibri" w:hAnsi="Calibri" w:cs="Calibri"/>
              </w:rPr>
              <w:t>Council of Higher Education</w:t>
            </w:r>
          </w:p>
        </w:tc>
        <w:tc>
          <w:tcPr>
            <w:tcW w:w="4677" w:type="dxa"/>
            <w:tcBorders>
              <w:top w:val="single" w:sz="8" w:space="0" w:color="000000"/>
              <w:left w:val="single" w:sz="8" w:space="0" w:color="000000"/>
              <w:right w:val="single" w:sz="8" w:space="0" w:color="000000"/>
            </w:tcBorders>
          </w:tcPr>
          <w:p w14:paraId="5F8FEBCD" w14:textId="77777777" w:rsidR="006B113F" w:rsidRDefault="00000000">
            <w:pPr>
              <w:widowControl w:val="0"/>
              <w:spacing w:line="240" w:lineRule="auto"/>
              <w:rPr>
                <w:rFonts w:ascii="Calibri" w:eastAsia="Calibri" w:hAnsi="Calibri" w:cs="Calibri"/>
              </w:rPr>
            </w:pPr>
            <w:r>
              <w:rPr>
                <w:rFonts w:ascii="Calibri" w:eastAsia="Calibri" w:hAnsi="Calibri" w:cs="Calibri"/>
              </w:rPr>
              <w:t>The Regulations of the Council for Higher Education in Türkiye issue 2547 (Yükseköğretim Kanunu) published in the Official Gazette issue 17506, dated 06.11.1981,</w:t>
            </w:r>
          </w:p>
          <w:p w14:paraId="2F55F9B4" w14:textId="77777777" w:rsidR="006B113F" w:rsidRDefault="00000000">
            <w:pPr>
              <w:widowControl w:val="0"/>
              <w:spacing w:line="240" w:lineRule="auto"/>
              <w:rPr>
                <w:rFonts w:ascii="Calibri" w:eastAsia="Calibri" w:hAnsi="Calibri" w:cs="Calibri"/>
              </w:rPr>
            </w:pPr>
            <w:r>
              <w:rPr>
                <w:rFonts w:ascii="Calibri" w:eastAsia="Calibri" w:hAnsi="Calibri" w:cs="Calibri"/>
              </w:rPr>
              <w:t>Regulations for Joint Educational Programs between Institutions of Higher Education and Accredited Foreign Institutions of Higher Education, published in the Official Gazette issue 229849, dated 20.04.2016,</w:t>
            </w:r>
          </w:p>
          <w:p w14:paraId="10594D41" w14:textId="77777777" w:rsidR="006B113F" w:rsidRDefault="00000000">
            <w:pPr>
              <w:widowControl w:val="0"/>
              <w:spacing w:line="240" w:lineRule="auto"/>
              <w:rPr>
                <w:rFonts w:ascii="Calibri" w:eastAsia="Calibri" w:hAnsi="Calibri" w:cs="Calibri"/>
              </w:rPr>
            </w:pPr>
            <w:r>
              <w:rPr>
                <w:rFonts w:ascii="Calibri" w:eastAsia="Calibri" w:hAnsi="Calibri" w:cs="Calibri"/>
              </w:rPr>
              <w:t>Regulations on Graduate Studies of the Council for Higher Education in Türkiye (Lisansüstü Eğitim ve Öğretim Yönetmeliği Hükümleri) published in the Official Gazette issue 29690, dated 20.04.2016 , and the doctoral statutes of Koç University and “Regulations for Graduate Education”.</w:t>
            </w:r>
          </w:p>
          <w:p w14:paraId="4CF56871" w14:textId="77777777" w:rsidR="006B113F" w:rsidRDefault="00000000">
            <w:pPr>
              <w:widowControl w:val="0"/>
              <w:spacing w:line="240" w:lineRule="auto"/>
              <w:rPr>
                <w:rFonts w:ascii="Calibri" w:eastAsia="Calibri" w:hAnsi="Calibri" w:cs="Calibri"/>
              </w:rPr>
            </w:pPr>
            <w:r>
              <w:rPr>
                <w:rFonts w:ascii="Calibri" w:eastAsia="Calibri" w:hAnsi="Calibri" w:cs="Calibri"/>
              </w:rPr>
              <w:t>Regulations of the Council for Higher Education in Türkiye on Distance/Online Education (Yükseköğretim Kurumlarında Uzaktan Öğretime İlişkin Usul ve Esaslar)</w:t>
            </w:r>
          </w:p>
        </w:tc>
      </w:tr>
      <w:tr w:rsidR="006B113F" w14:paraId="7E96BA3E" w14:textId="77777777">
        <w:trPr>
          <w:trHeight w:val="1067"/>
        </w:trPr>
        <w:tc>
          <w:tcPr>
            <w:tcW w:w="1134" w:type="dxa"/>
            <w:tcBorders>
              <w:top w:val="single" w:sz="8" w:space="0" w:color="000000"/>
              <w:left w:val="single" w:sz="8" w:space="0" w:color="000000"/>
              <w:bottom w:val="single" w:sz="4" w:space="0" w:color="000000"/>
              <w:right w:val="single" w:sz="8" w:space="0" w:color="000000"/>
            </w:tcBorders>
          </w:tcPr>
          <w:p w14:paraId="11F3BA57" w14:textId="77777777" w:rsidR="006B113F" w:rsidRDefault="00000000">
            <w:pPr>
              <w:widowControl w:val="0"/>
              <w:spacing w:line="240" w:lineRule="auto"/>
              <w:ind w:left="46"/>
              <w:jc w:val="both"/>
              <w:rPr>
                <w:rFonts w:ascii="Calibri" w:eastAsia="Calibri" w:hAnsi="Calibri" w:cs="Calibri"/>
              </w:rPr>
            </w:pPr>
            <w:r>
              <w:rPr>
                <w:rFonts w:ascii="Calibri" w:eastAsia="Calibri" w:hAnsi="Calibri" w:cs="Calibri"/>
              </w:rPr>
              <w:t>ULiège</w:t>
            </w:r>
          </w:p>
        </w:tc>
        <w:tc>
          <w:tcPr>
            <w:tcW w:w="3119" w:type="dxa"/>
            <w:tcBorders>
              <w:top w:val="single" w:sz="8" w:space="0" w:color="000000"/>
              <w:left w:val="single" w:sz="8" w:space="0" w:color="000000"/>
              <w:bottom w:val="single" w:sz="4" w:space="0" w:color="000000"/>
              <w:right w:val="single" w:sz="8" w:space="0" w:color="000000"/>
            </w:tcBorders>
          </w:tcPr>
          <w:p w14:paraId="4E4061AA" w14:textId="77777777" w:rsidR="006B113F" w:rsidRDefault="00000000">
            <w:pPr>
              <w:widowControl w:val="0"/>
              <w:spacing w:line="240" w:lineRule="auto"/>
              <w:ind w:left="44"/>
              <w:rPr>
                <w:rFonts w:ascii="Calibri" w:eastAsia="Calibri" w:hAnsi="Calibri" w:cs="Calibri"/>
              </w:rPr>
            </w:pPr>
            <w:r>
              <w:rPr>
                <w:rFonts w:ascii="Calibri" w:eastAsia="Calibri" w:hAnsi="Calibri" w:cs="Calibri"/>
              </w:rPr>
              <w:t>Governement of the French Community of Belgium and Académie de Recherche et d’Enseignement supérieur (ARES)</w:t>
            </w:r>
          </w:p>
        </w:tc>
        <w:tc>
          <w:tcPr>
            <w:tcW w:w="4677" w:type="dxa"/>
            <w:tcBorders>
              <w:top w:val="single" w:sz="8" w:space="0" w:color="000000"/>
              <w:left w:val="single" w:sz="8" w:space="0" w:color="000000"/>
              <w:bottom w:val="single" w:sz="4" w:space="0" w:color="000000"/>
              <w:right w:val="single" w:sz="8" w:space="0" w:color="000000"/>
            </w:tcBorders>
          </w:tcPr>
          <w:p w14:paraId="16EF8A3B" w14:textId="77777777" w:rsidR="006B113F" w:rsidRDefault="00000000">
            <w:pPr>
              <w:widowControl w:val="0"/>
              <w:spacing w:line="240" w:lineRule="auto"/>
              <w:rPr>
                <w:rFonts w:ascii="Calibri" w:eastAsia="Calibri" w:hAnsi="Calibri" w:cs="Calibri"/>
              </w:rPr>
            </w:pPr>
            <w:r>
              <w:rPr>
                <w:rFonts w:ascii="Calibri" w:eastAsia="Calibri" w:hAnsi="Calibri" w:cs="Calibri"/>
              </w:rPr>
              <w:t>Decree of the 7</w:t>
            </w:r>
            <w:r>
              <w:rPr>
                <w:rFonts w:ascii="Calibri" w:eastAsia="Calibri" w:hAnsi="Calibri" w:cs="Calibri"/>
                <w:vertAlign w:val="superscript"/>
              </w:rPr>
              <w:t>th</w:t>
            </w:r>
            <w:r>
              <w:rPr>
                <w:rFonts w:ascii="Calibri" w:eastAsia="Calibri" w:hAnsi="Calibri" w:cs="Calibri"/>
              </w:rPr>
              <w:t xml:space="preserve"> of November 2013</w:t>
            </w:r>
          </w:p>
        </w:tc>
      </w:tr>
      <w:tr w:rsidR="006B113F" w14:paraId="1E61D77A" w14:textId="77777777">
        <w:trPr>
          <w:trHeight w:val="403"/>
        </w:trPr>
        <w:tc>
          <w:tcPr>
            <w:tcW w:w="1134" w:type="dxa"/>
            <w:tcBorders>
              <w:top w:val="single" w:sz="4" w:space="0" w:color="000000"/>
              <w:left w:val="single" w:sz="8" w:space="0" w:color="000000"/>
              <w:bottom w:val="single" w:sz="4" w:space="0" w:color="auto"/>
              <w:right w:val="single" w:sz="8" w:space="0" w:color="000000"/>
            </w:tcBorders>
          </w:tcPr>
          <w:p w14:paraId="7773E14B" w14:textId="77777777" w:rsidR="006B113F" w:rsidRDefault="00000000">
            <w:pPr>
              <w:widowControl w:val="0"/>
              <w:spacing w:line="240" w:lineRule="auto"/>
              <w:ind w:left="46"/>
              <w:jc w:val="both"/>
              <w:rPr>
                <w:rFonts w:ascii="Calibri" w:eastAsia="Calibri" w:hAnsi="Calibri" w:cs="Calibri"/>
              </w:rPr>
            </w:pPr>
            <w:r>
              <w:rPr>
                <w:rFonts w:ascii="Calibri" w:eastAsia="Calibri" w:hAnsi="Calibri" w:cs="Calibri"/>
              </w:rPr>
              <w:t>UOulu</w:t>
            </w:r>
          </w:p>
        </w:tc>
        <w:tc>
          <w:tcPr>
            <w:tcW w:w="3119" w:type="dxa"/>
            <w:tcBorders>
              <w:top w:val="single" w:sz="4" w:space="0" w:color="000000"/>
              <w:left w:val="single" w:sz="8" w:space="0" w:color="000000"/>
              <w:bottom w:val="single" w:sz="4" w:space="0" w:color="auto"/>
              <w:right w:val="single" w:sz="8" w:space="0" w:color="000000"/>
            </w:tcBorders>
          </w:tcPr>
          <w:p w14:paraId="3396F55B" w14:textId="77777777" w:rsidR="006B113F" w:rsidRDefault="00000000">
            <w:pPr>
              <w:widowControl w:val="0"/>
              <w:spacing w:line="240" w:lineRule="auto"/>
              <w:ind w:left="44"/>
              <w:rPr>
                <w:rFonts w:ascii="Calibri" w:eastAsia="Calibri" w:hAnsi="Calibri" w:cs="Calibri"/>
              </w:rPr>
            </w:pPr>
            <w:r>
              <w:rPr>
                <w:rFonts w:ascii="Calibri" w:eastAsia="Calibri" w:hAnsi="Calibri" w:cs="Calibri"/>
              </w:rPr>
              <w:t>Full independence to develop and run new Master programmes.  UOulu has the right to offer programmes and award 2nd cycle university degrees (Master's degrees) in the relevant field.</w:t>
            </w:r>
          </w:p>
        </w:tc>
        <w:tc>
          <w:tcPr>
            <w:tcW w:w="4677" w:type="dxa"/>
            <w:tcBorders>
              <w:top w:val="single" w:sz="4" w:space="0" w:color="000000"/>
              <w:left w:val="single" w:sz="8" w:space="0" w:color="000000"/>
              <w:bottom w:val="single" w:sz="4" w:space="0" w:color="auto"/>
              <w:right w:val="single" w:sz="8" w:space="0" w:color="000000"/>
            </w:tcBorders>
          </w:tcPr>
          <w:p w14:paraId="414F6852" w14:textId="77777777" w:rsidR="006B113F" w:rsidRDefault="00000000">
            <w:pPr>
              <w:widowControl w:val="0"/>
              <w:spacing w:line="240" w:lineRule="auto"/>
              <w:rPr>
                <w:rFonts w:ascii="Calibri" w:eastAsia="Calibri" w:hAnsi="Calibri" w:cs="Calibri"/>
              </w:rPr>
            </w:pPr>
            <w:r>
              <w:rPr>
                <w:rFonts w:ascii="Calibri" w:eastAsia="Calibri" w:hAnsi="Calibri" w:cs="Calibri"/>
              </w:rPr>
              <w:t>The universities in Finland, including UOulu, are regulated by the Universities Act (558/2009). The provisions pertaining to the degrees awarded by the universities, the objectives of the degrees, the structure of the studies and other study requirements and the degrees to be conferred by each university (educational responsibility) are enacted by Government Decree (</w:t>
            </w:r>
            <w:r>
              <w:fldChar w:fldCharType="begin"/>
            </w:r>
            <w:r>
              <w:instrText>HYPERLINK "http://www.finlex.fi/fi/laki/alkup/2004/20040794" \o "http://www.finlex.fi/fi/laki/alkup/2004/20040794"</w:instrText>
            </w:r>
            <w:r>
              <w:fldChar w:fldCharType="separate"/>
            </w:r>
            <w:r>
              <w:rPr>
                <w:rFonts w:ascii="Calibri" w:eastAsia="Calibri" w:hAnsi="Calibri" w:cs="Calibri"/>
              </w:rPr>
              <w:t>794/2004</w:t>
            </w:r>
            <w:r>
              <w:rPr>
                <w:rFonts w:ascii="Calibri" w:eastAsia="Calibri" w:hAnsi="Calibri" w:cs="Calibri"/>
              </w:rPr>
              <w:fldChar w:fldCharType="end"/>
            </w:r>
            <w:r>
              <w:rPr>
                <w:rFonts w:ascii="Calibri" w:eastAsia="Calibri" w:hAnsi="Calibri" w:cs="Calibri"/>
              </w:rPr>
              <w:t>). Provisions pertaining to a more explicit distribution of some educational responsibilities among the universities are enacted by Ministry of Education and Culture Decree (</w:t>
            </w:r>
            <w:r>
              <w:fldChar w:fldCharType="begin"/>
            </w:r>
            <w:r>
              <w:instrText>HYPERLINK "http://www.finlex.fi/fi/laki/alkup/2005/20050568" \o "http://www.finlex.fi/fi/laki/alkup/2005/20050568"</w:instrText>
            </w:r>
            <w:r>
              <w:fldChar w:fldCharType="separate"/>
            </w:r>
            <w:r>
              <w:rPr>
                <w:rFonts w:ascii="Calibri" w:eastAsia="Calibri" w:hAnsi="Calibri" w:cs="Calibri"/>
              </w:rPr>
              <w:t>1451/2014</w:t>
            </w:r>
            <w:r>
              <w:rPr>
                <w:rFonts w:ascii="Calibri" w:eastAsia="Calibri" w:hAnsi="Calibri" w:cs="Calibri"/>
              </w:rPr>
              <w:fldChar w:fldCharType="end"/>
            </w:r>
            <w:r>
              <w:rPr>
                <w:rFonts w:ascii="Calibri" w:eastAsia="Calibri" w:hAnsi="Calibri" w:cs="Calibri"/>
              </w:rPr>
              <w:t>).</w:t>
            </w:r>
          </w:p>
        </w:tc>
      </w:tr>
      <w:tr w:rsidR="006B113F" w14:paraId="39B125E1" w14:textId="77777777">
        <w:trPr>
          <w:trHeight w:val="161"/>
        </w:trPr>
        <w:tc>
          <w:tcPr>
            <w:tcW w:w="1134" w:type="dxa"/>
            <w:tcBorders>
              <w:top w:val="single" w:sz="4" w:space="0" w:color="auto"/>
              <w:left w:val="single" w:sz="8" w:space="0" w:color="000000"/>
              <w:bottom w:val="single" w:sz="4" w:space="0" w:color="000000"/>
              <w:right w:val="single" w:sz="8" w:space="0" w:color="000000"/>
            </w:tcBorders>
          </w:tcPr>
          <w:p w14:paraId="2A9413F3" w14:textId="77777777" w:rsidR="006B113F" w:rsidRDefault="00000000">
            <w:pPr>
              <w:widowControl w:val="0"/>
              <w:spacing w:line="240" w:lineRule="auto"/>
              <w:ind w:left="46"/>
              <w:jc w:val="both"/>
              <w:rPr>
                <w:rFonts w:ascii="Calibri" w:eastAsia="Calibri" w:hAnsi="Calibri" w:cs="Calibri"/>
              </w:rPr>
            </w:pPr>
            <w:r>
              <w:rPr>
                <w:rFonts w:ascii="Calibri" w:eastAsia="Calibri" w:hAnsi="Calibri" w:cs="Calibri"/>
              </w:rPr>
              <w:t>UniZG</w:t>
            </w:r>
          </w:p>
        </w:tc>
        <w:tc>
          <w:tcPr>
            <w:tcW w:w="3119" w:type="dxa"/>
            <w:tcBorders>
              <w:top w:val="single" w:sz="4" w:space="0" w:color="auto"/>
              <w:left w:val="single" w:sz="8" w:space="0" w:color="000000"/>
              <w:bottom w:val="single" w:sz="4" w:space="0" w:color="000000"/>
              <w:right w:val="single" w:sz="8" w:space="0" w:color="000000"/>
            </w:tcBorders>
          </w:tcPr>
          <w:p w14:paraId="0DCE26B3" w14:textId="77777777" w:rsidR="006B113F" w:rsidRDefault="00000000">
            <w:pPr>
              <w:widowControl w:val="0"/>
              <w:spacing w:line="240" w:lineRule="auto"/>
              <w:ind w:left="44"/>
              <w:rPr>
                <w:rFonts w:ascii="Calibri" w:eastAsia="Times New Roman" w:hAnsi="Calibri" w:cs="Calibri"/>
                <w:color w:val="000000"/>
                <w:lang w:val="en-GB"/>
              </w:rPr>
            </w:pPr>
            <w:r>
              <w:rPr>
                <w:rFonts w:ascii="Calibri" w:eastAsia="Times New Roman" w:hAnsi="Calibri" w:cs="Calibri"/>
                <w:color w:val="000000"/>
                <w:lang w:val="en-GB"/>
              </w:rPr>
              <w:t>Agency for Science and Higher Education (ASHE)</w:t>
            </w:r>
          </w:p>
        </w:tc>
        <w:tc>
          <w:tcPr>
            <w:tcW w:w="4677" w:type="dxa"/>
            <w:tcBorders>
              <w:top w:val="single" w:sz="4" w:space="0" w:color="auto"/>
              <w:left w:val="single" w:sz="8" w:space="0" w:color="000000"/>
              <w:bottom w:val="single" w:sz="4" w:space="0" w:color="000000"/>
              <w:right w:val="single" w:sz="8" w:space="0" w:color="000000"/>
            </w:tcBorders>
          </w:tcPr>
          <w:p w14:paraId="38AF5734" w14:textId="77777777" w:rsidR="006B113F" w:rsidRDefault="00000000">
            <w:pPr>
              <w:pStyle w:val="docy"/>
              <w:widowControl w:val="0"/>
              <w:spacing w:before="0" w:beforeAutospacing="0" w:after="0" w:afterAutospacing="0"/>
              <w:ind w:left="44"/>
              <w:rPr>
                <w:lang w:val="en-GB"/>
              </w:rPr>
            </w:pPr>
            <w:r>
              <w:rPr>
                <w:rFonts w:ascii="Calibri" w:hAnsi="Calibri" w:cs="Calibri"/>
                <w:color w:val="000000"/>
                <w:sz w:val="22"/>
                <w:szCs w:val="22"/>
                <w:lang w:val="en-GB"/>
              </w:rPr>
              <w:t>Act on Quality Assurance in Science and Higher Education (Official Gazette 151/2022)</w:t>
            </w:r>
          </w:p>
        </w:tc>
      </w:tr>
    </w:tbl>
    <w:p w14:paraId="5C070739" w14:textId="77777777" w:rsidR="006B113F" w:rsidRDefault="006B113F">
      <w:pPr>
        <w:widowControl w:val="0"/>
        <w:spacing w:line="240" w:lineRule="auto"/>
        <w:jc w:val="both"/>
        <w:rPr>
          <w:rFonts w:ascii="Calibri" w:eastAsia="Calibri" w:hAnsi="Calibri" w:cs="Calibri"/>
          <w:sz w:val="15"/>
          <w:szCs w:val="15"/>
        </w:rPr>
      </w:pPr>
    </w:p>
    <w:p w14:paraId="14ACF16C" w14:textId="0E1E56BF"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rPr>
        <w:t xml:space="preserve">The Partner Institutions agree to provide reasonable cooperation in relation to any audits, reviews, evaluations and quality assurance processes, monitoring, assessments, and reports undertaken by any Partner Institution and by any other relevant body or person as agreed by the </w:t>
      </w:r>
      <w:r w:rsidR="00B270F7">
        <w:rPr>
          <w:rFonts w:ascii="Calibri" w:eastAsia="Calibri" w:hAnsi="Calibri" w:cs="Calibri"/>
        </w:rPr>
        <w:t>XX</w:t>
      </w:r>
      <w:r>
        <w:rPr>
          <w:rFonts w:ascii="Calibri" w:eastAsia="Calibri" w:hAnsi="Calibri" w:cs="Calibri"/>
        </w:rPr>
        <w:t xml:space="preserve"> Academic Study Board.</w:t>
      </w:r>
    </w:p>
    <w:p w14:paraId="49B67C4C" w14:textId="77777777"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rPr>
        <w:lastRenderedPageBreak/>
        <w:t>The Consortium and its Partner Institutions shall provide such information in its possession or power as may be reasonably requested in order at their earliest convenience, to assist the Coordinating Institution to comply with its obligations under national legislation and, in the event of EMJM status awarded, vis-à-vis the European Commission.</w:t>
      </w:r>
    </w:p>
    <w:p w14:paraId="78CB550F" w14:textId="77777777" w:rsidR="006B113F" w:rsidRDefault="00000000">
      <w:pPr>
        <w:widowControl w:val="0"/>
        <w:numPr>
          <w:ilvl w:val="0"/>
          <w:numId w:val="32"/>
        </w:numPr>
        <w:tabs>
          <w:tab w:val="left" w:pos="461"/>
        </w:tabs>
        <w:spacing w:line="240" w:lineRule="auto"/>
        <w:jc w:val="both"/>
        <w:rPr>
          <w:color w:val="000000"/>
        </w:rPr>
      </w:pPr>
      <w:bookmarkStart w:id="11" w:name="_17dp8vu"/>
      <w:bookmarkEnd w:id="11"/>
      <w:r>
        <w:rPr>
          <w:rFonts w:ascii="Calibri" w:eastAsia="Calibri" w:hAnsi="Calibri" w:cs="Calibri"/>
        </w:rPr>
        <w:t>A Partner Institution can only implement variations and changes to the structure and content of the degree programme within the limits specified by the Academic Study Board or after approval by the Board</w:t>
      </w:r>
      <w:commentRangeStart w:id="12"/>
      <w:r>
        <w:rPr>
          <w:rFonts w:ascii="Calibri" w:eastAsia="Calibri" w:hAnsi="Calibri" w:cs="Calibri"/>
        </w:rPr>
        <w:t>, and in line with the EMJM framework as established by the European Commission</w:t>
      </w:r>
      <w:commentRangeEnd w:id="12"/>
      <w:r>
        <w:commentReference w:id="12"/>
      </w:r>
      <w:r>
        <w:rPr>
          <w:rFonts w:ascii="Calibri" w:eastAsia="Calibri" w:hAnsi="Calibri" w:cs="Calibri"/>
        </w:rPr>
        <w:t>.</w:t>
      </w:r>
    </w:p>
    <w:p w14:paraId="131A3C4C" w14:textId="77777777" w:rsidR="006B113F" w:rsidRDefault="00000000">
      <w:pPr>
        <w:widowControl w:val="0"/>
        <w:numPr>
          <w:ilvl w:val="0"/>
          <w:numId w:val="32"/>
        </w:numPr>
        <w:tabs>
          <w:tab w:val="left" w:pos="461"/>
        </w:tabs>
        <w:spacing w:line="240" w:lineRule="auto"/>
        <w:jc w:val="both"/>
        <w:rPr>
          <w:color w:val="000000"/>
        </w:rPr>
      </w:pPr>
      <w:r>
        <w:rPr>
          <w:rFonts w:ascii="Calibri" w:eastAsia="Calibri" w:hAnsi="Calibri" w:cs="Calibri"/>
        </w:rPr>
        <w:t>The Partner Institutions will adjust the implementation of this Partnership Agreement to any new legislation coming into force during this period.</w:t>
      </w:r>
    </w:p>
    <w:p w14:paraId="7087F225"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2A615AAC"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73E03B3E" w14:textId="77777777" w:rsidR="006B113F" w:rsidRDefault="00000000">
      <w:pPr>
        <w:pStyle w:val="berschrift1"/>
        <w:keepNext w:val="0"/>
        <w:keepLines w:val="0"/>
        <w:widowControl w:val="0"/>
        <w:tabs>
          <w:tab w:val="left" w:pos="1518"/>
        </w:tabs>
        <w:spacing w:before="0" w:after="0" w:line="240" w:lineRule="auto"/>
        <w:ind w:left="100"/>
        <w:jc w:val="both"/>
        <w:rPr>
          <w:rFonts w:ascii="Cambria" w:eastAsia="Cambria" w:hAnsi="Cambria" w:cs="Cambria"/>
          <w:sz w:val="28"/>
          <w:szCs w:val="28"/>
        </w:rPr>
      </w:pPr>
      <w:bookmarkStart w:id="13" w:name="_Toc141279951"/>
      <w:r>
        <w:rPr>
          <w:rFonts w:ascii="Calibri" w:eastAsia="Calibri" w:hAnsi="Calibri" w:cs="Calibri"/>
          <w:b/>
          <w:color w:val="365F91"/>
          <w:sz w:val="28"/>
          <w:szCs w:val="28"/>
        </w:rPr>
        <w:t>Article 4</w:t>
      </w:r>
      <w:r>
        <w:rPr>
          <w:rFonts w:ascii="Calibri" w:eastAsia="Calibri" w:hAnsi="Calibri" w:cs="Calibri"/>
          <w:b/>
          <w:color w:val="365F91"/>
          <w:sz w:val="28"/>
          <w:szCs w:val="28"/>
        </w:rPr>
        <w:tab/>
        <w:t>Programme Governance</w:t>
      </w:r>
      <w:bookmarkEnd w:id="13"/>
    </w:p>
    <w:p w14:paraId="7C4DB3A7" w14:textId="77777777" w:rsidR="006B113F" w:rsidRDefault="006B113F">
      <w:pPr>
        <w:widowControl w:val="0"/>
        <w:spacing w:line="240" w:lineRule="auto"/>
        <w:jc w:val="both"/>
        <w:rPr>
          <w:rFonts w:ascii="Cambria" w:eastAsia="Cambria" w:hAnsi="Cambria" w:cs="Cambria"/>
          <w:b/>
          <w:sz w:val="21"/>
          <w:szCs w:val="21"/>
        </w:rPr>
      </w:pPr>
    </w:p>
    <w:p w14:paraId="4BF210DE" w14:textId="77777777" w:rsidR="006B113F" w:rsidRDefault="00000000">
      <w:pPr>
        <w:pStyle w:val="berschrift2"/>
        <w:keepNext w:val="0"/>
        <w:keepLines w:val="0"/>
        <w:widowControl w:val="0"/>
        <w:numPr>
          <w:ilvl w:val="1"/>
          <w:numId w:val="1"/>
        </w:numPr>
        <w:tabs>
          <w:tab w:val="left" w:pos="677"/>
        </w:tabs>
        <w:spacing w:before="0" w:after="0" w:line="240" w:lineRule="auto"/>
        <w:jc w:val="both"/>
      </w:pPr>
      <w:bookmarkStart w:id="14" w:name="_Toc141279952"/>
      <w:r>
        <w:rPr>
          <w:rFonts w:ascii="Calibri" w:eastAsia="Calibri" w:hAnsi="Calibri" w:cs="Calibri"/>
          <w:b/>
          <w:color w:val="4F81BC"/>
          <w:sz w:val="26"/>
          <w:szCs w:val="26"/>
        </w:rPr>
        <w:t>Definition of Roles and Duties</w:t>
      </w:r>
      <w:bookmarkEnd w:id="14"/>
    </w:p>
    <w:p w14:paraId="207DF096" w14:textId="77777777" w:rsidR="006B113F" w:rsidRDefault="00000000">
      <w:pPr>
        <w:widowControl w:val="0"/>
        <w:numPr>
          <w:ilvl w:val="0"/>
          <w:numId w:val="17"/>
        </w:numPr>
        <w:tabs>
          <w:tab w:val="left" w:pos="461"/>
        </w:tabs>
        <w:spacing w:line="240" w:lineRule="auto"/>
        <w:jc w:val="both"/>
      </w:pPr>
      <w:r>
        <w:rPr>
          <w:rFonts w:ascii="Calibri" w:eastAsia="Calibri" w:hAnsi="Calibri" w:cs="Calibri"/>
          <w:b/>
        </w:rPr>
        <w:t>Coordinating Institution</w:t>
      </w:r>
      <w:r>
        <w:rPr>
          <w:rFonts w:ascii="Calibri" w:eastAsia="Calibri" w:hAnsi="Calibri" w:cs="Calibri"/>
        </w:rPr>
        <w:t xml:space="preserve">: </w:t>
      </w:r>
    </w:p>
    <w:p w14:paraId="1A837F77" w14:textId="417856C6" w:rsidR="006B113F" w:rsidRDefault="00000000">
      <w:pPr>
        <w:widowControl w:val="0"/>
        <w:tabs>
          <w:tab w:val="left" w:pos="461"/>
        </w:tabs>
        <w:spacing w:line="240" w:lineRule="auto"/>
        <w:ind w:left="460"/>
        <w:jc w:val="both"/>
        <w:rPr>
          <w:rFonts w:ascii="Calibri" w:eastAsia="Calibri" w:hAnsi="Calibri" w:cs="Calibri"/>
          <w:highlight w:val="white"/>
        </w:rPr>
      </w:pPr>
      <w:bookmarkStart w:id="15" w:name="_Hlk114218174"/>
      <w:r>
        <w:rPr>
          <w:rFonts w:ascii="Calibri" w:eastAsia="Calibri" w:hAnsi="Calibri" w:cs="Calibri"/>
        </w:rPr>
        <w:t xml:space="preserve">The Parties to this Partnership Agreement mandate one university to function as Coordinating Institution of the </w:t>
      </w:r>
      <w:r w:rsidR="00B270F7">
        <w:rPr>
          <w:rFonts w:ascii="Calibri" w:eastAsia="Calibri" w:hAnsi="Calibri" w:cs="Calibri"/>
        </w:rPr>
        <w:t>XX</w:t>
      </w:r>
      <w:r>
        <w:rPr>
          <w:rFonts w:ascii="Calibri" w:eastAsia="Calibri" w:hAnsi="Calibri" w:cs="Calibri"/>
        </w:rPr>
        <w:t xml:space="preserve"> degree programme and to </w:t>
      </w:r>
      <w:r>
        <w:rPr>
          <w:rFonts w:ascii="Calibri" w:eastAsia="Calibri" w:hAnsi="Calibri" w:cs="Calibri"/>
          <w:highlight w:val="white"/>
        </w:rPr>
        <w:t xml:space="preserve">conclude additional bilateral agreements with the Partner Universities, e.g., but not limited to, with regards to data privacy and security. </w:t>
      </w:r>
      <w:bookmarkEnd w:id="15"/>
    </w:p>
    <w:p w14:paraId="41BDAAF5" w14:textId="77777777" w:rsidR="006B113F" w:rsidRDefault="00000000">
      <w:pPr>
        <w:widowControl w:val="0"/>
        <w:tabs>
          <w:tab w:val="left" w:pos="461"/>
        </w:tabs>
        <w:spacing w:line="240" w:lineRule="auto"/>
        <w:ind w:left="460"/>
        <w:jc w:val="both"/>
        <w:rPr>
          <w:rFonts w:ascii="Calibri" w:eastAsia="Calibri" w:hAnsi="Calibri" w:cs="Calibri"/>
        </w:rPr>
      </w:pPr>
      <w:commentRangeStart w:id="16"/>
      <w:r>
        <w:rPr>
          <w:rFonts w:ascii="Calibri" w:eastAsia="Calibri" w:hAnsi="Calibri" w:cs="Calibri"/>
        </w:rPr>
        <w:t>In the event that EMJM status is awarded to the Consortium, the Coordinating Institution shall act on behalf of the Partner Institutions with respect to the signing and administration of a multi-beneficiary grant agreement, as required by the European Commission. Within the limits of the grant agreement, the Coordinating Institution shall perform the following duties as stipulated by the European Commission:</w:t>
      </w:r>
    </w:p>
    <w:p w14:paraId="245451B9" w14:textId="77777777" w:rsidR="006B113F" w:rsidRDefault="00000000">
      <w:pPr>
        <w:pStyle w:val="Listenabsatz"/>
        <w:widowControl w:val="0"/>
        <w:numPr>
          <w:ilvl w:val="1"/>
          <w:numId w:val="60"/>
        </w:numPr>
        <w:tabs>
          <w:tab w:val="left" w:pos="993"/>
        </w:tabs>
        <w:spacing w:line="240" w:lineRule="auto"/>
        <w:ind w:left="850" w:hanging="283"/>
        <w:jc w:val="both"/>
      </w:pPr>
      <w:r>
        <w:rPr>
          <w:rFonts w:ascii="Calibri" w:eastAsia="Calibri" w:hAnsi="Calibri" w:cs="Calibri"/>
        </w:rPr>
        <w:t>Represent and act on behalf of the group of Partner Institutions vis-à-vis the European Commission,</w:t>
      </w:r>
    </w:p>
    <w:p w14:paraId="51CFDC14" w14:textId="77777777" w:rsidR="006B113F" w:rsidRDefault="00000000">
      <w:pPr>
        <w:pStyle w:val="Listenabsatz"/>
        <w:widowControl w:val="0"/>
        <w:numPr>
          <w:ilvl w:val="1"/>
          <w:numId w:val="60"/>
        </w:numPr>
        <w:tabs>
          <w:tab w:val="left" w:pos="993"/>
        </w:tabs>
        <w:spacing w:line="240" w:lineRule="auto"/>
        <w:ind w:left="850" w:hanging="283"/>
        <w:jc w:val="both"/>
      </w:pPr>
      <w:r>
        <w:rPr>
          <w:rFonts w:ascii="Calibri" w:eastAsia="Calibri" w:hAnsi="Calibri" w:cs="Calibri"/>
        </w:rPr>
        <w:t>bear the financial and legal responsibility for the proper operational, administrative, and financial implementation of the EMJM grant agreement,</w:t>
      </w:r>
    </w:p>
    <w:p w14:paraId="2E3ADC1C" w14:textId="77777777" w:rsidR="006B113F" w:rsidRDefault="00000000">
      <w:pPr>
        <w:pStyle w:val="Listenabsatz"/>
        <w:widowControl w:val="0"/>
        <w:numPr>
          <w:ilvl w:val="1"/>
          <w:numId w:val="60"/>
        </w:numPr>
        <w:tabs>
          <w:tab w:val="left" w:pos="993"/>
        </w:tabs>
        <w:spacing w:line="240" w:lineRule="auto"/>
        <w:ind w:left="850" w:hanging="283"/>
        <w:jc w:val="both"/>
      </w:pPr>
      <w:r>
        <w:rPr>
          <w:rFonts w:ascii="Calibri" w:eastAsia="Calibri" w:hAnsi="Calibri" w:cs="Calibri"/>
          <w:highlight w:val="white"/>
        </w:rPr>
        <w:t xml:space="preserve">coordinate the EMJM programme </w:t>
      </w:r>
      <w:r>
        <w:rPr>
          <w:rFonts w:ascii="Calibri" w:eastAsia="Calibri" w:hAnsi="Calibri" w:cs="Calibri"/>
        </w:rPr>
        <w:t>in close cooperation with all other partners.</w:t>
      </w:r>
      <w:commentRangeEnd w:id="16"/>
      <w:r>
        <w:commentReference w:id="16"/>
      </w:r>
    </w:p>
    <w:p w14:paraId="5A143A81" w14:textId="3467F650" w:rsidR="006B113F" w:rsidRDefault="00000000">
      <w:pPr>
        <w:widowControl w:val="0"/>
        <w:tabs>
          <w:tab w:val="left" w:pos="461"/>
        </w:tabs>
        <w:spacing w:line="240" w:lineRule="auto"/>
        <w:ind w:left="460"/>
        <w:jc w:val="both"/>
        <w:rPr>
          <w:rFonts w:asciiTheme="majorHAnsi" w:eastAsia="Calibri" w:hAnsiTheme="majorHAnsi" w:cstheme="majorHAnsi"/>
        </w:rPr>
      </w:pPr>
      <w:bookmarkStart w:id="17" w:name="_Hlk114218565"/>
      <w:r>
        <w:rPr>
          <w:rFonts w:ascii="Calibri" w:eastAsia="Calibri" w:hAnsi="Calibri" w:cs="Calibri"/>
        </w:rPr>
        <w:t xml:space="preserve">As such, the aforementioned mandate to the Coordinating Institution includes that by signing this Agreement, all Partner Institutions approve that the Coordinating Institution will represent the Consortium and act on its behalf, concerning the implementation of the </w:t>
      </w:r>
      <w:r w:rsidR="00B270F7">
        <w:rPr>
          <w:rFonts w:ascii="Calibri" w:eastAsia="Calibri" w:hAnsi="Calibri" w:cs="Calibri"/>
        </w:rPr>
        <w:t>XX</w:t>
      </w:r>
      <w:r>
        <w:rPr>
          <w:rFonts w:ascii="Calibri" w:eastAsia="Calibri" w:hAnsi="Calibri" w:cs="Calibri"/>
        </w:rPr>
        <w:t xml:space="preserve"> programme and for the duration of the funding agreement. The relationship between </w:t>
      </w:r>
      <w:commentRangeStart w:id="18"/>
      <w:r>
        <w:rPr>
          <w:rFonts w:ascii="Calibri" w:eastAsia="Calibri" w:hAnsi="Calibri" w:cs="Calibri"/>
        </w:rPr>
        <w:t xml:space="preserve">(i) the European Commission and the Coordinating Institution and (ii) </w:t>
      </w:r>
      <w:commentRangeEnd w:id="18"/>
      <w:r>
        <w:commentReference w:id="18"/>
      </w:r>
      <w:r>
        <w:rPr>
          <w:rFonts w:ascii="Calibri" w:eastAsia="Calibri" w:hAnsi="Calibri" w:cs="Calibri"/>
        </w:rPr>
        <w:t xml:space="preserve">the Coordinating Institution and the members of the Consortium may be formalised by means of agreements to be put in place between the Coordinating Institution </w:t>
      </w:r>
      <w:commentRangeStart w:id="19"/>
      <w:r>
        <w:rPr>
          <w:rFonts w:ascii="Calibri" w:eastAsia="Calibri" w:hAnsi="Calibri" w:cs="Calibri"/>
        </w:rPr>
        <w:t xml:space="preserve">(being the party which signed the grant agreement with the European Commission) </w:t>
      </w:r>
      <w:commentRangeEnd w:id="19"/>
      <w:r>
        <w:commentReference w:id="19"/>
      </w:r>
      <w:r>
        <w:rPr>
          <w:rFonts w:ascii="Calibri" w:eastAsia="Calibri" w:hAnsi="Calibri" w:cs="Calibri"/>
        </w:rPr>
        <w:t xml:space="preserve">and the Partner Institutions. </w:t>
      </w:r>
      <w:bookmarkEnd w:id="17"/>
    </w:p>
    <w:p w14:paraId="78807F46" w14:textId="77777777" w:rsidR="006B113F" w:rsidRDefault="00000000">
      <w:pPr>
        <w:widowControl w:val="0"/>
        <w:numPr>
          <w:ilvl w:val="0"/>
          <w:numId w:val="17"/>
        </w:numPr>
        <w:tabs>
          <w:tab w:val="left" w:pos="461"/>
        </w:tabs>
        <w:spacing w:line="240" w:lineRule="auto"/>
        <w:jc w:val="both"/>
        <w:rPr>
          <w:b/>
        </w:rPr>
      </w:pPr>
      <w:r>
        <w:rPr>
          <w:rFonts w:ascii="Calibri" w:eastAsia="Calibri" w:hAnsi="Calibri" w:cs="Calibri"/>
          <w:b/>
        </w:rPr>
        <w:t xml:space="preserve">Issuing University: </w:t>
      </w:r>
    </w:p>
    <w:p w14:paraId="749FA74C" w14:textId="77777777" w:rsidR="006B113F" w:rsidRDefault="00000000">
      <w:pPr>
        <w:widowControl w:val="0"/>
        <w:tabs>
          <w:tab w:val="left" w:pos="461"/>
        </w:tabs>
        <w:spacing w:line="240" w:lineRule="auto"/>
        <w:ind w:left="460"/>
        <w:jc w:val="both"/>
        <w:rPr>
          <w:rFonts w:ascii="Calibri" w:eastAsia="Calibri" w:hAnsi="Calibri" w:cs="Calibri"/>
        </w:rPr>
      </w:pPr>
      <w:r>
        <w:rPr>
          <w:rFonts w:ascii="Calibri" w:eastAsia="Calibri" w:hAnsi="Calibri" w:cs="Calibri"/>
        </w:rPr>
        <w:t xml:space="preserve">The Issuing University is the degree awarding Partner Institution responsible for the issuing of the parchments for the joint degree including the Diploma Supplement, and any pertaining tasks on behalf of or in joint decision with the other degree awarding Partner Institutions as described in this Agreement. The Issuing University shall be Ruhr-Universität Bochum. </w:t>
      </w:r>
    </w:p>
    <w:p w14:paraId="2BE20D04" w14:textId="77777777" w:rsidR="006B113F" w:rsidRDefault="00000000">
      <w:pPr>
        <w:widowControl w:val="0"/>
        <w:tabs>
          <w:tab w:val="left" w:pos="461"/>
        </w:tabs>
        <w:spacing w:line="240" w:lineRule="auto"/>
        <w:ind w:left="460"/>
        <w:jc w:val="both"/>
        <w:rPr>
          <w:rFonts w:ascii="Calibri" w:eastAsia="Calibri" w:hAnsi="Calibri" w:cs="Calibri"/>
        </w:rPr>
      </w:pPr>
      <w:r>
        <w:rPr>
          <w:rFonts w:ascii="Calibri" w:eastAsia="Calibri" w:hAnsi="Calibri" w:cs="Calibri"/>
        </w:rPr>
        <w:t xml:space="preserve">The development of formal documentation relating to the degree award, the parchment, the Diploma Supplement and any and all other formal documentation and exchange of data relating to the joint Master degree programme shall be undertaken in consultation with, and subject to formal approval by, the Partner Institutions. </w:t>
      </w:r>
    </w:p>
    <w:p w14:paraId="1A1A166A" w14:textId="77777777" w:rsidR="006B113F" w:rsidRDefault="00000000">
      <w:pPr>
        <w:rPr>
          <w:rFonts w:ascii="Calibri" w:eastAsia="Calibri" w:hAnsi="Calibri" w:cs="Calibri"/>
          <w:b/>
        </w:rPr>
      </w:pPr>
      <w:r>
        <w:rPr>
          <w:rFonts w:ascii="Calibri" w:eastAsia="Calibri" w:hAnsi="Calibri" w:cs="Calibri"/>
          <w:b/>
        </w:rPr>
        <w:br w:type="page" w:clear="all"/>
      </w:r>
    </w:p>
    <w:p w14:paraId="75DAB0AE" w14:textId="77777777" w:rsidR="006B113F" w:rsidRDefault="00000000">
      <w:pPr>
        <w:widowControl w:val="0"/>
        <w:numPr>
          <w:ilvl w:val="0"/>
          <w:numId w:val="17"/>
        </w:numPr>
        <w:tabs>
          <w:tab w:val="left" w:pos="461"/>
        </w:tabs>
        <w:spacing w:line="240" w:lineRule="auto"/>
        <w:ind w:left="458" w:hanging="358"/>
        <w:jc w:val="both"/>
        <w:rPr>
          <w:b/>
        </w:rPr>
      </w:pPr>
      <w:r>
        <w:rPr>
          <w:rFonts w:ascii="Calibri" w:eastAsia="Calibri" w:hAnsi="Calibri" w:cs="Calibri"/>
          <w:b/>
        </w:rPr>
        <w:lastRenderedPageBreak/>
        <w:t xml:space="preserve">Hosting University: </w:t>
      </w:r>
    </w:p>
    <w:p w14:paraId="61B8EAAF" w14:textId="77777777" w:rsidR="006B113F" w:rsidRDefault="00000000">
      <w:pPr>
        <w:widowControl w:val="0"/>
        <w:tabs>
          <w:tab w:val="left" w:pos="461"/>
        </w:tabs>
        <w:spacing w:line="240" w:lineRule="auto"/>
        <w:ind w:left="458"/>
        <w:jc w:val="both"/>
        <w:rPr>
          <w:rFonts w:ascii="Calibri" w:eastAsia="Calibri" w:hAnsi="Calibri" w:cs="Calibri"/>
        </w:rPr>
      </w:pPr>
      <w:r>
        <w:rPr>
          <w:rFonts w:ascii="Calibri" w:eastAsia="Calibri" w:hAnsi="Calibri" w:cs="Calibri"/>
        </w:rPr>
        <w:t xml:space="preserve">A Partner Institution that physically hosts the students in a semester and is responsible for the organisation and management of the course delivery. </w:t>
      </w:r>
    </w:p>
    <w:p w14:paraId="0E1035EF" w14:textId="77777777" w:rsidR="006B113F" w:rsidRDefault="00000000">
      <w:pPr>
        <w:widowControl w:val="0"/>
        <w:numPr>
          <w:ilvl w:val="0"/>
          <w:numId w:val="17"/>
        </w:numPr>
        <w:tabs>
          <w:tab w:val="left" w:pos="461"/>
        </w:tabs>
        <w:spacing w:line="240" w:lineRule="auto"/>
        <w:ind w:left="458" w:hanging="358"/>
        <w:jc w:val="both"/>
        <w:rPr>
          <w:b/>
        </w:rPr>
      </w:pPr>
      <w:r>
        <w:rPr>
          <w:rFonts w:ascii="Calibri" w:eastAsia="Calibri" w:hAnsi="Calibri" w:cs="Calibri"/>
          <w:b/>
        </w:rPr>
        <w:t xml:space="preserve">Contributing University: </w:t>
      </w:r>
    </w:p>
    <w:p w14:paraId="1EF1DD0E" w14:textId="77777777" w:rsidR="006B113F" w:rsidRDefault="00000000">
      <w:pPr>
        <w:widowControl w:val="0"/>
        <w:tabs>
          <w:tab w:val="left" w:pos="461"/>
        </w:tabs>
        <w:spacing w:line="240" w:lineRule="auto"/>
        <w:ind w:left="458"/>
        <w:jc w:val="both"/>
        <w:rPr>
          <w:rFonts w:ascii="Calibri" w:eastAsia="Calibri" w:hAnsi="Calibri" w:cs="Calibri"/>
        </w:rPr>
      </w:pPr>
      <w:r>
        <w:rPr>
          <w:rFonts w:ascii="Calibri" w:eastAsia="Calibri" w:hAnsi="Calibri" w:cs="Calibri"/>
        </w:rPr>
        <w:t>A Partner Institution that supports a Hosting University in delivering courses and possibly staff, additional academic content, and other services during a given semester.</w:t>
      </w:r>
    </w:p>
    <w:p w14:paraId="3FBA23A6" w14:textId="77777777" w:rsidR="006B113F" w:rsidRDefault="00000000">
      <w:pPr>
        <w:widowControl w:val="0"/>
        <w:numPr>
          <w:ilvl w:val="0"/>
          <w:numId w:val="17"/>
        </w:numPr>
        <w:tabs>
          <w:tab w:val="left" w:pos="459"/>
        </w:tabs>
        <w:spacing w:line="240" w:lineRule="auto"/>
        <w:ind w:left="458" w:hanging="358"/>
        <w:jc w:val="both"/>
        <w:rPr>
          <w:b/>
        </w:rPr>
      </w:pPr>
      <w:r>
        <w:rPr>
          <w:rFonts w:ascii="Calibri" w:eastAsia="Calibri" w:hAnsi="Calibri" w:cs="Calibri"/>
          <w:b/>
        </w:rPr>
        <w:t>First Semester University:</w:t>
      </w:r>
    </w:p>
    <w:p w14:paraId="62F66EAB" w14:textId="77777777"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The Partner Institution that hosts the students in the first semester is RUB. </w:t>
      </w:r>
    </w:p>
    <w:p w14:paraId="23008E62" w14:textId="77777777" w:rsidR="006B113F" w:rsidRDefault="00000000">
      <w:pPr>
        <w:widowControl w:val="0"/>
        <w:numPr>
          <w:ilvl w:val="0"/>
          <w:numId w:val="17"/>
        </w:numPr>
        <w:tabs>
          <w:tab w:val="left" w:pos="459"/>
        </w:tabs>
        <w:spacing w:line="240" w:lineRule="auto"/>
        <w:ind w:left="458" w:hanging="358"/>
        <w:jc w:val="both"/>
        <w:rPr>
          <w:b/>
        </w:rPr>
      </w:pPr>
      <w:r>
        <w:rPr>
          <w:rFonts w:ascii="Calibri" w:eastAsia="Calibri" w:hAnsi="Calibri" w:cs="Calibri"/>
          <w:b/>
        </w:rPr>
        <w:t>Second Semester Universities:</w:t>
      </w:r>
    </w:p>
    <w:p w14:paraId="67630D88" w14:textId="77777777"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The Partner Institutions responsible for the second semester, four Hosting Universities supported by four Contributing Universities. </w:t>
      </w:r>
      <w:r>
        <w:rPr>
          <w:rFonts w:ascii="Calibri" w:eastAsia="Calibri" w:hAnsi="Calibri" w:cs="Calibri"/>
          <w:color w:val="000000"/>
        </w:rPr>
        <w:t xml:space="preserve">The Partner Institutions that </w:t>
      </w:r>
      <w:r>
        <w:rPr>
          <w:rFonts w:ascii="Calibri" w:eastAsia="Calibri" w:hAnsi="Calibri" w:cs="Calibri"/>
        </w:rPr>
        <w:t xml:space="preserve">form pairs of two to offer a semester track are KU and EUR, UCC and ULiège, UniZG and UDeusto, RUB and UOulu. </w:t>
      </w:r>
    </w:p>
    <w:p w14:paraId="5E0B02A1" w14:textId="77777777" w:rsidR="006B113F" w:rsidRDefault="00000000">
      <w:pPr>
        <w:widowControl w:val="0"/>
        <w:numPr>
          <w:ilvl w:val="0"/>
          <w:numId w:val="17"/>
        </w:numPr>
        <w:tabs>
          <w:tab w:val="left" w:pos="459"/>
        </w:tabs>
        <w:spacing w:line="240" w:lineRule="auto"/>
        <w:ind w:left="458" w:hanging="358"/>
        <w:jc w:val="both"/>
        <w:rPr>
          <w:b/>
        </w:rPr>
      </w:pPr>
      <w:r>
        <w:rPr>
          <w:rFonts w:ascii="Calibri" w:eastAsia="Calibri" w:hAnsi="Calibri" w:cs="Calibri"/>
          <w:b/>
        </w:rPr>
        <w:t xml:space="preserve">Third Semester Universities: </w:t>
      </w:r>
    </w:p>
    <w:p w14:paraId="6770CDBA" w14:textId="77777777"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The Partner Institutions that host the students in the third semester are UCC and ULiège. </w:t>
      </w:r>
    </w:p>
    <w:p w14:paraId="785E5FC2" w14:textId="77777777" w:rsidR="006B113F" w:rsidRDefault="00000000">
      <w:pPr>
        <w:widowControl w:val="0"/>
        <w:numPr>
          <w:ilvl w:val="0"/>
          <w:numId w:val="17"/>
        </w:numPr>
        <w:tabs>
          <w:tab w:val="left" w:pos="459"/>
        </w:tabs>
        <w:spacing w:line="240" w:lineRule="auto"/>
        <w:ind w:left="458" w:hanging="358"/>
        <w:jc w:val="both"/>
        <w:rPr>
          <w:b/>
        </w:rPr>
      </w:pPr>
      <w:r>
        <w:rPr>
          <w:rFonts w:ascii="Calibri" w:eastAsia="Calibri" w:hAnsi="Calibri" w:cs="Calibri"/>
          <w:b/>
        </w:rPr>
        <w:t xml:space="preserve">Fourth Semester Universities: </w:t>
      </w:r>
    </w:p>
    <w:p w14:paraId="578C95FA" w14:textId="77777777"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All eight Partner Institutions are Hosting Universities in the fourth semester and offer thesis topics and supervision in the </w:t>
      </w:r>
      <w:r>
        <w:rPr>
          <w:rFonts w:ascii="Calibri" w:eastAsia="Calibri" w:hAnsi="Calibri" w:cs="Calibri"/>
          <w:highlight w:val="white"/>
        </w:rPr>
        <w:t>concluding semester</w:t>
      </w:r>
      <w:r>
        <w:rPr>
          <w:rFonts w:ascii="Calibri" w:eastAsia="Calibri" w:hAnsi="Calibri" w:cs="Calibri"/>
        </w:rPr>
        <w:t xml:space="preserve">. </w:t>
      </w:r>
    </w:p>
    <w:p w14:paraId="47628571" w14:textId="13E0EBF6" w:rsidR="006B113F" w:rsidRDefault="00B270F7">
      <w:pPr>
        <w:widowControl w:val="0"/>
        <w:numPr>
          <w:ilvl w:val="0"/>
          <w:numId w:val="17"/>
        </w:numPr>
        <w:tabs>
          <w:tab w:val="left" w:pos="459"/>
        </w:tabs>
        <w:spacing w:line="240" w:lineRule="auto"/>
        <w:ind w:left="458" w:hanging="358"/>
        <w:jc w:val="both"/>
        <w:rPr>
          <w:b/>
        </w:rPr>
      </w:pPr>
      <w:r>
        <w:rPr>
          <w:rFonts w:ascii="Calibri" w:eastAsia="Calibri" w:hAnsi="Calibri" w:cs="Calibri"/>
          <w:b/>
        </w:rPr>
        <w:t>XX</w:t>
      </w:r>
      <w:r w:rsidR="00000000">
        <w:rPr>
          <w:rFonts w:ascii="Calibri" w:eastAsia="Calibri" w:hAnsi="Calibri" w:cs="Calibri"/>
          <w:b/>
        </w:rPr>
        <w:t xml:space="preserve"> Directors: </w:t>
      </w:r>
    </w:p>
    <w:p w14:paraId="29A60FED" w14:textId="2F59A7D2"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Each Partner Institution appoints a </w:t>
      </w:r>
      <w:r w:rsidR="00B270F7">
        <w:rPr>
          <w:rFonts w:ascii="Calibri" w:eastAsia="Calibri" w:hAnsi="Calibri" w:cs="Calibri"/>
        </w:rPr>
        <w:t>XX</w:t>
      </w:r>
      <w:r>
        <w:rPr>
          <w:rFonts w:ascii="Calibri" w:eastAsia="Calibri" w:hAnsi="Calibri" w:cs="Calibri"/>
        </w:rPr>
        <w:t xml:space="preserve"> Director in accordance with its own procedures. The </w:t>
      </w:r>
      <w:r w:rsidR="00B270F7">
        <w:rPr>
          <w:rFonts w:ascii="Calibri" w:eastAsia="Calibri" w:hAnsi="Calibri" w:cs="Calibri"/>
        </w:rPr>
        <w:t>XX</w:t>
      </w:r>
      <w:r>
        <w:rPr>
          <w:rFonts w:ascii="Calibri" w:eastAsia="Calibri" w:hAnsi="Calibri" w:cs="Calibri"/>
        </w:rPr>
        <w:t xml:space="preserve"> Directors liaise with their counterparts in the other Partner Institutions on all matters concerning the degree programme and ensure that the degree programme at their Institution is consistent with the joint understanding and agreements reached through this Partnership Agreement concerning the degree programme. </w:t>
      </w:r>
      <w:r w:rsidR="00B270F7">
        <w:rPr>
          <w:rFonts w:ascii="Calibri" w:eastAsia="Calibri" w:hAnsi="Calibri" w:cs="Calibri"/>
        </w:rPr>
        <w:t>XX</w:t>
      </w:r>
      <w:r>
        <w:rPr>
          <w:rFonts w:ascii="Calibri" w:eastAsia="Calibri" w:hAnsi="Calibri" w:cs="Calibri"/>
        </w:rPr>
        <w:t xml:space="preserve"> Directors are supported by staff from the involved Faculties/Schools/Departments and Service Units of their institutions.</w:t>
      </w:r>
    </w:p>
    <w:p w14:paraId="62BDC2B3" w14:textId="01D65165" w:rsidR="006B113F" w:rsidRDefault="00B270F7">
      <w:pPr>
        <w:widowControl w:val="0"/>
        <w:numPr>
          <w:ilvl w:val="0"/>
          <w:numId w:val="17"/>
        </w:numPr>
        <w:tabs>
          <w:tab w:val="left" w:pos="461"/>
        </w:tabs>
        <w:spacing w:line="240" w:lineRule="auto"/>
        <w:jc w:val="both"/>
        <w:rPr>
          <w:b/>
        </w:rPr>
      </w:pPr>
      <w:r>
        <w:rPr>
          <w:rFonts w:ascii="Calibri" w:eastAsia="Calibri" w:hAnsi="Calibri" w:cs="Calibri"/>
          <w:b/>
        </w:rPr>
        <w:t>XX</w:t>
      </w:r>
      <w:r w:rsidR="00000000">
        <w:rPr>
          <w:rFonts w:ascii="Calibri" w:eastAsia="Calibri" w:hAnsi="Calibri" w:cs="Calibri"/>
          <w:b/>
        </w:rPr>
        <w:t xml:space="preserve"> Programme Coordinator: </w:t>
      </w:r>
    </w:p>
    <w:p w14:paraId="24E3316F" w14:textId="010AF56A" w:rsidR="006B113F" w:rsidRDefault="00000000">
      <w:pPr>
        <w:widowControl w:val="0"/>
        <w:tabs>
          <w:tab w:val="left" w:pos="461"/>
        </w:tabs>
        <w:spacing w:line="240" w:lineRule="auto"/>
        <w:ind w:left="460"/>
        <w:jc w:val="both"/>
        <w:rPr>
          <w:rFonts w:ascii="Calibri" w:eastAsia="Calibri" w:hAnsi="Calibri" w:cs="Calibri"/>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Programme Coordinator is the </w:t>
      </w:r>
      <w:r w:rsidR="00B270F7">
        <w:rPr>
          <w:rFonts w:ascii="Calibri" w:eastAsia="Calibri" w:hAnsi="Calibri" w:cs="Calibri"/>
        </w:rPr>
        <w:t>XX</w:t>
      </w:r>
      <w:r>
        <w:rPr>
          <w:rFonts w:ascii="Calibri" w:eastAsia="Calibri" w:hAnsi="Calibri" w:cs="Calibri"/>
        </w:rPr>
        <w:t xml:space="preserve"> Director of the Coordinating Institution and has overall coordination responsibility over the degree programme. </w:t>
      </w:r>
      <w:commentRangeStart w:id="20"/>
      <w:r>
        <w:rPr>
          <w:rFonts w:ascii="Calibri" w:eastAsia="Calibri" w:hAnsi="Calibri" w:cs="Calibri"/>
        </w:rPr>
        <w:t xml:space="preserve">In the event of EMJM status, he or she represents the Partner Institutions before the European Commission and is the interlocutor between the European Commission and the Partner Institutions of the degree programme. </w:t>
      </w:r>
      <w:commentRangeEnd w:id="20"/>
      <w:r>
        <w:commentReference w:id="20"/>
      </w:r>
      <w:r>
        <w:rPr>
          <w:rFonts w:ascii="Calibri" w:eastAsia="Calibri" w:hAnsi="Calibri" w:cs="Calibri"/>
        </w:rPr>
        <w:t xml:space="preserve">He or she discusses important aspects of the operation, coordination, and quality assurance of the degree programme with the Academic Study Board and other main stakeholders. The Programme Coordinator shall handle tasks which go beyond the direct implementation of the degree programme, including the Board meetings, the programme’s communication to the world, finance, activities involving the wider network of </w:t>
      </w:r>
      <w:r w:rsidR="00B270F7">
        <w:rPr>
          <w:rFonts w:ascii="Calibri" w:eastAsia="Calibri" w:hAnsi="Calibri" w:cs="Calibri"/>
        </w:rPr>
        <w:t>XX</w:t>
      </w:r>
      <w:r>
        <w:rPr>
          <w:rFonts w:ascii="Calibri" w:eastAsia="Calibri" w:hAnsi="Calibri" w:cs="Calibri"/>
        </w:rPr>
        <w:t xml:space="preserve"> stakeholders, and other tasks assigned by the Academic Study Board. The Programme Coordinator can task the different </w:t>
      </w:r>
      <w:r w:rsidR="00B270F7">
        <w:rPr>
          <w:rFonts w:ascii="Calibri" w:eastAsia="Calibri" w:hAnsi="Calibri" w:cs="Calibri"/>
        </w:rPr>
        <w:t>XX</w:t>
      </w:r>
      <w:r>
        <w:rPr>
          <w:rFonts w:ascii="Calibri" w:eastAsia="Calibri" w:hAnsi="Calibri" w:cs="Calibri"/>
        </w:rPr>
        <w:t xml:space="preserve"> management entities with matters regarding quality enhancement and assurance, application, selection and admission, student administration, insurance, mobility coordination, etc. The Academic Study Board  can name any of the other </w:t>
      </w:r>
      <w:r w:rsidR="00B270F7">
        <w:rPr>
          <w:rFonts w:ascii="Calibri" w:eastAsia="Calibri" w:hAnsi="Calibri" w:cs="Calibri"/>
        </w:rPr>
        <w:t>XX</w:t>
      </w:r>
      <w:r>
        <w:rPr>
          <w:rFonts w:ascii="Calibri" w:eastAsia="Calibri" w:hAnsi="Calibri" w:cs="Calibri"/>
        </w:rPr>
        <w:t xml:space="preserve"> Directors as a deputy to act on behalf of the Programe Coordinatorin case of temporary unavailability.</w:t>
      </w:r>
    </w:p>
    <w:p w14:paraId="124A49C4" w14:textId="640ECBA9" w:rsidR="006B113F" w:rsidRDefault="00B270F7">
      <w:pPr>
        <w:widowControl w:val="0"/>
        <w:numPr>
          <w:ilvl w:val="0"/>
          <w:numId w:val="17"/>
        </w:numPr>
        <w:tabs>
          <w:tab w:val="left" w:pos="459"/>
        </w:tabs>
        <w:spacing w:line="240" w:lineRule="auto"/>
        <w:ind w:left="458" w:hanging="358"/>
        <w:jc w:val="both"/>
        <w:rPr>
          <w:b/>
        </w:rPr>
      </w:pPr>
      <w:r>
        <w:rPr>
          <w:rFonts w:ascii="Calibri" w:eastAsia="Calibri" w:hAnsi="Calibri" w:cs="Calibri"/>
          <w:b/>
        </w:rPr>
        <w:t>XX</w:t>
      </w:r>
      <w:r w:rsidR="00000000">
        <w:rPr>
          <w:rFonts w:ascii="Calibri" w:eastAsia="Calibri" w:hAnsi="Calibri" w:cs="Calibri"/>
          <w:b/>
        </w:rPr>
        <w:t xml:space="preserve"> Programme Manager:</w:t>
      </w:r>
    </w:p>
    <w:p w14:paraId="46FC9A87" w14:textId="4E9B5C11"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Programme Manager is hired by and located at the Coordinating Institution. He/she assists the Joint Programme Coordinator, manages the day-to-day operations in the degree programme, and is in constant exchange with the </w:t>
      </w:r>
      <w:r w:rsidR="00B270F7">
        <w:rPr>
          <w:rFonts w:ascii="Calibri" w:eastAsia="Calibri" w:hAnsi="Calibri" w:cs="Calibri"/>
        </w:rPr>
        <w:t>XX</w:t>
      </w:r>
      <w:r>
        <w:rPr>
          <w:rFonts w:ascii="Calibri" w:eastAsia="Calibri" w:hAnsi="Calibri" w:cs="Calibri"/>
        </w:rPr>
        <w:t xml:space="preserve"> Local Coordinators and other staff related to the delivery of the </w:t>
      </w:r>
      <w:r w:rsidR="00B270F7">
        <w:rPr>
          <w:rFonts w:ascii="Calibri" w:eastAsia="Calibri" w:hAnsi="Calibri" w:cs="Calibri"/>
        </w:rPr>
        <w:t>XX</w:t>
      </w:r>
      <w:r>
        <w:rPr>
          <w:rFonts w:ascii="Calibri" w:eastAsia="Calibri" w:hAnsi="Calibri" w:cs="Calibri"/>
        </w:rPr>
        <w:t xml:space="preserve"> programme at the Partner Universities. </w:t>
      </w:r>
      <w:commentRangeStart w:id="21"/>
      <w:r>
        <w:rPr>
          <w:rFonts w:ascii="Calibri" w:eastAsia="Calibri" w:hAnsi="Calibri" w:cs="Calibri"/>
        </w:rPr>
        <w:t>The Programme</w:t>
      </w:r>
      <w:r>
        <w:rPr>
          <w:rFonts w:ascii="Calibri" w:eastAsia="Calibri" w:hAnsi="Calibri" w:cs="Calibri"/>
          <w:i/>
          <w:iCs/>
        </w:rPr>
        <w:t xml:space="preserve"> M</w:t>
      </w:r>
      <w:r>
        <w:rPr>
          <w:rFonts w:ascii="Calibri" w:eastAsia="Calibri" w:hAnsi="Calibri" w:cs="Calibri"/>
        </w:rPr>
        <w:t>anager’s tasks include</w:t>
      </w:r>
      <w:commentRangeEnd w:id="21"/>
      <w:r>
        <w:commentReference w:id="21"/>
      </w:r>
      <w:r>
        <w:rPr>
          <w:rFonts w:ascii="Calibri" w:eastAsia="Calibri" w:hAnsi="Calibri" w:cs="Calibri"/>
        </w:rPr>
        <w:t xml:space="preserve"> financial management of project funds, monitoring of project objectives and deliverables, composition of reports, as well as the day-to-day administrative and technical tasks concerning student counselling, overall quality management and compilation of evaluation results, supervision of mobility scheme in the degree programme, compilation of the course catalogue, regular revision of the module handbook, general counselling of students, support in the admission decision of applicants, regular exchange with the coordinators at the partner universities.</w:t>
      </w:r>
    </w:p>
    <w:p w14:paraId="7D68D255" w14:textId="4618877D" w:rsidR="006B113F" w:rsidRDefault="00B270F7">
      <w:pPr>
        <w:widowControl w:val="0"/>
        <w:numPr>
          <w:ilvl w:val="0"/>
          <w:numId w:val="17"/>
        </w:numPr>
        <w:tabs>
          <w:tab w:val="left" w:pos="459"/>
        </w:tabs>
        <w:spacing w:line="240" w:lineRule="auto"/>
        <w:ind w:left="458" w:hanging="358"/>
        <w:jc w:val="both"/>
        <w:rPr>
          <w:b/>
        </w:rPr>
      </w:pPr>
      <w:r>
        <w:rPr>
          <w:rFonts w:ascii="Calibri" w:eastAsia="Calibri" w:hAnsi="Calibri" w:cs="Calibri"/>
          <w:b/>
        </w:rPr>
        <w:lastRenderedPageBreak/>
        <w:t>XX</w:t>
      </w:r>
      <w:r w:rsidR="00000000">
        <w:rPr>
          <w:rFonts w:ascii="Calibri" w:eastAsia="Calibri" w:hAnsi="Calibri" w:cs="Calibri"/>
          <w:b/>
        </w:rPr>
        <w:t xml:space="preserve"> Local Coordinators: </w:t>
      </w:r>
    </w:p>
    <w:p w14:paraId="395A09B4" w14:textId="0D327832"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Each Partner Institution appoints one </w:t>
      </w:r>
      <w:r w:rsidR="00B270F7">
        <w:rPr>
          <w:rFonts w:ascii="Calibri" w:eastAsia="Calibri" w:hAnsi="Calibri" w:cs="Calibri"/>
        </w:rPr>
        <w:t>XX</w:t>
      </w:r>
      <w:r>
        <w:rPr>
          <w:rFonts w:ascii="Calibri" w:eastAsia="Calibri" w:hAnsi="Calibri" w:cs="Calibri"/>
        </w:rPr>
        <w:t xml:space="preserve"> Local Coordinator (</w:t>
      </w:r>
      <w:r>
        <w:rPr>
          <w:rFonts w:ascii="Calibri" w:eastAsia="Calibri" w:hAnsi="Calibri" w:cs="Calibri"/>
          <w:lang w:val="en-GB"/>
        </w:rPr>
        <w:t xml:space="preserve">usually, but not necessarily, an administrative staff supporting the </w:t>
      </w:r>
      <w:r w:rsidR="00B270F7">
        <w:rPr>
          <w:rFonts w:ascii="Calibri" w:eastAsia="Calibri" w:hAnsi="Calibri" w:cs="Calibri"/>
          <w:lang w:val="en-GB"/>
        </w:rPr>
        <w:t>XX</w:t>
      </w:r>
      <w:r>
        <w:rPr>
          <w:rFonts w:ascii="Calibri" w:eastAsia="Calibri" w:hAnsi="Calibri" w:cs="Calibri"/>
          <w:lang w:val="en-GB"/>
        </w:rPr>
        <w:t xml:space="preserve"> Director of the institution</w:t>
      </w:r>
      <w:r>
        <w:rPr>
          <w:rFonts w:ascii="Calibri" w:eastAsia="Calibri" w:hAnsi="Calibri" w:cs="Calibri"/>
        </w:rPr>
        <w:t xml:space="preserve">) and a deputy, in accordance with its own procedures. The </w:t>
      </w:r>
      <w:r w:rsidR="00B270F7">
        <w:rPr>
          <w:rFonts w:ascii="Calibri" w:eastAsia="Calibri" w:hAnsi="Calibri" w:cs="Calibri"/>
        </w:rPr>
        <w:t>XX</w:t>
      </w:r>
      <w:r>
        <w:rPr>
          <w:rFonts w:ascii="Calibri" w:eastAsia="Calibri" w:hAnsi="Calibri" w:cs="Calibri"/>
        </w:rPr>
        <w:t xml:space="preserve"> Local Coordinators assist the </w:t>
      </w:r>
      <w:r w:rsidR="00B270F7">
        <w:rPr>
          <w:rFonts w:ascii="Calibri" w:eastAsia="Calibri" w:hAnsi="Calibri" w:cs="Calibri"/>
        </w:rPr>
        <w:t>XX</w:t>
      </w:r>
      <w:r>
        <w:rPr>
          <w:rFonts w:ascii="Calibri" w:eastAsia="Calibri" w:hAnsi="Calibri" w:cs="Calibri"/>
        </w:rPr>
        <w:t xml:space="preserve"> Director and the </w:t>
      </w:r>
      <w:r w:rsidR="00B270F7">
        <w:rPr>
          <w:rFonts w:ascii="Calibri" w:eastAsia="Calibri" w:hAnsi="Calibri" w:cs="Calibri"/>
        </w:rPr>
        <w:t>XX</w:t>
      </w:r>
      <w:r>
        <w:rPr>
          <w:rFonts w:ascii="Calibri" w:eastAsia="Calibri" w:hAnsi="Calibri" w:cs="Calibri"/>
        </w:rPr>
        <w:t xml:space="preserve"> Programme Manager and carries out day-to-day administrative and technical tasks concerning the students, quality assurance, mobility in the degree programme and general matters related to studying at the Partner Institutions. He or she liaises with the other </w:t>
      </w:r>
      <w:r w:rsidR="00B270F7">
        <w:rPr>
          <w:rFonts w:ascii="Calibri" w:eastAsia="Calibri" w:hAnsi="Calibri" w:cs="Calibri"/>
        </w:rPr>
        <w:t>XX</w:t>
      </w:r>
      <w:r>
        <w:rPr>
          <w:rFonts w:ascii="Calibri" w:eastAsia="Calibri" w:hAnsi="Calibri" w:cs="Calibri"/>
        </w:rPr>
        <w:t xml:space="preserve"> Local Coordinators, the Joint Programme Coordinator, students in the degree programme, and with external partners. In addition, the </w:t>
      </w:r>
      <w:r w:rsidR="00B270F7">
        <w:rPr>
          <w:rFonts w:ascii="Calibri" w:eastAsia="Calibri" w:hAnsi="Calibri" w:cs="Calibri"/>
        </w:rPr>
        <w:t>XX</w:t>
      </w:r>
      <w:r>
        <w:rPr>
          <w:rFonts w:ascii="Calibri" w:eastAsia="Calibri" w:hAnsi="Calibri" w:cs="Calibri"/>
        </w:rPr>
        <w:t xml:space="preserve"> Local Coordinators support in matters such as data collection, information analysis and proposals and suggestions for the quality assurance of the Master programme. </w:t>
      </w:r>
      <w:r w:rsidR="00B270F7">
        <w:rPr>
          <w:rFonts w:ascii="Calibri" w:eastAsia="Calibri" w:hAnsi="Calibri" w:cs="Calibri"/>
        </w:rPr>
        <w:t>XX</w:t>
      </w:r>
      <w:r>
        <w:rPr>
          <w:rFonts w:ascii="Calibri" w:eastAsia="Calibri" w:hAnsi="Calibri" w:cs="Calibri"/>
        </w:rPr>
        <w:t xml:space="preserve"> Local Coordinators are supported by staff from the involved Faculties / Schools / Departments and Service Units of their institutions.</w:t>
      </w:r>
    </w:p>
    <w:p w14:paraId="4E331DEC" w14:textId="1A43CFDF" w:rsidR="006B113F" w:rsidRDefault="00B270F7">
      <w:pPr>
        <w:widowControl w:val="0"/>
        <w:numPr>
          <w:ilvl w:val="0"/>
          <w:numId w:val="17"/>
        </w:numPr>
        <w:tabs>
          <w:tab w:val="left" w:pos="459"/>
        </w:tabs>
        <w:spacing w:line="240" w:lineRule="auto"/>
        <w:ind w:left="458" w:hanging="358"/>
        <w:jc w:val="both"/>
        <w:rPr>
          <w:b/>
        </w:rPr>
      </w:pPr>
      <w:r>
        <w:rPr>
          <w:rFonts w:ascii="Calibri" w:eastAsia="Calibri" w:hAnsi="Calibri" w:cs="Calibri"/>
          <w:b/>
        </w:rPr>
        <w:t>XX</w:t>
      </w:r>
      <w:r w:rsidR="00000000">
        <w:rPr>
          <w:rFonts w:ascii="Calibri" w:eastAsia="Calibri" w:hAnsi="Calibri" w:cs="Calibri"/>
          <w:b/>
        </w:rPr>
        <w:t xml:space="preserve"> faculty: </w:t>
      </w:r>
    </w:p>
    <w:p w14:paraId="1A0FD748" w14:textId="73D2352A" w:rsidR="006B113F" w:rsidRDefault="00000000">
      <w:pPr>
        <w:widowControl w:val="0"/>
        <w:tabs>
          <w:tab w:val="left" w:pos="459"/>
        </w:tabs>
        <w:spacing w:line="240" w:lineRule="auto"/>
        <w:ind w:left="458"/>
        <w:jc w:val="both"/>
        <w:rPr>
          <w:rFonts w:ascii="Calibri" w:eastAsia="Calibri" w:hAnsi="Calibri" w:cs="Calibri"/>
        </w:rPr>
      </w:pPr>
      <w:r>
        <w:rPr>
          <w:rFonts w:ascii="Calibri" w:eastAsia="Calibri" w:hAnsi="Calibri" w:cs="Calibri"/>
        </w:rPr>
        <w:t xml:space="preserve">The academic teaching and research staff of the Partner Institutions, who are directly involved in the development, implementation, and delivery of the </w:t>
      </w:r>
      <w:r w:rsidR="00B270F7">
        <w:rPr>
          <w:rFonts w:ascii="Calibri" w:eastAsia="Calibri" w:hAnsi="Calibri" w:cs="Calibri"/>
        </w:rPr>
        <w:t>XX</w:t>
      </w:r>
      <w:r>
        <w:rPr>
          <w:rFonts w:ascii="Calibri" w:eastAsia="Calibri" w:hAnsi="Calibri" w:cs="Calibri"/>
        </w:rPr>
        <w:t xml:space="preserve"> degree programme.</w:t>
      </w:r>
    </w:p>
    <w:p w14:paraId="6CC291E3" w14:textId="77777777" w:rsidR="006B113F" w:rsidRDefault="006B113F">
      <w:pPr>
        <w:widowControl w:val="0"/>
        <w:tabs>
          <w:tab w:val="left" w:pos="2942"/>
        </w:tabs>
        <w:spacing w:line="240" w:lineRule="auto"/>
        <w:rPr>
          <w:rFonts w:ascii="Calibri" w:eastAsia="Calibri" w:hAnsi="Calibri" w:cs="Calibri"/>
          <w:sz w:val="16"/>
          <w:szCs w:val="16"/>
        </w:rPr>
      </w:pPr>
    </w:p>
    <w:p w14:paraId="7F639C29" w14:textId="79E562D2" w:rsidR="006B113F" w:rsidRDefault="00B270F7">
      <w:pPr>
        <w:pStyle w:val="berschrift2"/>
        <w:keepNext w:val="0"/>
        <w:keepLines w:val="0"/>
        <w:widowControl w:val="0"/>
        <w:numPr>
          <w:ilvl w:val="1"/>
          <w:numId w:val="1"/>
        </w:numPr>
        <w:tabs>
          <w:tab w:val="left" w:pos="677"/>
        </w:tabs>
        <w:spacing w:before="0" w:after="0" w:line="240" w:lineRule="auto"/>
        <w:jc w:val="both"/>
      </w:pPr>
      <w:bookmarkStart w:id="22" w:name="_Toc141279953"/>
      <w:r>
        <w:rPr>
          <w:rFonts w:ascii="Calibri" w:eastAsia="Calibri" w:hAnsi="Calibri" w:cs="Calibri"/>
          <w:b/>
          <w:color w:val="4F81BC"/>
          <w:sz w:val="26"/>
          <w:szCs w:val="26"/>
        </w:rPr>
        <w:t>XX</w:t>
      </w:r>
      <w:r w:rsidR="00000000">
        <w:rPr>
          <w:rFonts w:ascii="Calibri" w:eastAsia="Calibri" w:hAnsi="Calibri" w:cs="Calibri"/>
          <w:b/>
          <w:color w:val="4F81BC"/>
          <w:sz w:val="26"/>
          <w:szCs w:val="26"/>
        </w:rPr>
        <w:t xml:space="preserve"> Governance </w:t>
      </w:r>
      <w:commentRangeStart w:id="23"/>
      <w:r w:rsidR="00000000">
        <w:rPr>
          <w:rFonts w:ascii="Calibri" w:eastAsia="Calibri" w:hAnsi="Calibri" w:cs="Calibri"/>
          <w:b/>
          <w:color w:val="4F81BC"/>
          <w:sz w:val="26"/>
          <w:szCs w:val="26"/>
        </w:rPr>
        <w:t>Structure</w:t>
      </w:r>
      <w:bookmarkEnd w:id="22"/>
      <w:commentRangeEnd w:id="23"/>
      <w:r w:rsidR="00000000">
        <w:commentReference w:id="23"/>
      </w:r>
    </w:p>
    <w:p w14:paraId="39EA9497" w14:textId="3CAB8A37" w:rsidR="006B113F" w:rsidRDefault="00000000">
      <w:pPr>
        <w:pStyle w:val="berschrift3"/>
        <w:keepNext w:val="0"/>
        <w:keepLines w:val="0"/>
        <w:widowControl w:val="0"/>
        <w:numPr>
          <w:ilvl w:val="2"/>
          <w:numId w:val="1"/>
        </w:numPr>
        <w:tabs>
          <w:tab w:val="left" w:pos="821"/>
        </w:tabs>
        <w:spacing w:before="0" w:after="0" w:line="240" w:lineRule="auto"/>
        <w:jc w:val="both"/>
      </w:pPr>
      <w:bookmarkStart w:id="24" w:name="_Toc141279954"/>
      <w:commentRangeStart w:id="25"/>
      <w:r>
        <w:rPr>
          <w:rFonts w:ascii="Calibri" w:eastAsia="Calibri" w:hAnsi="Calibri" w:cs="Calibri"/>
          <w:b/>
          <w:color w:val="4F81BC"/>
          <w:sz w:val="22"/>
          <w:szCs w:val="22"/>
        </w:rPr>
        <w:t>Joint Governing Bodies</w:t>
      </w:r>
      <w:commentRangeEnd w:id="25"/>
      <w:r>
        <w:commentReference w:id="25"/>
      </w:r>
      <w:r>
        <w:rPr>
          <w:rFonts w:ascii="Calibri" w:eastAsia="Calibri" w:hAnsi="Calibri" w:cs="Calibri"/>
          <w:b/>
          <w:color w:val="4F81BC"/>
          <w:sz w:val="22"/>
          <w:szCs w:val="22"/>
        </w:rPr>
        <w:t xml:space="preserve"> in </w:t>
      </w:r>
      <w:bookmarkEnd w:id="24"/>
      <w:r w:rsidR="00B270F7">
        <w:rPr>
          <w:rFonts w:ascii="Calibri" w:eastAsia="Calibri" w:hAnsi="Calibri" w:cs="Calibri"/>
          <w:b/>
          <w:color w:val="4F81BC"/>
          <w:sz w:val="22"/>
          <w:szCs w:val="22"/>
        </w:rPr>
        <w:t>XX</w:t>
      </w:r>
    </w:p>
    <w:p w14:paraId="50091F4B" w14:textId="77777777" w:rsidR="006B113F" w:rsidRDefault="00000000">
      <w:pPr>
        <w:widowControl w:val="0"/>
        <w:tabs>
          <w:tab w:val="left" w:pos="461"/>
        </w:tabs>
        <w:spacing w:line="240" w:lineRule="auto"/>
        <w:ind w:left="460"/>
        <w:jc w:val="both"/>
        <w:rPr>
          <w:rFonts w:ascii="Calibri" w:eastAsia="Calibri" w:hAnsi="Calibri" w:cs="Calibri"/>
          <w:highlight w:val="green"/>
        </w:rPr>
      </w:pPr>
      <w:r>
        <w:rPr>
          <w:rFonts w:ascii="Calibri" w:eastAsia="Calibri" w:hAnsi="Calibri" w:cs="Calibri"/>
        </w:rPr>
        <w:t>The following governing entities are established:</w:t>
      </w:r>
    </w:p>
    <w:p w14:paraId="09025272" w14:textId="77777777" w:rsidR="006B113F" w:rsidRDefault="00000000">
      <w:pPr>
        <w:numPr>
          <w:ilvl w:val="0"/>
          <w:numId w:val="52"/>
        </w:numPr>
        <w:pBdr>
          <w:top w:val="none" w:sz="4" w:space="0" w:color="000000"/>
          <w:left w:val="none" w:sz="4" w:space="0" w:color="000000"/>
          <w:bottom w:val="none" w:sz="4" w:space="0" w:color="000000"/>
          <w:right w:val="none" w:sz="4" w:space="0" w:color="000000"/>
        </w:pBdr>
        <w:spacing w:line="240" w:lineRule="auto"/>
        <w:ind w:left="850" w:hanging="283"/>
        <w:jc w:val="both"/>
        <w:rPr>
          <w:rFonts w:ascii="Calibri" w:eastAsia="Calibri" w:hAnsi="Calibri" w:cs="Calibri"/>
          <w:b/>
          <w:bCs/>
          <w:color w:val="000000"/>
          <w:highlight w:val="white"/>
        </w:rPr>
      </w:pPr>
      <w:r>
        <w:rPr>
          <w:rFonts w:ascii="Calibri" w:eastAsia="Calibri" w:hAnsi="Calibri" w:cs="Calibri"/>
          <w:b/>
          <w:color w:val="000000"/>
        </w:rPr>
        <w:t>Academic Study Board (ASB)</w:t>
      </w:r>
      <w:r>
        <w:rPr>
          <w:rFonts w:ascii="Calibri" w:eastAsia="Calibri" w:hAnsi="Calibri" w:cs="Calibri"/>
          <w:color w:val="000000"/>
        </w:rPr>
        <w:t xml:space="preserve">, constituted of the academic coordinators of each of the eight Partner Universities. The ASB decides on general and strategic matters, supervises and approves all major processes, and is particularly in charge of </w:t>
      </w:r>
    </w:p>
    <w:p w14:paraId="39219CDB" w14:textId="77777777" w:rsidR="006B113F" w:rsidRDefault="00000000">
      <w:pPr>
        <w:numPr>
          <w:ilvl w:val="1"/>
          <w:numId w:val="53"/>
        </w:numPr>
        <w:pBdr>
          <w:top w:val="none" w:sz="4" w:space="0" w:color="000000"/>
          <w:left w:val="none" w:sz="4" w:space="0" w:color="000000"/>
          <w:bottom w:val="none" w:sz="4" w:space="0" w:color="000000"/>
          <w:right w:val="none" w:sz="4" w:space="0" w:color="000000"/>
        </w:pBdr>
        <w:spacing w:line="240" w:lineRule="auto"/>
        <w:ind w:left="1134" w:hanging="283"/>
        <w:jc w:val="both"/>
      </w:pPr>
      <w:r>
        <w:rPr>
          <w:rFonts w:ascii="Calibri" w:eastAsia="Calibri" w:hAnsi="Calibri" w:cs="Calibri"/>
          <w:color w:val="000000"/>
        </w:rPr>
        <w:t xml:space="preserve">Content and Curriculum Development </w:t>
      </w:r>
    </w:p>
    <w:p w14:paraId="598B554C" w14:textId="77777777" w:rsidR="006B113F" w:rsidRDefault="00000000">
      <w:pPr>
        <w:numPr>
          <w:ilvl w:val="1"/>
          <w:numId w:val="53"/>
        </w:numPr>
        <w:pBdr>
          <w:top w:val="none" w:sz="4" w:space="0" w:color="000000"/>
          <w:left w:val="none" w:sz="4" w:space="0" w:color="000000"/>
          <w:bottom w:val="none" w:sz="4" w:space="0" w:color="000000"/>
          <w:right w:val="none" w:sz="4" w:space="0" w:color="000000"/>
        </w:pBdr>
        <w:spacing w:line="240" w:lineRule="auto"/>
        <w:ind w:left="1134" w:hanging="283"/>
        <w:jc w:val="both"/>
      </w:pPr>
      <w:r>
        <w:rPr>
          <w:rFonts w:ascii="Calibri" w:eastAsia="Calibri" w:hAnsi="Calibri" w:cs="Calibri"/>
          <w:color w:val="000000"/>
        </w:rPr>
        <w:t xml:space="preserve">Quality Enhancement, </w:t>
      </w:r>
    </w:p>
    <w:p w14:paraId="51543959" w14:textId="77777777" w:rsidR="006B113F" w:rsidRDefault="00000000">
      <w:pPr>
        <w:numPr>
          <w:ilvl w:val="1"/>
          <w:numId w:val="53"/>
        </w:numPr>
        <w:pBdr>
          <w:top w:val="none" w:sz="4" w:space="0" w:color="000000"/>
          <w:left w:val="none" w:sz="4" w:space="0" w:color="000000"/>
          <w:bottom w:val="none" w:sz="4" w:space="0" w:color="000000"/>
          <w:right w:val="none" w:sz="4" w:space="0" w:color="000000"/>
        </w:pBdr>
        <w:spacing w:line="240" w:lineRule="auto"/>
        <w:ind w:left="1134" w:hanging="283"/>
        <w:jc w:val="both"/>
      </w:pPr>
      <w:r>
        <w:rPr>
          <w:rFonts w:ascii="Calibri" w:eastAsia="Calibri" w:hAnsi="Calibri" w:cs="Calibri"/>
          <w:color w:val="000000"/>
        </w:rPr>
        <w:t xml:space="preserve">Communication, Marketing and Promotion, </w:t>
      </w:r>
    </w:p>
    <w:p w14:paraId="2728E506" w14:textId="77777777" w:rsidR="006B113F" w:rsidRDefault="00000000">
      <w:pPr>
        <w:numPr>
          <w:ilvl w:val="1"/>
          <w:numId w:val="53"/>
        </w:numPr>
        <w:pBdr>
          <w:top w:val="none" w:sz="4" w:space="0" w:color="000000"/>
          <w:left w:val="none" w:sz="4" w:space="0" w:color="000000"/>
          <w:bottom w:val="none" w:sz="4" w:space="0" w:color="000000"/>
          <w:right w:val="none" w:sz="4" w:space="0" w:color="000000"/>
        </w:pBdr>
        <w:spacing w:line="240" w:lineRule="auto"/>
        <w:ind w:left="1134" w:hanging="283"/>
        <w:jc w:val="both"/>
      </w:pPr>
      <w:r>
        <w:rPr>
          <w:rFonts w:ascii="Calibri" w:eastAsia="Calibri" w:hAnsi="Calibri" w:cs="Calibri"/>
          <w:color w:val="000000"/>
        </w:rPr>
        <w:t>Financial management (with support by expertise from the administration of the Partner Universities),</w:t>
      </w:r>
    </w:p>
    <w:p w14:paraId="66E6DAEA" w14:textId="77777777" w:rsidR="006B113F" w:rsidRDefault="00000000">
      <w:pPr>
        <w:numPr>
          <w:ilvl w:val="1"/>
          <w:numId w:val="53"/>
        </w:numPr>
        <w:pBdr>
          <w:top w:val="none" w:sz="4" w:space="0" w:color="000000"/>
          <w:left w:val="none" w:sz="4" w:space="0" w:color="000000"/>
          <w:bottom w:val="none" w:sz="4" w:space="0" w:color="000000"/>
          <w:right w:val="none" w:sz="4" w:space="0" w:color="000000"/>
        </w:pBdr>
        <w:spacing w:line="240" w:lineRule="auto"/>
        <w:ind w:left="1134" w:hanging="283"/>
        <w:jc w:val="both"/>
        <w:rPr>
          <w:rFonts w:ascii="Calibri" w:eastAsia="Calibri" w:hAnsi="Calibri" w:cs="Calibri"/>
          <w:color w:val="000000"/>
        </w:rPr>
      </w:pPr>
      <w:r>
        <w:rPr>
          <w:rFonts w:ascii="Calibri" w:eastAsia="Calibri" w:hAnsi="Calibri" w:cs="Calibri"/>
          <w:color w:val="000000"/>
        </w:rPr>
        <w:t>dealing with academic progression of students on the programme, discipline issues not within the remit of the Hosting University, and complaints by students relating to the Programme, other than complaints relating to staff at and the content of modules taught at a Hosting University.</w:t>
      </w:r>
    </w:p>
    <w:p w14:paraId="416924A4" w14:textId="416C6FDF" w:rsidR="006B113F" w:rsidRDefault="00000000">
      <w:pPr>
        <w:pBdr>
          <w:top w:val="none" w:sz="4" w:space="0" w:color="000000"/>
          <w:left w:val="none" w:sz="4" w:space="0" w:color="000000"/>
          <w:bottom w:val="none" w:sz="4" w:space="0" w:color="000000"/>
          <w:right w:val="none" w:sz="4" w:space="0" w:color="000000"/>
        </w:pBdr>
        <w:spacing w:line="240" w:lineRule="auto"/>
        <w:ind w:left="850"/>
        <w:jc w:val="both"/>
        <w:rPr>
          <w:rFonts w:ascii="Calibri" w:eastAsia="Calibri" w:hAnsi="Calibri" w:cs="Calibri"/>
        </w:rPr>
      </w:pPr>
      <w:r>
        <w:rPr>
          <w:rFonts w:ascii="Calibri" w:eastAsia="Calibri" w:hAnsi="Calibri" w:cs="Calibri"/>
          <w:color w:val="000000"/>
        </w:rPr>
        <w:t xml:space="preserve">The ASB is assisted by a secretary (programme manager) of the coordinating institution. The ASB is in exchange with and reporting to the senior management of the </w:t>
      </w:r>
      <w:r w:rsidR="00B270F7">
        <w:rPr>
          <w:rFonts w:ascii="Calibri" w:eastAsia="Calibri" w:hAnsi="Calibri" w:cs="Calibri"/>
          <w:color w:val="000000"/>
        </w:rPr>
        <w:t>XX</w:t>
      </w:r>
      <w:r>
        <w:rPr>
          <w:rFonts w:ascii="Calibri" w:eastAsia="Calibri" w:hAnsi="Calibri" w:cs="Calibri"/>
          <w:color w:val="000000"/>
        </w:rPr>
        <w:t xml:space="preserve"> Partner Universities. The ASB is in exchange with and reporting to the senior management of the </w:t>
      </w:r>
      <w:r w:rsidR="00B270F7">
        <w:rPr>
          <w:rFonts w:ascii="Calibri" w:eastAsia="Calibri" w:hAnsi="Calibri" w:cs="Calibri"/>
          <w:color w:val="000000"/>
        </w:rPr>
        <w:t>XX</w:t>
      </w:r>
      <w:r>
        <w:rPr>
          <w:rFonts w:ascii="Calibri" w:eastAsia="Calibri" w:hAnsi="Calibri" w:cs="Calibri"/>
          <w:color w:val="000000"/>
        </w:rPr>
        <w:t xml:space="preserve"> Partner Universities about student and graduate numbers, budgetary matters, and other important topics. Minutes are produced after each meeting of the ASB</w:t>
      </w:r>
      <w:r>
        <w:rPr>
          <w:rFonts w:ascii="Calibri" w:eastAsia="Calibri" w:hAnsi="Calibri" w:cs="Calibri"/>
          <w:color w:val="000000"/>
          <w:lang w:val="eu-ES"/>
        </w:rPr>
        <w:t xml:space="preserve"> and are provided to the main academic governance entity of each partner institution</w:t>
      </w:r>
      <w:r>
        <w:rPr>
          <w:rFonts w:ascii="Calibri" w:eastAsia="Calibri" w:hAnsi="Calibri" w:cs="Calibri"/>
          <w:color w:val="000000"/>
        </w:rPr>
        <w:t xml:space="preserve">. </w:t>
      </w:r>
      <w:r>
        <w:rPr>
          <w:rFonts w:ascii="Calibri" w:eastAsia="Times New Roman" w:hAnsi="Calibri" w:cs="Calibri"/>
          <w:color w:val="000000"/>
          <w:lang w:val="en-GB"/>
        </w:rPr>
        <w:t>If it has reason to assume that targets may not be reached, the ASB may ask for additional reports from the other bodies on an ad hoc basis.</w:t>
      </w:r>
      <w:r>
        <w:rPr>
          <w:rFonts w:ascii="Calibri" w:eastAsia="Calibri" w:hAnsi="Calibri" w:cs="Calibri"/>
          <w:color w:val="000000"/>
        </w:rPr>
        <w:t xml:space="preserve"> </w:t>
      </w:r>
    </w:p>
    <w:p w14:paraId="79AF750D" w14:textId="77777777" w:rsidR="006B113F" w:rsidRDefault="00000000">
      <w:pPr>
        <w:numPr>
          <w:ilvl w:val="0"/>
          <w:numId w:val="53"/>
        </w:numPr>
        <w:pBdr>
          <w:top w:val="none" w:sz="4" w:space="0" w:color="000000"/>
          <w:left w:val="none" w:sz="4" w:space="0" w:color="000000"/>
          <w:bottom w:val="none" w:sz="4" w:space="0" w:color="000000"/>
          <w:right w:val="none" w:sz="4" w:space="0" w:color="000000"/>
        </w:pBdr>
        <w:spacing w:line="240" w:lineRule="auto"/>
        <w:ind w:left="850" w:hanging="283"/>
        <w:jc w:val="both"/>
        <w:rPr>
          <w:rFonts w:ascii="Calibri" w:eastAsia="Calibri" w:hAnsi="Calibri" w:cs="Calibri"/>
          <w:color w:val="000000"/>
        </w:rPr>
      </w:pPr>
      <w:r>
        <w:rPr>
          <w:rFonts w:ascii="Calibri" w:eastAsia="Calibri" w:hAnsi="Calibri" w:cs="Calibri"/>
          <w:b/>
          <w:color w:val="000000"/>
        </w:rPr>
        <w:t>Admission and Examination</w:t>
      </w:r>
      <w:r>
        <w:rPr>
          <w:rFonts w:ascii="Calibri" w:eastAsia="Calibri" w:hAnsi="Calibri" w:cs="Calibri"/>
          <w:color w:val="000000"/>
        </w:rPr>
        <w:t xml:space="preserve"> </w:t>
      </w:r>
      <w:r>
        <w:rPr>
          <w:rFonts w:ascii="Calibri" w:eastAsia="Calibri" w:hAnsi="Calibri" w:cs="Calibri"/>
          <w:b/>
          <w:color w:val="000000"/>
        </w:rPr>
        <w:t>Committee (AEC)</w:t>
      </w:r>
      <w:r>
        <w:rPr>
          <w:rFonts w:ascii="Calibri" w:eastAsia="Calibri" w:hAnsi="Calibri" w:cs="Calibri"/>
          <w:color w:val="000000"/>
        </w:rPr>
        <w:t>, constituted of the eight members. The AEC is in direct communication with the ASB Chair and the EAB Chair. Minutes are produced after each meeting.</w:t>
      </w:r>
    </w:p>
    <w:p w14:paraId="5B2A6CE1" w14:textId="3A7441FF" w:rsidR="006B113F" w:rsidRDefault="00000000">
      <w:pPr>
        <w:numPr>
          <w:ilvl w:val="0"/>
          <w:numId w:val="53"/>
        </w:numPr>
        <w:pBdr>
          <w:top w:val="none" w:sz="4" w:space="0" w:color="000000"/>
          <w:left w:val="none" w:sz="4" w:space="0" w:color="000000"/>
          <w:bottom w:val="none" w:sz="4" w:space="0" w:color="000000"/>
          <w:right w:val="none" w:sz="4" w:space="0" w:color="000000"/>
        </w:pBdr>
        <w:spacing w:line="240" w:lineRule="auto"/>
        <w:ind w:left="850" w:hanging="283"/>
        <w:jc w:val="both"/>
        <w:rPr>
          <w:rFonts w:ascii="Calibri" w:hAnsi="Calibri" w:cs="Calibri"/>
          <w:color w:val="000000"/>
        </w:rPr>
      </w:pPr>
      <w:r>
        <w:rPr>
          <w:rFonts w:ascii="Calibri" w:hAnsi="Calibri" w:cs="Calibri"/>
          <w:b/>
          <w:bCs/>
          <w:color w:val="000000"/>
        </w:rPr>
        <w:t>Programme Advisory Board (PAB),</w:t>
      </w:r>
      <w:r>
        <w:rPr>
          <w:rFonts w:ascii="Calibri" w:hAnsi="Calibri" w:cs="Calibri"/>
          <w:color w:val="000000"/>
        </w:rPr>
        <w:t xml:space="preserve"> consisting of 8 members (supplemented by 8 deputies), half of them students enrolled in </w:t>
      </w:r>
      <w:r w:rsidR="00B270F7">
        <w:rPr>
          <w:rFonts w:ascii="Calibri" w:hAnsi="Calibri" w:cs="Calibri"/>
          <w:color w:val="000000"/>
        </w:rPr>
        <w:t>XX</w:t>
      </w:r>
      <w:r>
        <w:rPr>
          <w:rFonts w:ascii="Calibri" w:hAnsi="Calibri" w:cs="Calibri"/>
          <w:color w:val="000000"/>
        </w:rPr>
        <w:t xml:space="preserve"> and half of them staff who teach in </w:t>
      </w:r>
      <w:r w:rsidR="00B270F7">
        <w:rPr>
          <w:rFonts w:ascii="Calibri" w:hAnsi="Calibri" w:cs="Calibri"/>
          <w:color w:val="000000"/>
        </w:rPr>
        <w:t>XX</w:t>
      </w:r>
      <w:r>
        <w:rPr>
          <w:rFonts w:ascii="Calibri" w:hAnsi="Calibri" w:cs="Calibri"/>
          <w:color w:val="000000"/>
        </w:rPr>
        <w:t xml:space="preserve"> or perform teaching-related tasks. The PAB advises the Academic Studies Board in matters of teaching and academic affairs, in particular in matters of further educational development and the evaluation of </w:t>
      </w:r>
      <w:r w:rsidR="00B270F7">
        <w:rPr>
          <w:rFonts w:ascii="Calibri" w:hAnsi="Calibri" w:cs="Calibri"/>
          <w:color w:val="000000"/>
        </w:rPr>
        <w:t>XX</w:t>
      </w:r>
      <w:r>
        <w:rPr>
          <w:rFonts w:ascii="Calibri" w:hAnsi="Calibri" w:cs="Calibri"/>
          <w:color w:val="000000"/>
        </w:rPr>
        <w:t>. The PAB may upon necessity hand in written recommendations to the ASB, following a joint decision of more than 50 % of its members.</w:t>
      </w:r>
    </w:p>
    <w:p w14:paraId="059FE901" w14:textId="77777777" w:rsidR="006B113F" w:rsidRDefault="00000000">
      <w:pPr>
        <w:numPr>
          <w:ilvl w:val="0"/>
          <w:numId w:val="54"/>
        </w:numPr>
        <w:pBdr>
          <w:top w:val="none" w:sz="4" w:space="0" w:color="000000"/>
          <w:left w:val="none" w:sz="4" w:space="0" w:color="000000"/>
          <w:bottom w:val="none" w:sz="4" w:space="0" w:color="000000"/>
          <w:right w:val="none" w:sz="4" w:space="0" w:color="000000"/>
        </w:pBdr>
        <w:spacing w:line="240" w:lineRule="auto"/>
        <w:ind w:left="850" w:hanging="283"/>
        <w:jc w:val="both"/>
        <w:rPr>
          <w:rFonts w:ascii="Calibri" w:eastAsia="Calibri" w:hAnsi="Calibri" w:cs="Calibri"/>
          <w:color w:val="000000"/>
        </w:rPr>
      </w:pPr>
      <w:commentRangeStart w:id="26"/>
      <w:r>
        <w:rPr>
          <w:rFonts w:ascii="Calibri" w:eastAsia="Calibri" w:hAnsi="Calibri" w:cs="Calibri"/>
          <w:b/>
          <w:color w:val="000000"/>
        </w:rPr>
        <w:t>External Advisory Board (EAB)</w:t>
      </w:r>
      <w:r>
        <w:rPr>
          <w:rFonts w:ascii="Calibri" w:eastAsia="Calibri" w:hAnsi="Calibri" w:cs="Calibri"/>
          <w:color w:val="000000"/>
        </w:rPr>
        <w:t>, constituted of at least five external members and a UNIC City Lab specialist, none of them directly involved in the programme.</w:t>
      </w:r>
      <w:r>
        <w:rPr>
          <w:rFonts w:ascii="Calibri" w:eastAsia="Calibri" w:hAnsi="Calibri" w:cs="Calibri"/>
        </w:rPr>
        <w:t xml:space="preserve"> The EAB e</w:t>
      </w:r>
      <w:r>
        <w:rPr>
          <w:rFonts w:ascii="Calibri" w:eastAsia="Calibri" w:hAnsi="Calibri" w:cs="Calibri"/>
          <w:color w:val="000000"/>
        </w:rPr>
        <w:t xml:space="preserve">njoys access to </w:t>
      </w:r>
      <w:r>
        <w:rPr>
          <w:rFonts w:ascii="Calibri" w:eastAsia="Calibri" w:hAnsi="Calibri" w:cs="Calibri"/>
          <w:color w:val="000000"/>
        </w:rPr>
        <w:lastRenderedPageBreak/>
        <w:t>all minutes of other governance entities and advises the ASB. It is in direct communication with the Chairs of the ASB, the ACE, and the PAB. Minutes are produced after each meeting.</w:t>
      </w:r>
      <w:commentRangeEnd w:id="26"/>
      <w:r>
        <w:commentReference w:id="26"/>
      </w:r>
    </w:p>
    <w:p w14:paraId="292A9E10" w14:textId="4B04DF56" w:rsidR="006B113F" w:rsidRDefault="00B270F7">
      <w:pPr>
        <w:numPr>
          <w:ilvl w:val="0"/>
          <w:numId w:val="54"/>
        </w:numPr>
        <w:pBdr>
          <w:top w:val="none" w:sz="4" w:space="0" w:color="000000"/>
          <w:left w:val="none" w:sz="4" w:space="0" w:color="000000"/>
          <w:bottom w:val="none" w:sz="4" w:space="0" w:color="000000"/>
          <w:right w:val="none" w:sz="4" w:space="0" w:color="000000"/>
        </w:pBdr>
        <w:spacing w:line="240" w:lineRule="auto"/>
        <w:ind w:left="850" w:hanging="283"/>
        <w:jc w:val="both"/>
        <w:rPr>
          <w:rFonts w:ascii="Calibri" w:eastAsia="Calibri" w:hAnsi="Calibri" w:cs="Calibri"/>
          <w:color w:val="000000"/>
          <w:sz w:val="20"/>
          <w:szCs w:val="20"/>
        </w:rPr>
      </w:pPr>
      <w:r>
        <w:rPr>
          <w:rFonts w:ascii="Calibri" w:eastAsia="Calibri" w:hAnsi="Calibri" w:cs="Calibri"/>
          <w:b/>
          <w:color w:val="000000"/>
          <w:szCs w:val="20"/>
        </w:rPr>
        <w:t>XX</w:t>
      </w:r>
      <w:r w:rsidR="00000000">
        <w:rPr>
          <w:rFonts w:ascii="Calibri" w:eastAsia="Calibri" w:hAnsi="Calibri" w:cs="Calibri"/>
          <w:b/>
          <w:color w:val="000000"/>
          <w:szCs w:val="20"/>
        </w:rPr>
        <w:t xml:space="preserve"> Student Management Department (SMD)</w:t>
      </w:r>
      <w:r w:rsidR="00000000">
        <w:rPr>
          <w:rFonts w:ascii="Calibri" w:eastAsia="Calibri" w:hAnsi="Calibri" w:cs="Calibri"/>
          <w:color w:val="000000"/>
          <w:sz w:val="20"/>
          <w:szCs w:val="18"/>
        </w:rPr>
        <w:t>,</w:t>
      </w:r>
      <w:r w:rsidR="00000000">
        <w:rPr>
          <w:rFonts w:ascii="Calibri" w:eastAsia="Calibri" w:hAnsi="Calibri" w:cs="Calibri"/>
          <w:color w:val="000000"/>
          <w:szCs w:val="20"/>
        </w:rPr>
        <w:t xml:space="preserve"> established </w:t>
      </w:r>
      <w:r w:rsidR="00000000">
        <w:rPr>
          <w:rFonts w:ascii="Calibri" w:eastAsia="Calibri" w:hAnsi="Calibri" w:cs="Calibri"/>
          <w:color w:val="000000"/>
        </w:rPr>
        <w:t>for implementation, facilitation, and management purposes</w:t>
      </w:r>
      <w:r w:rsidR="00000000">
        <w:rPr>
          <w:rFonts w:ascii="Calibri" w:eastAsia="Calibri" w:hAnsi="Calibri" w:cs="Calibri"/>
          <w:color w:val="000000"/>
          <w:szCs w:val="20"/>
        </w:rPr>
        <w:t xml:space="preserve">. </w:t>
      </w:r>
    </w:p>
    <w:p w14:paraId="62FE89B4" w14:textId="77777777" w:rsidR="006B113F" w:rsidRDefault="00000000">
      <w:pPr>
        <w:pBdr>
          <w:top w:val="none" w:sz="4" w:space="0" w:color="000000"/>
          <w:left w:val="none" w:sz="4" w:space="0" w:color="000000"/>
          <w:bottom w:val="none" w:sz="4" w:space="0" w:color="000000"/>
          <w:right w:val="none" w:sz="4" w:space="0" w:color="000000"/>
        </w:pBdr>
        <w:spacing w:line="240" w:lineRule="auto"/>
        <w:ind w:left="850"/>
        <w:jc w:val="both"/>
        <w:rPr>
          <w:rFonts w:ascii="Calibri" w:eastAsia="Calibri" w:hAnsi="Calibri" w:cs="Calibri"/>
        </w:rPr>
      </w:pPr>
      <w:r>
        <w:rPr>
          <w:rFonts w:ascii="Calibri" w:eastAsia="Calibri" w:hAnsi="Calibri" w:cs="Calibri"/>
          <w:color w:val="000000"/>
        </w:rPr>
        <w:t xml:space="preserve">The SMD is the unit whose teams implement decisions by the ASB on the working level and is the contact partner for all student matters. It is constituted of </w:t>
      </w:r>
      <w:commentRangeStart w:id="27"/>
      <w:r>
        <w:rPr>
          <w:rFonts w:ascii="Calibri" w:eastAsia="Calibri" w:hAnsi="Calibri" w:cs="Calibri"/>
          <w:color w:val="000000"/>
        </w:rPr>
        <w:t xml:space="preserve">four members </w:t>
      </w:r>
      <w:commentRangeEnd w:id="27"/>
      <w:r>
        <w:commentReference w:id="27"/>
      </w:r>
      <w:r>
        <w:rPr>
          <w:rFonts w:ascii="Calibri" w:eastAsia="Calibri" w:hAnsi="Calibri" w:cs="Calibri"/>
          <w:color w:val="000000"/>
        </w:rPr>
        <w:t>per Partner University:</w:t>
      </w:r>
    </w:p>
    <w:p w14:paraId="3E119EC7" w14:textId="77777777" w:rsidR="006B113F" w:rsidRDefault="00000000">
      <w:pPr>
        <w:pStyle w:val="Listenabsatz"/>
        <w:numPr>
          <w:ilvl w:val="1"/>
          <w:numId w:val="55"/>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Admission specialists</w:t>
      </w:r>
    </w:p>
    <w:p w14:paraId="4505143B" w14:textId="77777777" w:rsidR="006B113F" w:rsidRDefault="00000000">
      <w:pPr>
        <w:pStyle w:val="Listenabsatz"/>
        <w:numPr>
          <w:ilvl w:val="1"/>
          <w:numId w:val="55"/>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Councillors</w:t>
      </w:r>
    </w:p>
    <w:p w14:paraId="6EE5F066" w14:textId="77777777" w:rsidR="006B113F" w:rsidRDefault="00000000">
      <w:pPr>
        <w:pStyle w:val="Listenabsatz"/>
        <w:numPr>
          <w:ilvl w:val="1"/>
          <w:numId w:val="55"/>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Accommodation and administrative support</w:t>
      </w:r>
    </w:p>
    <w:p w14:paraId="06447883" w14:textId="77777777" w:rsidR="006B113F" w:rsidRDefault="00000000">
      <w:pPr>
        <w:pStyle w:val="Listenabsatz"/>
        <w:numPr>
          <w:ilvl w:val="1"/>
          <w:numId w:val="55"/>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Finance and legal experts</w:t>
      </w:r>
    </w:p>
    <w:p w14:paraId="0BCFEC05" w14:textId="77777777" w:rsidR="006B113F" w:rsidRDefault="006B113F">
      <w:pPr>
        <w:widowControl w:val="0"/>
        <w:tabs>
          <w:tab w:val="left" w:pos="461"/>
        </w:tabs>
        <w:spacing w:line="240" w:lineRule="auto"/>
        <w:ind w:left="720"/>
        <w:rPr>
          <w:rFonts w:ascii="Calibri" w:eastAsia="Calibri" w:hAnsi="Calibri" w:cs="Calibri"/>
          <w:b/>
          <w:bCs/>
          <w:color w:val="000000"/>
          <w:sz w:val="24"/>
          <w:szCs w:val="24"/>
          <w:highlight w:val="green"/>
        </w:rPr>
      </w:pPr>
    </w:p>
    <w:p w14:paraId="429E38A9" w14:textId="23F98DCE" w:rsidR="006B113F" w:rsidRDefault="00000000">
      <w:pPr>
        <w:pStyle w:val="berschrift3"/>
        <w:keepNext w:val="0"/>
        <w:keepLines w:val="0"/>
        <w:widowControl w:val="0"/>
        <w:numPr>
          <w:ilvl w:val="2"/>
          <w:numId w:val="1"/>
        </w:numPr>
        <w:tabs>
          <w:tab w:val="left" w:pos="821"/>
        </w:tabs>
        <w:spacing w:before="0" w:after="0" w:line="240" w:lineRule="auto"/>
        <w:jc w:val="both"/>
        <w:rPr>
          <w:rFonts w:ascii="Calibri" w:eastAsia="Calibri" w:hAnsi="Calibri" w:cs="Calibri"/>
          <w:highlight w:val="white"/>
        </w:rPr>
      </w:pPr>
      <w:bookmarkStart w:id="28" w:name="_Toc141279955"/>
      <w:r>
        <w:rPr>
          <w:rFonts w:ascii="Calibri" w:eastAsia="Calibri" w:hAnsi="Calibri" w:cs="Calibri"/>
          <w:b/>
          <w:color w:val="4F81BC"/>
          <w:sz w:val="22"/>
          <w:szCs w:val="22"/>
          <w:highlight w:val="white"/>
        </w:rPr>
        <w:t xml:space="preserve">Terms of Mandate and main Rules of Procedure of the </w:t>
      </w:r>
      <w:r w:rsidR="00B270F7">
        <w:rPr>
          <w:rFonts w:ascii="Calibri" w:eastAsia="Calibri" w:hAnsi="Calibri" w:cs="Calibri"/>
          <w:b/>
          <w:color w:val="4F81BC"/>
          <w:sz w:val="22"/>
          <w:szCs w:val="22"/>
          <w:highlight w:val="white"/>
        </w:rPr>
        <w:t>XX</w:t>
      </w:r>
      <w:r>
        <w:rPr>
          <w:rFonts w:ascii="Calibri" w:eastAsia="Calibri" w:hAnsi="Calibri" w:cs="Calibri"/>
          <w:b/>
          <w:color w:val="4F81BC"/>
          <w:sz w:val="22"/>
          <w:szCs w:val="22"/>
          <w:highlight w:val="white"/>
        </w:rPr>
        <w:t xml:space="preserve"> Governing Bodies</w:t>
      </w:r>
      <w:bookmarkEnd w:id="28"/>
      <w:r>
        <w:rPr>
          <w:rFonts w:ascii="Calibri" w:eastAsia="Calibri" w:hAnsi="Calibri" w:cs="Calibri"/>
          <w:b/>
          <w:color w:val="4F81BC"/>
          <w:sz w:val="22"/>
          <w:szCs w:val="22"/>
          <w:highlight w:val="white"/>
        </w:rPr>
        <w:t xml:space="preserve"> </w:t>
      </w:r>
    </w:p>
    <w:p w14:paraId="4AF071C0" w14:textId="77777777" w:rsidR="006B113F" w:rsidRDefault="00000000">
      <w:pPr>
        <w:widowControl w:val="0"/>
        <w:numPr>
          <w:ilvl w:val="0"/>
          <w:numId w:val="5"/>
        </w:numPr>
        <w:tabs>
          <w:tab w:val="left" w:pos="461"/>
        </w:tabs>
        <w:spacing w:line="240" w:lineRule="auto"/>
        <w:jc w:val="both"/>
        <w:rPr>
          <w:rFonts w:ascii="Calibri" w:eastAsia="Calibri" w:hAnsi="Calibri" w:cs="Calibri"/>
        </w:rPr>
      </w:pPr>
      <w:r>
        <w:rPr>
          <w:rFonts w:ascii="Calibri" w:eastAsia="Calibri" w:hAnsi="Calibri" w:cs="Calibri"/>
        </w:rPr>
        <w:t>Each Partner appoints its representatives in accordance with its own procedures.</w:t>
      </w:r>
    </w:p>
    <w:p w14:paraId="0548C219" w14:textId="77777777" w:rsidR="006B113F" w:rsidRDefault="00000000">
      <w:pPr>
        <w:widowControl w:val="0"/>
        <w:numPr>
          <w:ilvl w:val="0"/>
          <w:numId w:val="5"/>
        </w:numPr>
        <w:tabs>
          <w:tab w:val="left" w:pos="461"/>
        </w:tabs>
        <w:spacing w:line="240" w:lineRule="auto"/>
        <w:jc w:val="both"/>
        <w:rPr>
          <w:rFonts w:ascii="Calibri" w:eastAsia="Calibri" w:hAnsi="Calibri" w:cs="Calibri"/>
        </w:rPr>
      </w:pPr>
      <w:r>
        <w:rPr>
          <w:rFonts w:ascii="Calibri" w:eastAsia="Calibri" w:hAnsi="Calibri" w:cs="Calibri"/>
        </w:rPr>
        <w:t>The ASB has 8 full academic members and no deputies. Partners decide during their first (constitutive) meeting who will be deputy.</w:t>
      </w:r>
    </w:p>
    <w:p w14:paraId="534AE969" w14:textId="77777777" w:rsidR="006B113F" w:rsidRDefault="00000000">
      <w:pPr>
        <w:widowControl w:val="0"/>
        <w:numPr>
          <w:ilvl w:val="0"/>
          <w:numId w:val="5"/>
        </w:numPr>
        <w:tabs>
          <w:tab w:val="left" w:pos="461"/>
        </w:tabs>
        <w:spacing w:line="240" w:lineRule="auto"/>
        <w:jc w:val="both"/>
        <w:rPr>
          <w:rFonts w:ascii="Calibri" w:eastAsia="Calibri" w:hAnsi="Calibri" w:cs="Calibri"/>
        </w:rPr>
      </w:pPr>
      <w:r>
        <w:rPr>
          <w:rFonts w:ascii="Calibri" w:eastAsia="Calibri" w:hAnsi="Calibri" w:cs="Calibri"/>
          <w:color w:val="000000"/>
        </w:rPr>
        <w:t xml:space="preserve">The AEC is a committee of the ASB to manage matters of student selection, admission, and examination. </w:t>
      </w:r>
    </w:p>
    <w:p w14:paraId="7BE9410D" w14:textId="2489E0BB" w:rsidR="006B113F" w:rsidRDefault="00000000">
      <w:pPr>
        <w:widowControl w:val="0"/>
        <w:numPr>
          <w:ilvl w:val="0"/>
          <w:numId w:val="5"/>
        </w:numPr>
        <w:tabs>
          <w:tab w:val="left" w:pos="461"/>
        </w:tabs>
        <w:spacing w:line="240" w:lineRule="auto"/>
        <w:jc w:val="both"/>
        <w:rPr>
          <w:rFonts w:ascii="Calibri" w:eastAsia="Calibri" w:hAnsi="Calibri" w:cs="Calibri"/>
        </w:rPr>
      </w:pPr>
      <w:commentRangeStart w:id="29"/>
      <w:r>
        <w:rPr>
          <w:rFonts w:ascii="Calibri" w:eastAsia="Calibri" w:hAnsi="Calibri" w:cs="Calibri"/>
          <w:color w:val="000000"/>
        </w:rPr>
        <w:t xml:space="preserve">The EAB consist of at least five and at most nine external members. The external members are chosen to represent the following areas: 1) cities as main </w:t>
      </w:r>
      <w:r w:rsidR="00B270F7">
        <w:rPr>
          <w:rFonts w:ascii="Calibri" w:eastAsia="Calibri" w:hAnsi="Calibri" w:cs="Calibri"/>
          <w:color w:val="000000"/>
        </w:rPr>
        <w:t>XX</w:t>
      </w:r>
      <w:r>
        <w:rPr>
          <w:rFonts w:ascii="Calibri" w:eastAsia="Calibri" w:hAnsi="Calibri" w:cs="Calibri"/>
          <w:color w:val="000000"/>
        </w:rPr>
        <w:t xml:space="preserve"> stakeholders, 2) knowledge institutes, 3) local government, 4) business/industry, 5) civilian/citizen representative.The EAB has advisory capacity only.</w:t>
      </w:r>
      <w:commentRangeEnd w:id="29"/>
      <w:r>
        <w:commentReference w:id="29"/>
      </w:r>
    </w:p>
    <w:p w14:paraId="22CB69F4" w14:textId="2279BABA" w:rsidR="006B113F" w:rsidRDefault="00000000">
      <w:pPr>
        <w:widowControl w:val="0"/>
        <w:numPr>
          <w:ilvl w:val="0"/>
          <w:numId w:val="5"/>
        </w:numPr>
        <w:tabs>
          <w:tab w:val="left" w:pos="461"/>
        </w:tabs>
        <w:spacing w:line="240" w:lineRule="auto"/>
        <w:jc w:val="both"/>
        <w:rPr>
          <w:rFonts w:ascii="Calibri" w:eastAsia="Calibri" w:hAnsi="Calibri" w:cs="Calibri"/>
          <w:color w:val="000000"/>
        </w:rPr>
      </w:pPr>
      <w:r>
        <w:rPr>
          <w:rFonts w:ascii="Calibri" w:eastAsia="Calibri" w:hAnsi="Calibri" w:cs="Calibri"/>
          <w:color w:val="000000"/>
        </w:rPr>
        <w:t xml:space="preserve">The PAB has 8 full members and 8 deputies. Student members are elected once a year directly by students enrolled in </w:t>
      </w:r>
      <w:r w:rsidR="00B270F7">
        <w:rPr>
          <w:rFonts w:ascii="Calibri" w:eastAsia="Calibri" w:hAnsi="Calibri" w:cs="Calibri"/>
          <w:color w:val="000000"/>
        </w:rPr>
        <w:t>XX</w:t>
      </w:r>
      <w:r>
        <w:rPr>
          <w:rFonts w:ascii="Calibri" w:eastAsia="Calibri" w:hAnsi="Calibri" w:cs="Calibri"/>
          <w:color w:val="000000"/>
        </w:rPr>
        <w:t>. Each current cohort should be adequately represented. Staff members are nominated within each track (one member and one deputy member per track) and then endorsed by the ASB. The PAB will be set up immediately after enrolment of the first intake. In its first session, the Programme Advisory Board elects its chair and deputy chair. The PAB has advisory capacity only.</w:t>
      </w:r>
    </w:p>
    <w:p w14:paraId="70AC82D0" w14:textId="77777777" w:rsidR="006B113F" w:rsidRDefault="00000000">
      <w:pPr>
        <w:widowControl w:val="0"/>
        <w:numPr>
          <w:ilvl w:val="0"/>
          <w:numId w:val="5"/>
        </w:numPr>
        <w:tabs>
          <w:tab w:val="left" w:pos="461"/>
        </w:tabs>
        <w:spacing w:line="240" w:lineRule="auto"/>
        <w:jc w:val="both"/>
        <w:rPr>
          <w:rFonts w:ascii="Calibri" w:eastAsia="Calibri" w:hAnsi="Calibri" w:cs="Calibri"/>
          <w:color w:val="000000"/>
        </w:rPr>
      </w:pPr>
      <w:r>
        <w:rPr>
          <w:rFonts w:ascii="Calibri" w:eastAsia="Calibri" w:hAnsi="Calibri" w:cs="Calibri"/>
          <w:color w:val="000000"/>
        </w:rPr>
        <w:t xml:space="preserve">Term of Mandate in the ASB, </w:t>
      </w:r>
      <w:r w:rsidRPr="00B270F7">
        <w:rPr>
          <w:rFonts w:ascii="Calibri" w:eastAsia="Calibri" w:hAnsi="Calibri" w:cs="Calibri"/>
          <w:color w:val="000000"/>
          <w:highlight w:val="yellow"/>
        </w:rPr>
        <w:t>EAB</w:t>
      </w:r>
      <w:r>
        <w:rPr>
          <w:rFonts w:ascii="Calibri" w:eastAsia="Calibri" w:hAnsi="Calibri" w:cs="Calibri"/>
          <w:color w:val="000000"/>
        </w:rPr>
        <w:t xml:space="preserve"> and SMD is three years. Re-appointment is permitted. After the end of a term of mandate, rotation of responsibilities between the partners is possible. Term of Madante in the PAB is 3 years for staff and 1 year for student members. Re-election is possible.</w:t>
      </w:r>
    </w:p>
    <w:p w14:paraId="25236937" w14:textId="77777777" w:rsidR="006B113F" w:rsidRDefault="00000000">
      <w:pPr>
        <w:widowControl w:val="0"/>
        <w:numPr>
          <w:ilvl w:val="0"/>
          <w:numId w:val="5"/>
        </w:numPr>
        <w:tabs>
          <w:tab w:val="left" w:pos="461"/>
        </w:tabs>
        <w:spacing w:line="240" w:lineRule="auto"/>
        <w:jc w:val="both"/>
        <w:rPr>
          <w:rFonts w:ascii="Calibri" w:eastAsia="Calibri" w:hAnsi="Calibri" w:cs="Calibri"/>
          <w:color w:val="000000"/>
        </w:rPr>
      </w:pPr>
      <w:r>
        <w:rPr>
          <w:rFonts w:ascii="Calibri" w:eastAsia="Calibri" w:hAnsi="Calibri" w:cs="Calibri"/>
          <w:color w:val="000000"/>
        </w:rPr>
        <w:t xml:space="preserve">Delegation of power is allowed in justified cases </w:t>
      </w:r>
      <w:bookmarkStart w:id="30" w:name="_Hlk114220821"/>
      <w:r>
        <w:rPr>
          <w:rFonts w:ascii="Calibri" w:eastAsia="Calibri" w:hAnsi="Calibri" w:cs="Calibri"/>
          <w:color w:val="000000"/>
        </w:rPr>
        <w:t>upon prior consent of the Academic Study Board</w:t>
      </w:r>
      <w:bookmarkEnd w:id="30"/>
      <w:r>
        <w:rPr>
          <w:rFonts w:ascii="Calibri" w:eastAsia="Calibri" w:hAnsi="Calibri" w:cs="Calibri"/>
          <w:color w:val="000000"/>
        </w:rPr>
        <w:t xml:space="preserve">. </w:t>
      </w:r>
    </w:p>
    <w:p w14:paraId="5A881C00" w14:textId="77777777" w:rsidR="006B113F" w:rsidRDefault="00000000">
      <w:pPr>
        <w:widowControl w:val="0"/>
        <w:numPr>
          <w:ilvl w:val="0"/>
          <w:numId w:val="5"/>
        </w:numPr>
        <w:tabs>
          <w:tab w:val="left" w:pos="461"/>
        </w:tabs>
        <w:spacing w:line="240" w:lineRule="auto"/>
        <w:jc w:val="both"/>
        <w:rPr>
          <w:rFonts w:ascii="Calibri" w:eastAsia="Calibri" w:hAnsi="Calibri" w:cs="Calibri"/>
          <w:color w:val="000000"/>
        </w:rPr>
      </w:pPr>
      <w:r>
        <w:rPr>
          <w:rFonts w:ascii="Calibri" w:eastAsia="Calibri" w:hAnsi="Calibri" w:cs="Calibri"/>
          <w:color w:val="000000"/>
        </w:rPr>
        <w:t xml:space="preserve">Decisions can be taken if a quorum of 62,5% (5/8) is reached. Chairpersons are entitled to participate in voting. Decisions are taken unanimously in the ASB and by simple majority plus one member in the </w:t>
      </w:r>
      <w:r w:rsidRPr="00B270F7">
        <w:rPr>
          <w:rFonts w:ascii="Calibri" w:eastAsia="Calibri" w:hAnsi="Calibri" w:cs="Calibri"/>
          <w:color w:val="000000"/>
          <w:highlight w:val="yellow"/>
        </w:rPr>
        <w:t>EAB</w:t>
      </w:r>
      <w:r>
        <w:rPr>
          <w:rFonts w:ascii="Calibri" w:eastAsia="Calibri" w:hAnsi="Calibri" w:cs="Calibri"/>
          <w:color w:val="000000"/>
        </w:rPr>
        <w:t xml:space="preserve"> and the AEC.</w:t>
      </w:r>
    </w:p>
    <w:p w14:paraId="32A70E9B" w14:textId="3876E182" w:rsidR="006B113F" w:rsidRDefault="00000000">
      <w:pPr>
        <w:widowControl w:val="0"/>
        <w:numPr>
          <w:ilvl w:val="0"/>
          <w:numId w:val="5"/>
        </w:numPr>
        <w:tabs>
          <w:tab w:val="left" w:pos="461"/>
        </w:tabs>
        <w:spacing w:line="240" w:lineRule="auto"/>
        <w:jc w:val="both"/>
        <w:rPr>
          <w:rFonts w:ascii="Calibri" w:eastAsia="Calibri" w:hAnsi="Calibri" w:cs="Calibri"/>
          <w:color w:val="000000"/>
        </w:rPr>
      </w:pPr>
      <w:r>
        <w:rPr>
          <w:rFonts w:ascii="Calibri" w:eastAsia="Calibri" w:hAnsi="Calibri" w:cs="Calibri"/>
          <w:color w:val="000000"/>
        </w:rPr>
        <w:t xml:space="preserve">The SMD and its local teams are the central contact partner for the </w:t>
      </w:r>
      <w:r w:rsidR="00B270F7">
        <w:rPr>
          <w:rFonts w:ascii="Calibri" w:eastAsia="Calibri" w:hAnsi="Calibri" w:cs="Calibri"/>
          <w:color w:val="000000"/>
        </w:rPr>
        <w:t>XX</w:t>
      </w:r>
      <w:r>
        <w:rPr>
          <w:rFonts w:ascii="Calibri" w:eastAsia="Calibri" w:hAnsi="Calibri" w:cs="Calibri"/>
          <w:color w:val="000000"/>
        </w:rPr>
        <w:t xml:space="preserve"> students and are assigned different managerial topics by the ASB. The cross-institutional SMD teams regularly meet at least once per semester, online or in person. The local members of the SMD at each partner institution meet monthly, online or in person.</w:t>
      </w:r>
    </w:p>
    <w:p w14:paraId="4DE82BA5" w14:textId="3FB0102E" w:rsidR="006B113F" w:rsidRDefault="00000000">
      <w:pPr>
        <w:widowControl w:val="0"/>
        <w:numPr>
          <w:ilvl w:val="0"/>
          <w:numId w:val="5"/>
        </w:numPr>
        <w:tabs>
          <w:tab w:val="left" w:pos="461"/>
        </w:tabs>
        <w:spacing w:line="240" w:lineRule="auto"/>
        <w:jc w:val="both"/>
        <w:rPr>
          <w:rFonts w:ascii="Calibri" w:eastAsia="Calibri" w:hAnsi="Calibri" w:cs="Calibri"/>
          <w:color w:val="000000"/>
        </w:rPr>
      </w:pPr>
      <w:r>
        <w:rPr>
          <w:rFonts w:ascii="Calibri" w:eastAsia="Calibri" w:hAnsi="Calibri" w:cs="Calibri"/>
          <w:color w:val="000000"/>
        </w:rPr>
        <w:t xml:space="preserve">Each of the </w:t>
      </w:r>
      <w:r w:rsidR="00B270F7">
        <w:rPr>
          <w:rFonts w:ascii="Calibri" w:eastAsia="Calibri" w:hAnsi="Calibri" w:cs="Calibri"/>
          <w:color w:val="000000"/>
        </w:rPr>
        <w:t>XX</w:t>
      </w:r>
      <w:r>
        <w:rPr>
          <w:rFonts w:ascii="Calibri" w:eastAsia="Calibri" w:hAnsi="Calibri" w:cs="Calibri"/>
          <w:color w:val="000000"/>
        </w:rPr>
        <w:t xml:space="preserve"> Governing Bodies may define further Rules of Procedures in close communication with the Academic Study Board and the Legal Advisors of the </w:t>
      </w:r>
      <w:r w:rsidR="00B270F7">
        <w:rPr>
          <w:rFonts w:ascii="Calibri" w:eastAsia="Calibri" w:hAnsi="Calibri" w:cs="Calibri"/>
          <w:color w:val="000000"/>
        </w:rPr>
        <w:t>XX</w:t>
      </w:r>
      <w:r>
        <w:rPr>
          <w:rFonts w:ascii="Calibri" w:eastAsia="Calibri" w:hAnsi="Calibri" w:cs="Calibri"/>
          <w:color w:val="000000"/>
        </w:rPr>
        <w:t xml:space="preserve"> Partner Institutions.</w:t>
      </w:r>
    </w:p>
    <w:p w14:paraId="5EDF42E3" w14:textId="77777777" w:rsidR="006B113F" w:rsidRDefault="006B113F">
      <w:pPr>
        <w:widowControl w:val="0"/>
        <w:tabs>
          <w:tab w:val="left" w:pos="461"/>
        </w:tabs>
        <w:spacing w:line="240" w:lineRule="auto"/>
        <w:ind w:left="460"/>
        <w:jc w:val="both"/>
        <w:rPr>
          <w:rFonts w:ascii="Calibri" w:eastAsia="Calibri" w:hAnsi="Calibri" w:cs="Calibri"/>
          <w:color w:val="000000"/>
        </w:rPr>
      </w:pPr>
    </w:p>
    <w:p w14:paraId="3615F886" w14:textId="77777777" w:rsidR="006B113F" w:rsidRDefault="00000000">
      <w:pPr>
        <w:pStyle w:val="berschrift2"/>
        <w:keepNext w:val="0"/>
        <w:keepLines w:val="0"/>
        <w:widowControl w:val="0"/>
        <w:numPr>
          <w:ilvl w:val="1"/>
          <w:numId w:val="1"/>
        </w:numPr>
        <w:tabs>
          <w:tab w:val="left" w:pos="677"/>
        </w:tabs>
        <w:spacing w:before="0" w:after="0" w:line="240" w:lineRule="auto"/>
        <w:jc w:val="both"/>
        <w:rPr>
          <w:rFonts w:ascii="Calibri" w:eastAsia="Calibri" w:hAnsi="Calibri" w:cs="Calibri"/>
        </w:rPr>
      </w:pPr>
      <w:bookmarkStart w:id="31" w:name="_Toc141279956"/>
      <w:commentRangeStart w:id="32"/>
      <w:r>
        <w:rPr>
          <w:rFonts w:ascii="Calibri" w:eastAsia="Calibri" w:hAnsi="Calibri" w:cs="Calibri"/>
          <w:b/>
          <w:color w:val="4F81BC"/>
          <w:sz w:val="26"/>
          <w:szCs w:val="26"/>
        </w:rPr>
        <w:t>Distribution of Responsibilities per Partner University</w:t>
      </w:r>
      <w:bookmarkEnd w:id="31"/>
      <w:commentRangeEnd w:id="32"/>
      <w:r>
        <w:commentReference w:id="32"/>
      </w:r>
    </w:p>
    <w:p w14:paraId="1024D51B" w14:textId="214CA794"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Ruhr University Bochum, as the Coordinating Institution, steers the general development of the </w:t>
      </w:r>
      <w:r w:rsidR="00B270F7">
        <w:rPr>
          <w:rFonts w:ascii="Calibri" w:eastAsia="Calibri" w:hAnsi="Calibri" w:cs="Calibri"/>
        </w:rPr>
        <w:t>XX</w:t>
      </w:r>
      <w:r>
        <w:rPr>
          <w:rFonts w:ascii="Calibri" w:eastAsia="Calibri" w:hAnsi="Calibri" w:cs="Calibri"/>
        </w:rPr>
        <w:t xml:space="preserve"> degree programme, and bears, in close cooperation with the partners, the financial and legal responsibility for the proper operational, administrative, and financial implementation of the EMJM grant agreement; conducts the admission procedures and coordinates the correct levying of student participation fees, and takes care of the </w:t>
      </w:r>
      <w:r w:rsidR="00B270F7">
        <w:rPr>
          <w:rFonts w:ascii="Calibri" w:eastAsia="Calibri" w:hAnsi="Calibri" w:cs="Calibri"/>
        </w:rPr>
        <w:t>XX</w:t>
      </w:r>
      <w:r>
        <w:rPr>
          <w:rFonts w:ascii="Calibri" w:eastAsia="Calibri" w:hAnsi="Calibri" w:cs="Calibri"/>
        </w:rPr>
        <w:t xml:space="preserve"> quality management (including accreditation of the programme, drafting of the annual </w:t>
      </w:r>
      <w:r w:rsidR="00B270F7">
        <w:rPr>
          <w:rFonts w:ascii="Calibri" w:eastAsia="Calibri" w:hAnsi="Calibri" w:cs="Calibri"/>
        </w:rPr>
        <w:t>XX</w:t>
      </w:r>
      <w:r>
        <w:rPr>
          <w:rFonts w:ascii="Calibri" w:eastAsia="Calibri" w:hAnsi="Calibri" w:cs="Calibri"/>
        </w:rPr>
        <w:t xml:space="preserve"> Quality Report).</w:t>
      </w:r>
    </w:p>
    <w:p w14:paraId="70101C4F" w14:textId="77777777" w:rsidR="006B113F" w:rsidRDefault="00000000">
      <w:pPr>
        <w:rPr>
          <w:rFonts w:ascii="Calibri" w:eastAsia="Calibri" w:hAnsi="Calibri" w:cs="Calibri"/>
        </w:rPr>
      </w:pPr>
      <w:bookmarkStart w:id="33" w:name="_2jxsxqh"/>
      <w:bookmarkEnd w:id="33"/>
      <w:r>
        <w:rPr>
          <w:rFonts w:ascii="Calibri" w:eastAsia="Calibri" w:hAnsi="Calibri" w:cs="Calibri"/>
        </w:rPr>
        <w:br w:type="page" w:clear="all"/>
      </w:r>
    </w:p>
    <w:p w14:paraId="351B090C" w14:textId="7CD81334"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lastRenderedPageBreak/>
        <w:t xml:space="preserve">University of Oulu shall be in charge to monitor the financial sustainability and to coordinate the provision of expertise for the annual financial review of the </w:t>
      </w:r>
      <w:r w:rsidR="00B270F7">
        <w:rPr>
          <w:rFonts w:ascii="Calibri" w:eastAsia="Calibri" w:hAnsi="Calibri" w:cs="Calibri"/>
        </w:rPr>
        <w:t>XX</w:t>
      </w:r>
      <w:r>
        <w:rPr>
          <w:rFonts w:ascii="Calibri" w:eastAsia="Calibri" w:hAnsi="Calibri" w:cs="Calibri"/>
        </w:rPr>
        <w:t xml:space="preserve"> programme.</w:t>
      </w:r>
    </w:p>
    <w:p w14:paraId="6936DF0F" w14:textId="41F502E1"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University of Deusto shall be in charge to take care of the External Advisory Board and the set-up of a </w:t>
      </w:r>
      <w:r w:rsidR="00B270F7">
        <w:rPr>
          <w:rFonts w:ascii="Calibri" w:eastAsia="Calibri" w:hAnsi="Calibri" w:cs="Calibri"/>
        </w:rPr>
        <w:t>XX</w:t>
      </w:r>
      <w:r>
        <w:rPr>
          <w:rFonts w:ascii="Calibri" w:eastAsia="Calibri" w:hAnsi="Calibri" w:cs="Calibri"/>
        </w:rPr>
        <w:t xml:space="preserve"> Alumni Organization.</w:t>
      </w:r>
    </w:p>
    <w:p w14:paraId="79182A26" w14:textId="0BE57B8A"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Koç University shall be in charge to set up and maintain the </w:t>
      </w:r>
      <w:r w:rsidR="00B270F7">
        <w:rPr>
          <w:rFonts w:ascii="Calibri" w:eastAsia="Calibri" w:hAnsi="Calibri" w:cs="Calibri"/>
        </w:rPr>
        <w:t>XX</w:t>
      </w:r>
      <w:r>
        <w:rPr>
          <w:rFonts w:ascii="Calibri" w:eastAsia="Calibri" w:hAnsi="Calibri" w:cs="Calibri"/>
        </w:rPr>
        <w:t xml:space="preserve"> website and coordinate and monitor marketing and advertising.</w:t>
      </w:r>
    </w:p>
    <w:p w14:paraId="2F15DCA1" w14:textId="77777777"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Erasmus University Rotterdam shall be in charge of GDPR compliance, maps core employability skills for international student and monitors graduate employability. </w:t>
      </w:r>
    </w:p>
    <w:p w14:paraId="74BDEAD2" w14:textId="2EF21F5A"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Université de Liège shall be in charge to coordinate the dissemination activities of </w:t>
      </w:r>
      <w:r w:rsidR="00B270F7">
        <w:rPr>
          <w:rFonts w:ascii="Calibri" w:eastAsia="Calibri" w:hAnsi="Calibri" w:cs="Calibri"/>
        </w:rPr>
        <w:t>XX</w:t>
      </w:r>
      <w:r>
        <w:rPr>
          <w:rFonts w:ascii="Calibri" w:eastAsia="Calibri" w:hAnsi="Calibri" w:cs="Calibri"/>
        </w:rPr>
        <w:t xml:space="preserve"> and foster joint </w:t>
      </w:r>
      <w:r w:rsidR="00B270F7">
        <w:rPr>
          <w:rFonts w:ascii="Calibri" w:eastAsia="Calibri" w:hAnsi="Calibri" w:cs="Calibri"/>
        </w:rPr>
        <w:t>XX</w:t>
      </w:r>
      <w:r>
        <w:rPr>
          <w:rFonts w:ascii="Calibri" w:eastAsia="Calibri" w:hAnsi="Calibri" w:cs="Calibri"/>
        </w:rPr>
        <w:t xml:space="preserve"> research initiatives.</w:t>
      </w:r>
    </w:p>
    <w:p w14:paraId="34E66E6E" w14:textId="165ABDA6"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University College Cork shall be in charge to coordinate, monitor, and identify best practices for city-university engagement in the context of the </w:t>
      </w:r>
      <w:r w:rsidR="00B270F7">
        <w:rPr>
          <w:rFonts w:ascii="Calibri" w:eastAsia="Calibri" w:hAnsi="Calibri" w:cs="Calibri"/>
        </w:rPr>
        <w:t>XX</w:t>
      </w:r>
      <w:r>
        <w:rPr>
          <w:rFonts w:ascii="Calibri" w:eastAsia="Calibri" w:hAnsi="Calibri" w:cs="Calibri"/>
        </w:rPr>
        <w:t xml:space="preserve"> City Labs and beyond.</w:t>
      </w:r>
    </w:p>
    <w:p w14:paraId="07273A6C" w14:textId="16704FFD"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University of Zagreb shall be in charge to support secure data management (including coordination of the development of a </w:t>
      </w:r>
      <w:r w:rsidR="00B270F7">
        <w:rPr>
          <w:rFonts w:ascii="Calibri" w:eastAsia="Calibri" w:hAnsi="Calibri" w:cs="Calibri"/>
        </w:rPr>
        <w:t>XX</w:t>
      </w:r>
      <w:r>
        <w:rPr>
          <w:rFonts w:ascii="Calibri" w:eastAsia="Calibri" w:hAnsi="Calibri" w:cs="Calibri"/>
        </w:rPr>
        <w:t xml:space="preserve"> data exchange hub) and to set up a virtual </w:t>
      </w:r>
      <w:r w:rsidR="00B270F7">
        <w:rPr>
          <w:rFonts w:ascii="Calibri" w:eastAsia="Calibri" w:hAnsi="Calibri" w:cs="Calibri"/>
        </w:rPr>
        <w:t>XX</w:t>
      </w:r>
      <w:r>
        <w:rPr>
          <w:rFonts w:ascii="Calibri" w:eastAsia="Calibri" w:hAnsi="Calibri" w:cs="Calibri"/>
        </w:rPr>
        <w:t xml:space="preserve"> Stakeholder Networking Platform.</w:t>
      </w:r>
    </w:p>
    <w:p w14:paraId="06F8E727" w14:textId="7B617FB5" w:rsidR="006B113F" w:rsidRDefault="00000000">
      <w:pPr>
        <w:widowControl w:val="0"/>
        <w:numPr>
          <w:ilvl w:val="0"/>
          <w:numId w:val="87"/>
        </w:numPr>
        <w:tabs>
          <w:tab w:val="left" w:pos="461"/>
        </w:tabs>
        <w:spacing w:line="240" w:lineRule="auto"/>
        <w:jc w:val="both"/>
        <w:rPr>
          <w:rFonts w:ascii="Calibri" w:eastAsia="Calibri" w:hAnsi="Calibri" w:cs="Calibri"/>
        </w:rPr>
      </w:pPr>
      <w:r>
        <w:rPr>
          <w:rFonts w:ascii="Calibri" w:eastAsia="Calibri" w:hAnsi="Calibri" w:cs="Calibri"/>
        </w:rPr>
        <w:t xml:space="preserve">All Partner Institutions are in charge to maintain and secure their relevant IT systems, as local systems differ, and to assist the Coordinating Institution in maintaining, during the term of this Agreement and for five years after its termination or expiry, full and complete records relating to the </w:t>
      </w:r>
      <w:r w:rsidR="00B270F7">
        <w:rPr>
          <w:rFonts w:ascii="Calibri" w:eastAsia="Calibri" w:hAnsi="Calibri" w:cs="Calibri"/>
        </w:rPr>
        <w:t>XX</w:t>
      </w:r>
      <w:r>
        <w:rPr>
          <w:rFonts w:ascii="Calibri" w:eastAsia="Calibri" w:hAnsi="Calibri" w:cs="Calibri"/>
        </w:rPr>
        <w:t xml:space="preserve"> degree programme. </w:t>
      </w:r>
    </w:p>
    <w:p w14:paraId="15C87333" w14:textId="77777777" w:rsidR="006B113F" w:rsidRDefault="00000000">
      <w:pPr>
        <w:widowControl w:val="0"/>
        <w:numPr>
          <w:ilvl w:val="0"/>
          <w:numId w:val="87"/>
        </w:numPr>
        <w:tabs>
          <w:tab w:val="left" w:pos="461"/>
        </w:tabs>
        <w:spacing w:line="240" w:lineRule="auto"/>
        <w:ind w:left="490" w:hanging="390"/>
        <w:jc w:val="both"/>
        <w:rPr>
          <w:rFonts w:ascii="Calibri" w:eastAsia="Calibri" w:hAnsi="Calibri" w:cs="Calibri"/>
        </w:rPr>
      </w:pPr>
      <w:r>
        <w:rPr>
          <w:rFonts w:ascii="Calibri" w:eastAsia="Calibri" w:hAnsi="Calibri" w:cs="Calibri"/>
        </w:rPr>
        <w:t>All Partner Institutions support, to the best of their abilities, the institution in charge of a certain task.</w:t>
      </w:r>
    </w:p>
    <w:p w14:paraId="45F82F90" w14:textId="77777777" w:rsidR="006B113F" w:rsidRDefault="00000000">
      <w:pPr>
        <w:widowControl w:val="0"/>
        <w:numPr>
          <w:ilvl w:val="0"/>
          <w:numId w:val="87"/>
        </w:numPr>
        <w:tabs>
          <w:tab w:val="left" w:pos="461"/>
        </w:tabs>
        <w:spacing w:line="240" w:lineRule="auto"/>
        <w:ind w:left="490" w:hanging="390"/>
        <w:jc w:val="both"/>
        <w:rPr>
          <w:rFonts w:ascii="Calibri" w:eastAsia="Calibri" w:hAnsi="Calibri" w:cs="Calibri"/>
        </w:rPr>
      </w:pPr>
      <w:r>
        <w:rPr>
          <w:rFonts w:ascii="Calibri" w:eastAsia="Calibri" w:hAnsi="Calibri" w:cs="Calibri"/>
        </w:rPr>
        <w:t>The Academic Study Board monitors follow-up on the responsibilities taken over by the partners and may, subject to the unanimous approval of the Partner Institutions, adjust the nature of the tasks mentioned above, add new tasks, and change the distribution of tasks.</w:t>
      </w:r>
    </w:p>
    <w:p w14:paraId="5D457E74" w14:textId="77777777" w:rsidR="006B113F" w:rsidRDefault="006B113F">
      <w:pPr>
        <w:widowControl w:val="0"/>
        <w:spacing w:line="240" w:lineRule="auto"/>
        <w:ind w:left="460"/>
        <w:rPr>
          <w:rFonts w:ascii="Calibri" w:eastAsia="Calibri" w:hAnsi="Calibri" w:cs="Calibri"/>
        </w:rPr>
      </w:pPr>
    </w:p>
    <w:p w14:paraId="4E110B7F"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7EF2DB6D" w14:textId="77777777" w:rsidR="006B113F" w:rsidRDefault="00000000">
      <w:pPr>
        <w:pStyle w:val="berschrift1"/>
        <w:keepNext w:val="0"/>
        <w:keepLines w:val="0"/>
        <w:widowControl w:val="0"/>
        <w:tabs>
          <w:tab w:val="left" w:pos="1518"/>
        </w:tabs>
        <w:spacing w:before="0" w:after="0" w:line="240" w:lineRule="auto"/>
        <w:ind w:left="100"/>
        <w:jc w:val="both"/>
        <w:rPr>
          <w:rFonts w:ascii="Cambria" w:eastAsia="Cambria" w:hAnsi="Cambria" w:cs="Cambria"/>
          <w:b/>
          <w:color w:val="365F91"/>
          <w:sz w:val="28"/>
          <w:szCs w:val="28"/>
        </w:rPr>
      </w:pPr>
      <w:bookmarkStart w:id="34" w:name="_Toc141279957"/>
      <w:commentRangeStart w:id="35"/>
      <w:r>
        <w:rPr>
          <w:rFonts w:ascii="Calibri" w:eastAsia="Calibri" w:hAnsi="Calibri" w:cs="Calibri"/>
          <w:b/>
          <w:color w:val="365F91"/>
          <w:sz w:val="28"/>
          <w:szCs w:val="28"/>
        </w:rPr>
        <w:t>Article 5</w:t>
      </w:r>
      <w:r>
        <w:rPr>
          <w:rFonts w:ascii="Calibri" w:eastAsia="Calibri" w:hAnsi="Calibri" w:cs="Calibri"/>
          <w:b/>
          <w:color w:val="365F91"/>
          <w:sz w:val="28"/>
          <w:szCs w:val="28"/>
        </w:rPr>
        <w:tab/>
        <w:t>Degree Programme</w:t>
      </w:r>
      <w:bookmarkEnd w:id="34"/>
      <w:commentRangeEnd w:id="35"/>
      <w:r>
        <w:commentReference w:id="35"/>
      </w:r>
    </w:p>
    <w:p w14:paraId="2ECB2741" w14:textId="77777777" w:rsidR="006B113F" w:rsidRDefault="00000000">
      <w:pPr>
        <w:widowControl w:val="0"/>
        <w:tabs>
          <w:tab w:val="left" w:pos="2852"/>
        </w:tabs>
        <w:spacing w:line="240" w:lineRule="auto"/>
        <w:rPr>
          <w:rFonts w:ascii="Cambria" w:eastAsia="Cambria" w:hAnsi="Cambria" w:cs="Cambria"/>
          <w:b/>
          <w:sz w:val="21"/>
          <w:szCs w:val="21"/>
        </w:rPr>
      </w:pPr>
      <w:r>
        <w:tab/>
      </w:r>
    </w:p>
    <w:p w14:paraId="42ADC17A" w14:textId="77777777" w:rsidR="006B113F" w:rsidRDefault="00000000">
      <w:pPr>
        <w:pStyle w:val="berschrift2"/>
        <w:keepNext w:val="0"/>
        <w:keepLines w:val="0"/>
        <w:widowControl w:val="0"/>
        <w:numPr>
          <w:ilvl w:val="1"/>
          <w:numId w:val="28"/>
        </w:numPr>
        <w:tabs>
          <w:tab w:val="left" w:pos="677"/>
        </w:tabs>
        <w:spacing w:before="0" w:after="0" w:line="240" w:lineRule="auto"/>
        <w:jc w:val="both"/>
        <w:rPr>
          <w:rFonts w:ascii="Calibri" w:eastAsia="Calibri" w:hAnsi="Calibri" w:cs="Calibri"/>
        </w:rPr>
      </w:pPr>
      <w:bookmarkStart w:id="36" w:name="_Toc141279958"/>
      <w:commentRangeStart w:id="37"/>
      <w:r>
        <w:rPr>
          <w:rFonts w:ascii="Calibri" w:eastAsia="Calibri" w:hAnsi="Calibri" w:cs="Calibri"/>
          <w:b/>
          <w:color w:val="4F81BC"/>
          <w:sz w:val="26"/>
          <w:szCs w:val="26"/>
        </w:rPr>
        <w:t>Rationale of the Academic Programme</w:t>
      </w:r>
      <w:bookmarkEnd w:id="36"/>
      <w:commentRangeEnd w:id="37"/>
      <w:r>
        <w:commentReference w:id="37"/>
      </w:r>
    </w:p>
    <w:p w14:paraId="37CA7D60" w14:textId="05DAFEE9" w:rsidR="006B113F" w:rsidRDefault="00000000">
      <w:pPr>
        <w:numPr>
          <w:ilvl w:val="0"/>
          <w:numId w:val="30"/>
        </w:numPr>
        <w:spacing w:line="240" w:lineRule="auto"/>
        <w:ind w:left="459"/>
        <w:jc w:val="both"/>
        <w:rPr>
          <w:rFonts w:ascii="Calibri" w:eastAsia="Calibri" w:hAnsi="Calibri" w:cs="Calibri"/>
        </w:rPr>
      </w:pPr>
      <w:r>
        <w:rPr>
          <w:rFonts w:ascii="Calibri" w:eastAsia="Calibri" w:hAnsi="Calibri" w:cs="Calibri"/>
        </w:rPr>
        <w:t>The Joint Master of Science in (</w:t>
      </w:r>
      <w:r w:rsidR="00B270F7">
        <w:rPr>
          <w:rFonts w:ascii="Calibri" w:eastAsia="Calibri" w:hAnsi="Calibri" w:cs="Calibri"/>
        </w:rPr>
        <w:t>XX</w:t>
      </w:r>
      <w:r>
        <w:rPr>
          <w:rFonts w:ascii="Calibri" w:eastAsia="Calibri" w:hAnsi="Calibri" w:cs="Calibri"/>
        </w:rPr>
        <w:t xml:space="preserve">) is a two-year, English-taught Master programme with 120 ECTS at Level 7 EQF. Main aims of the </w:t>
      </w:r>
      <w:r w:rsidR="00B270F7">
        <w:rPr>
          <w:rFonts w:ascii="Calibri" w:eastAsia="Calibri" w:hAnsi="Calibri" w:cs="Calibri"/>
        </w:rPr>
        <w:t>XX</w:t>
      </w:r>
      <w:r>
        <w:rPr>
          <w:rFonts w:ascii="Calibri" w:eastAsia="Calibri" w:hAnsi="Calibri" w:cs="Calibri"/>
        </w:rPr>
        <w:t xml:space="preserve"> programme are</w:t>
      </w:r>
    </w:p>
    <w:p w14:paraId="6E38953A" w14:textId="77777777" w:rsidR="006B113F" w:rsidRDefault="00000000">
      <w:pPr>
        <w:spacing w:line="240" w:lineRule="auto"/>
        <w:ind w:left="1134" w:hanging="425"/>
        <w:jc w:val="both"/>
        <w:rPr>
          <w:rFonts w:ascii="Calibri" w:eastAsia="Calibri" w:hAnsi="Calibri" w:cs="Calibri"/>
        </w:rPr>
      </w:pPr>
      <w:r>
        <w:rPr>
          <w:rFonts w:ascii="Calibri" w:eastAsia="Calibri" w:hAnsi="Calibri" w:cs="Calibri"/>
        </w:rPr>
        <w:t>(1)</w:t>
      </w:r>
      <w:r>
        <w:rPr>
          <w:rFonts w:ascii="Calibri" w:eastAsia="Calibri" w:hAnsi="Calibri" w:cs="Calibri"/>
        </w:rPr>
        <w:tab/>
        <w:t>to introduce students to multidisciplinary views of the post-industrial city and the differentiated impact of post-industrialism on urban societies, and</w:t>
      </w:r>
    </w:p>
    <w:p w14:paraId="0BC1CB9C" w14:textId="77777777" w:rsidR="006B113F" w:rsidRDefault="00000000">
      <w:pPr>
        <w:spacing w:line="240" w:lineRule="auto"/>
        <w:ind w:left="1134" w:hanging="425"/>
        <w:jc w:val="both"/>
        <w:rPr>
          <w:rFonts w:ascii="Calibri" w:eastAsia="Calibri" w:hAnsi="Calibri" w:cs="Calibri"/>
        </w:rPr>
      </w:pPr>
      <w:r>
        <w:rPr>
          <w:rFonts w:ascii="Calibri" w:eastAsia="Calibri" w:hAnsi="Calibri" w:cs="Calibri"/>
        </w:rPr>
        <w:t>(2)</w:t>
      </w:r>
      <w:r>
        <w:rPr>
          <w:rFonts w:ascii="Calibri" w:eastAsia="Calibri" w:hAnsi="Calibri" w:cs="Calibri"/>
        </w:rPr>
        <w:tab/>
        <w:t xml:space="preserve">to enable students to develop perspectives for the sustainable transformation of the post-industrial city through engaged research practices. </w:t>
      </w:r>
    </w:p>
    <w:p w14:paraId="24ACC4C3" w14:textId="294396E9" w:rsidR="006B113F" w:rsidRDefault="00B270F7">
      <w:pPr>
        <w:numPr>
          <w:ilvl w:val="0"/>
          <w:numId w:val="30"/>
        </w:numPr>
        <w:spacing w:line="240" w:lineRule="auto"/>
        <w:ind w:left="459"/>
        <w:jc w:val="both"/>
        <w:rPr>
          <w:rFonts w:ascii="Calibri" w:eastAsia="Calibri" w:hAnsi="Calibri" w:cs="Calibri"/>
        </w:rPr>
      </w:pPr>
      <w:r>
        <w:rPr>
          <w:rFonts w:ascii="Calibri" w:eastAsia="Calibri" w:hAnsi="Calibri" w:cs="Calibri"/>
        </w:rPr>
        <w:t>XX</w:t>
      </w:r>
      <w:r w:rsidR="00000000">
        <w:rPr>
          <w:rFonts w:ascii="Calibri" w:eastAsia="Calibri" w:hAnsi="Calibri" w:cs="Calibri"/>
        </w:rPr>
        <w:t xml:space="preserve"> understands the post-industrial city as a complex system that is characterised by physical, political, and historical development paths, limits, and dynamic social, economic, ecological, and cultural vectors. Viewing the city as an experimental living laboratory, </w:t>
      </w:r>
      <w:r>
        <w:rPr>
          <w:rFonts w:ascii="Calibri" w:eastAsia="Calibri" w:hAnsi="Calibri" w:cs="Calibri"/>
        </w:rPr>
        <w:t>XX</w:t>
      </w:r>
      <w:r w:rsidR="00000000">
        <w:rPr>
          <w:rFonts w:ascii="Calibri" w:eastAsia="Calibri" w:hAnsi="Calibri" w:cs="Calibri"/>
        </w:rPr>
        <w:t xml:space="preserve"> students will explore the post-industrial city to act as a milieu for continuous civic immersion asking how it can be cultivated to inform debates around urban sustainable transformation  and circular economies as well as the construction of social identities and experiences of cultural dissonance. Based on this perspective, adopting participatory approaches and methods such as City Labs, Urban Field-Classes and Engaged Research Practices that foster public-private-academic-societal partnerships, </w:t>
      </w:r>
      <w:r>
        <w:rPr>
          <w:rFonts w:ascii="Calibri" w:eastAsia="Calibri" w:hAnsi="Calibri" w:cs="Calibri"/>
        </w:rPr>
        <w:t>XX</w:t>
      </w:r>
      <w:r w:rsidR="00000000">
        <w:rPr>
          <w:rFonts w:ascii="Calibri" w:eastAsia="Calibri" w:hAnsi="Calibri" w:cs="Calibri"/>
        </w:rPr>
        <w:t xml:space="preserve">’s vision is to develop a new network of urban thinkers with the capacity to contribute to future-oriented, avant-garde thinking on the revitalisation of the post-industrial city. </w:t>
      </w:r>
    </w:p>
    <w:p w14:paraId="1305434F" w14:textId="77777777" w:rsidR="006B113F" w:rsidRDefault="006B113F">
      <w:pPr>
        <w:widowControl w:val="0"/>
        <w:spacing w:line="240" w:lineRule="auto"/>
        <w:jc w:val="both"/>
        <w:rPr>
          <w:rFonts w:ascii="Calibri" w:eastAsia="Calibri" w:hAnsi="Calibri" w:cs="Calibri"/>
          <w:color w:val="000000"/>
        </w:rPr>
      </w:pPr>
    </w:p>
    <w:p w14:paraId="4BF3F8B4" w14:textId="77777777" w:rsidR="006B113F" w:rsidRDefault="006B113F">
      <w:pPr>
        <w:widowControl w:val="0"/>
        <w:spacing w:line="240" w:lineRule="auto"/>
        <w:jc w:val="both"/>
        <w:rPr>
          <w:rFonts w:ascii="Calibri" w:eastAsia="Calibri" w:hAnsi="Calibri" w:cs="Calibri"/>
          <w:color w:val="000000"/>
        </w:rPr>
      </w:pPr>
    </w:p>
    <w:p w14:paraId="6998E469" w14:textId="77777777" w:rsidR="006B113F" w:rsidRDefault="00000000">
      <w:pPr>
        <w:pStyle w:val="berschrift2"/>
        <w:keepNext w:val="0"/>
        <w:keepLines w:val="0"/>
        <w:widowControl w:val="0"/>
        <w:numPr>
          <w:ilvl w:val="1"/>
          <w:numId w:val="28"/>
        </w:numPr>
        <w:tabs>
          <w:tab w:val="left" w:pos="677"/>
        </w:tabs>
        <w:spacing w:before="0" w:after="0" w:line="240" w:lineRule="auto"/>
        <w:ind w:hanging="676"/>
        <w:jc w:val="both"/>
      </w:pPr>
      <w:bookmarkStart w:id="38" w:name="_Toc141279959"/>
      <w:r>
        <w:rPr>
          <w:rFonts w:ascii="Calibri" w:eastAsia="Calibri" w:hAnsi="Calibri" w:cs="Calibri"/>
          <w:b/>
          <w:color w:val="4F81BC"/>
          <w:sz w:val="26"/>
          <w:szCs w:val="26"/>
        </w:rPr>
        <w:t>Semester Structure and Mobility Paths</w:t>
      </w:r>
      <w:bookmarkEnd w:id="38"/>
    </w:p>
    <w:p w14:paraId="297F73E0" w14:textId="4826E34E" w:rsidR="006B113F" w:rsidRDefault="00000000">
      <w:pPr>
        <w:widowControl w:val="0"/>
        <w:numPr>
          <w:ilvl w:val="0"/>
          <w:numId w:val="2"/>
        </w:numPr>
        <w:tabs>
          <w:tab w:val="left" w:pos="567"/>
        </w:tabs>
        <w:spacing w:line="240" w:lineRule="auto"/>
        <w:ind w:left="425" w:hanging="425"/>
        <w:jc w:val="both"/>
        <w:rPr>
          <w:rFonts w:ascii="Calibri" w:hAnsi="Calibri" w:cs="Calibri"/>
          <w:color w:val="000000"/>
        </w:rPr>
      </w:pPr>
      <w:r>
        <w:rPr>
          <w:rFonts w:ascii="Calibri" w:eastAsia="Calibri" w:hAnsi="Calibri" w:cs="Calibri"/>
        </w:rPr>
        <w:t xml:space="preserve">The general language of instruction is English, and  the </w:t>
      </w:r>
      <w:r w:rsidR="00B270F7">
        <w:rPr>
          <w:rFonts w:ascii="Calibri" w:eastAsia="Calibri" w:hAnsi="Calibri" w:cs="Calibri"/>
        </w:rPr>
        <w:t>XX</w:t>
      </w:r>
      <w:r>
        <w:rPr>
          <w:rFonts w:ascii="Calibri" w:eastAsia="Calibri" w:hAnsi="Calibri" w:cs="Calibri"/>
        </w:rPr>
        <w:t xml:space="preserve"> programme can be studied completely in English. </w:t>
      </w:r>
    </w:p>
    <w:p w14:paraId="198D2926" w14:textId="77777777" w:rsidR="006B113F" w:rsidRDefault="00000000">
      <w:pPr>
        <w:widowControl w:val="0"/>
        <w:numPr>
          <w:ilvl w:val="0"/>
          <w:numId w:val="2"/>
        </w:numPr>
        <w:tabs>
          <w:tab w:val="left" w:pos="461"/>
        </w:tabs>
        <w:spacing w:line="240" w:lineRule="auto"/>
        <w:ind w:left="425" w:hanging="425"/>
        <w:jc w:val="both"/>
        <w:rPr>
          <w:color w:val="000000"/>
        </w:rPr>
      </w:pPr>
      <w:r>
        <w:rPr>
          <w:rFonts w:ascii="Calibri" w:eastAsia="Calibri" w:hAnsi="Calibri" w:cs="Calibri"/>
        </w:rPr>
        <w:lastRenderedPageBreak/>
        <w:t>The joint curriculum spreads over four semesters (two years, 120 ECTS). It has a modular structure and clear learning paths and is delivered in a consecutive manner:</w:t>
      </w:r>
    </w:p>
    <w:p w14:paraId="5770694D" w14:textId="77777777" w:rsidR="006B113F" w:rsidRDefault="00000000">
      <w:pPr>
        <w:widowControl w:val="0"/>
        <w:numPr>
          <w:ilvl w:val="0"/>
          <w:numId w:val="21"/>
        </w:numPr>
        <w:tabs>
          <w:tab w:val="left" w:pos="993"/>
        </w:tabs>
        <w:spacing w:line="240" w:lineRule="auto"/>
        <w:ind w:left="993" w:hanging="283"/>
        <w:jc w:val="both"/>
        <w:rPr>
          <w:rFonts w:ascii="Times New Roman" w:hAnsi="Times New Roman" w:cs="Times New Roman"/>
          <w:color w:val="000000" w:themeColor="text1"/>
          <w:lang w:val="en-US"/>
        </w:rPr>
      </w:pPr>
      <w:commentRangeStart w:id="39"/>
      <w:r>
        <w:rPr>
          <w:rFonts w:ascii="Calibri" w:eastAsia="Calibri" w:hAnsi="Calibri" w:cs="Calibri"/>
        </w:rPr>
        <w:t>In Semester 1, students start at RUB as a joint cohort and are, at least in one module, exposed to lecturers from all Partner Universities. S</w:t>
      </w:r>
      <w:proofErr w:type="spellStart"/>
      <w:r>
        <w:rPr>
          <w:rFonts w:ascii="Calibri" w:eastAsia="Calibri" w:hAnsi="Calibri" w:cs="Calibri"/>
          <w:lang w:val="en-US"/>
        </w:rPr>
        <w:t>tudents</w:t>
      </w:r>
      <w:proofErr w:type="spellEnd"/>
      <w:r>
        <w:rPr>
          <w:rFonts w:ascii="Calibri" w:eastAsia="Calibri" w:hAnsi="Calibri" w:cs="Calibri"/>
          <w:lang w:val="en-US"/>
        </w:rPr>
        <w:t xml:space="preserve"> complete a core curriculum to lay the foundations for their further studies. The semester includes a field trip to Cork, Ireland, where UCC conducts a City Lab (with a value of 10 ECTS credit points), and a first module on research modules (Research Methods module I, with a value of 5 credit points).</w:t>
      </w:r>
      <w:r>
        <w:rPr>
          <w:rFonts w:ascii="Times New Roman" w:hAnsi="Times New Roman" w:cs="Times New Roman"/>
          <w:color w:val="000000" w:themeColor="text1"/>
          <w:lang w:val="en-US"/>
        </w:rPr>
        <w:t xml:space="preserve"> </w:t>
      </w:r>
    </w:p>
    <w:p w14:paraId="0E84884A" w14:textId="45B237D3" w:rsidR="006B113F" w:rsidRDefault="00000000">
      <w:pPr>
        <w:widowControl w:val="0"/>
        <w:numPr>
          <w:ilvl w:val="0"/>
          <w:numId w:val="21"/>
        </w:numPr>
        <w:tabs>
          <w:tab w:val="left" w:pos="993"/>
        </w:tabs>
        <w:spacing w:line="240" w:lineRule="auto"/>
        <w:ind w:left="993" w:hanging="283"/>
        <w:jc w:val="both"/>
        <w:rPr>
          <w:rFonts w:ascii="Calibri" w:eastAsia="Calibri" w:hAnsi="Calibri" w:cs="Calibri"/>
          <w:color w:val="000000" w:themeColor="text1"/>
        </w:rPr>
      </w:pPr>
      <w:r>
        <w:rPr>
          <w:rFonts w:ascii="Calibri" w:eastAsia="Calibri" w:hAnsi="Calibri" w:cs="Calibri"/>
        </w:rPr>
        <w:t xml:space="preserve">In Semester 2, four tracks with different content are offered. In each track, two </w:t>
      </w:r>
      <w:r w:rsidR="00B270F7">
        <w:rPr>
          <w:rFonts w:ascii="Calibri" w:eastAsia="Calibri" w:hAnsi="Calibri" w:cs="Calibri"/>
        </w:rPr>
        <w:t>XX</w:t>
      </w:r>
      <w:r>
        <w:rPr>
          <w:rFonts w:ascii="Calibri" w:eastAsia="Calibri" w:hAnsi="Calibri" w:cs="Calibri"/>
        </w:rPr>
        <w:t xml:space="preserve"> partner institutions organise and manage teaching and learning in shared responsibility. </w:t>
      </w:r>
      <w:r>
        <w:rPr>
          <w:rFonts w:ascii="Calibri" w:eastAsia="Calibri" w:hAnsi="Calibri" w:cs="Calibri"/>
          <w:lang w:val="en-US"/>
        </w:rPr>
        <w:t xml:space="preserve">All four tracks contain method-oriented </w:t>
      </w:r>
      <w:proofErr w:type="gramStart"/>
      <w:r>
        <w:rPr>
          <w:rFonts w:ascii="Calibri" w:eastAsia="Calibri" w:hAnsi="Calibri" w:cs="Calibri"/>
          <w:lang w:val="en-US"/>
        </w:rPr>
        <w:t>contents</w:t>
      </w:r>
      <w:proofErr w:type="gramEnd"/>
      <w:r>
        <w:rPr>
          <w:rFonts w:ascii="Calibri" w:eastAsia="Calibri" w:hAnsi="Calibri" w:cs="Calibri"/>
          <w:lang w:val="en-US"/>
        </w:rPr>
        <w:t xml:space="preserve"> (Research Methods II, with a value of 5 ECTS credit points), either as specifically designated research methods modules or as integrated part of content modules.</w:t>
      </w:r>
      <w:r>
        <w:rPr>
          <w:rFonts w:ascii="Calibri" w:eastAsia="Calibri" w:hAnsi="Calibri" w:cs="Calibri"/>
        </w:rPr>
        <w:t xml:space="preserve"> One university hosts the students physically (Hosting University), and the other (Contributing University) cooperates through provision of parts of the academic content. These roles may rotate upon mutual consent of the two partners, and the composition of the pairs may change, if the concerned Partner Universities and the Academic Study Board agree. Consequently, in Semester 2 students split up in four groups that follow courses at four different Hosting Universities, providing training jointly with the other Partner Institutions. Access to each track is limited; the </w:t>
      </w:r>
      <w:r>
        <w:rPr>
          <w:rFonts w:ascii="Calibri" w:eastAsia="Calibri" w:hAnsi="Calibri" w:cs="Calibri"/>
          <w:highlight w:val="white"/>
        </w:rPr>
        <w:t>Partner Universities</w:t>
      </w:r>
      <w:r>
        <w:rPr>
          <w:rFonts w:ascii="Calibri" w:eastAsia="Calibri" w:hAnsi="Calibri" w:cs="Calibri"/>
        </w:rPr>
        <w:t xml:space="preserve"> will seek to distribute the students as equally as possible over the four tracks. </w:t>
      </w:r>
    </w:p>
    <w:p w14:paraId="0D6D4625" w14:textId="77777777" w:rsidR="006B113F" w:rsidRDefault="00000000">
      <w:pPr>
        <w:widowControl w:val="0"/>
        <w:numPr>
          <w:ilvl w:val="0"/>
          <w:numId w:val="21"/>
        </w:numPr>
        <w:tabs>
          <w:tab w:val="left" w:pos="993"/>
        </w:tabs>
        <w:spacing w:line="240" w:lineRule="auto"/>
        <w:ind w:left="993" w:hanging="283"/>
        <w:jc w:val="both"/>
        <w:rPr>
          <w:rFonts w:ascii="Calibri" w:eastAsia="Calibri" w:hAnsi="Calibri" w:cs="Calibri"/>
        </w:rPr>
      </w:pPr>
      <w:r>
        <w:rPr>
          <w:rFonts w:ascii="Calibri" w:eastAsia="Calibri" w:hAnsi="Calibri" w:cs="Calibri"/>
        </w:rPr>
        <w:t xml:space="preserve">In Semester 3, </w:t>
      </w:r>
      <w:r>
        <w:rPr>
          <w:rFonts w:ascii="Calibri" w:eastAsia="Calibri" w:hAnsi="Calibri" w:cs="Calibri"/>
          <w:lang w:val="en-US"/>
        </w:rPr>
        <w:t>students will be offered two options for further specialization. 50 % of the cohort will be hosted by University College Cork, 50 % by the University of Liège</w:t>
      </w:r>
      <w:r>
        <w:rPr>
          <w:rFonts w:ascii="Calibri" w:eastAsia="Calibri" w:hAnsi="Calibri" w:cs="Calibri"/>
        </w:rPr>
        <w:t xml:space="preserve">. Semester 3 includes a second City Lab for all students: An </w:t>
      </w:r>
      <w:r>
        <w:rPr>
          <w:rFonts w:ascii="Calibri" w:eastAsia="Calibri" w:hAnsi="Calibri" w:cs="Calibri"/>
          <w:lang w:val="en-US"/>
        </w:rPr>
        <w:t xml:space="preserve">Urban Field Salon in early October (City Lab II, with a value of 10 ECTS credit points) brings the entire cohort together at one location in a joint learning activity </w:t>
      </w:r>
      <w:r>
        <w:rPr>
          <w:rFonts w:ascii="Calibri" w:eastAsia="Calibri" w:hAnsi="Calibri" w:cs="Calibri"/>
          <w:lang w:val="en-GB"/>
        </w:rPr>
        <w:t>with local partners. The Research Methods module III is designed to equip students with a detailed understanding of advanced research designs to support their own independent research projects</w:t>
      </w:r>
      <w:r>
        <w:rPr>
          <w:rFonts w:ascii="Calibri" w:eastAsia="Calibri" w:hAnsi="Calibri" w:cs="Calibri"/>
          <w:lang w:val="en-US"/>
        </w:rPr>
        <w:t>.</w:t>
      </w:r>
    </w:p>
    <w:p w14:paraId="3428A2F4" w14:textId="77777777" w:rsidR="006B113F" w:rsidRDefault="00000000">
      <w:pPr>
        <w:widowControl w:val="0"/>
        <w:numPr>
          <w:ilvl w:val="0"/>
          <w:numId w:val="21"/>
        </w:numPr>
        <w:tabs>
          <w:tab w:val="left" w:pos="993"/>
        </w:tabs>
        <w:spacing w:line="240" w:lineRule="auto"/>
        <w:ind w:left="993" w:hanging="283"/>
        <w:jc w:val="both"/>
        <w:rPr>
          <w:rFonts w:ascii="Calibri" w:eastAsia="Calibri" w:hAnsi="Calibri" w:cs="Calibri"/>
        </w:rPr>
      </w:pPr>
      <w:r>
        <w:rPr>
          <w:rFonts w:ascii="Calibri" w:eastAsia="Calibri" w:hAnsi="Calibri" w:cs="Calibri"/>
        </w:rPr>
        <w:t xml:space="preserve">Semester 4, </w:t>
      </w:r>
      <w:r>
        <w:rPr>
          <w:rFonts w:ascii="Calibri" w:eastAsia="Calibri" w:hAnsi="Calibri" w:cs="Calibri"/>
          <w:lang w:val="en-US"/>
        </w:rPr>
        <w:t>the final semester of the two-year-</w:t>
      </w:r>
      <w:proofErr w:type="spellStart"/>
      <w:r>
        <w:rPr>
          <w:rFonts w:ascii="Calibri" w:eastAsia="Calibri" w:hAnsi="Calibri" w:cs="Calibri"/>
          <w:lang w:val="en-US"/>
        </w:rPr>
        <w:t>programme</w:t>
      </w:r>
      <w:proofErr w:type="spellEnd"/>
      <w:r>
        <w:rPr>
          <w:rFonts w:ascii="Calibri" w:eastAsia="Calibri" w:hAnsi="Calibri" w:cs="Calibri"/>
          <w:lang w:val="en-US"/>
        </w:rPr>
        <w:t xml:space="preserve">, </w:t>
      </w:r>
      <w:r>
        <w:rPr>
          <w:rFonts w:ascii="Calibri" w:eastAsia="Calibri" w:hAnsi="Calibri" w:cs="Calibri"/>
        </w:rPr>
        <w:t xml:space="preserve">can be spent at any of the eight universities. </w:t>
      </w:r>
      <w:r>
        <w:rPr>
          <w:rFonts w:ascii="Calibri" w:eastAsia="Calibri" w:hAnsi="Calibri" w:cs="Calibri"/>
          <w:lang w:val="en-US"/>
        </w:rPr>
        <w:t>The key element of this semester is the Master thesis.</w:t>
      </w:r>
    </w:p>
    <w:p w14:paraId="1600363F" w14:textId="69FE2AAA" w:rsidR="006B113F" w:rsidRDefault="00000000">
      <w:pPr>
        <w:widowControl w:val="0"/>
        <w:numPr>
          <w:ilvl w:val="0"/>
          <w:numId w:val="2"/>
        </w:numPr>
        <w:tabs>
          <w:tab w:val="left" w:pos="461"/>
        </w:tabs>
        <w:spacing w:line="240" w:lineRule="auto"/>
        <w:ind w:left="425" w:hanging="425"/>
        <w:jc w:val="both"/>
        <w:rPr>
          <w:rFonts w:ascii="Calibri" w:eastAsia="Calibri" w:hAnsi="Calibri" w:cs="Calibri"/>
        </w:rPr>
      </w:pPr>
      <w:commentRangeStart w:id="40"/>
      <w:r>
        <w:rPr>
          <w:rFonts w:ascii="Calibri" w:eastAsia="Calibri" w:hAnsi="Calibri" w:cs="Calibri"/>
        </w:rPr>
        <w:t xml:space="preserve"> In Semesters 1, 2 and 3, Research Methods Modules offer research ethics, methods, theories, </w:t>
      </w:r>
      <w:r>
        <w:rPr>
          <w:rFonts w:ascii="Calibri" w:eastAsia="Calibri" w:hAnsi="Calibri" w:cs="Calibri"/>
        </w:rPr>
        <w:tab/>
        <w:t xml:space="preserve">and approaches, to prepare the </w:t>
      </w:r>
      <w:r w:rsidR="00B270F7">
        <w:rPr>
          <w:rFonts w:ascii="Calibri" w:eastAsia="Calibri" w:hAnsi="Calibri" w:cs="Calibri"/>
        </w:rPr>
        <w:t>XX</w:t>
      </w:r>
      <w:r>
        <w:rPr>
          <w:rFonts w:ascii="Calibri" w:eastAsia="Calibri" w:hAnsi="Calibri" w:cs="Calibri"/>
        </w:rPr>
        <w:t xml:space="preserve"> students for research and thesis work.</w:t>
      </w:r>
      <w:commentRangeEnd w:id="39"/>
      <w:r>
        <w:commentReference w:id="39"/>
      </w:r>
      <w:commentRangeEnd w:id="40"/>
      <w:r>
        <w:commentReference w:id="40"/>
      </w:r>
    </w:p>
    <w:p w14:paraId="3C6C237A" w14:textId="77777777" w:rsidR="006B113F" w:rsidRDefault="00000000">
      <w:pPr>
        <w:widowControl w:val="0"/>
        <w:numPr>
          <w:ilvl w:val="0"/>
          <w:numId w:val="2"/>
        </w:numPr>
        <w:tabs>
          <w:tab w:val="left" w:pos="461"/>
        </w:tabs>
        <w:spacing w:line="240" w:lineRule="auto"/>
        <w:jc w:val="both"/>
        <w:rPr>
          <w:color w:val="000000"/>
        </w:rPr>
      </w:pPr>
      <w:r>
        <w:rPr>
          <w:rFonts w:ascii="Calibri" w:eastAsia="Calibri" w:hAnsi="Calibri" w:cs="Calibri"/>
        </w:rPr>
        <w:t xml:space="preserve">The </w:t>
      </w:r>
      <w:commentRangeStart w:id="41"/>
      <w:r>
        <w:rPr>
          <w:rFonts w:ascii="Calibri" w:eastAsia="Calibri" w:hAnsi="Calibri" w:cs="Calibri"/>
        </w:rPr>
        <w:t xml:space="preserve">mobility scheme </w:t>
      </w:r>
      <w:commentRangeEnd w:id="41"/>
      <w:r>
        <w:commentReference w:id="41"/>
      </w:r>
      <w:r>
        <w:rPr>
          <w:rFonts w:ascii="Calibri" w:eastAsia="Calibri" w:hAnsi="Calibri" w:cs="Calibri"/>
        </w:rPr>
        <w:t>and the current modules (subject to changes) look as follows:</w:t>
      </w:r>
    </w:p>
    <w:p w14:paraId="789FC664" w14:textId="11EC4824" w:rsidR="006B113F" w:rsidRDefault="006B113F">
      <w:pPr>
        <w:widowControl w:val="0"/>
        <w:tabs>
          <w:tab w:val="left" w:pos="461"/>
        </w:tabs>
        <w:spacing w:line="240" w:lineRule="auto"/>
        <w:jc w:val="both"/>
        <w:rPr>
          <w:color w:val="000000"/>
        </w:rPr>
      </w:pPr>
    </w:p>
    <w:p w14:paraId="248ADEB2" w14:textId="610625CC" w:rsidR="006B113F" w:rsidRDefault="00000000">
      <w:pPr>
        <w:widowControl w:val="0"/>
        <w:numPr>
          <w:ilvl w:val="0"/>
          <w:numId w:val="2"/>
        </w:numPr>
        <w:tabs>
          <w:tab w:val="left" w:pos="461"/>
        </w:tabs>
        <w:spacing w:line="240" w:lineRule="auto"/>
        <w:ind w:left="425" w:hanging="425"/>
        <w:jc w:val="both"/>
        <w:rPr>
          <w:color w:val="000000"/>
        </w:rPr>
      </w:pPr>
      <w:commentRangeStart w:id="42"/>
      <w:r>
        <w:rPr>
          <w:rFonts w:ascii="Calibri" w:eastAsia="Calibri" w:hAnsi="Calibri" w:cs="Calibri"/>
          <w:highlight w:val="white"/>
        </w:rPr>
        <w:t xml:space="preserve">For Semesters 2 and 3, Students will be asked to state their mobility preferences (1st, 2nd, 3rd choice) already in </w:t>
      </w:r>
      <w:r>
        <w:rPr>
          <w:rFonts w:ascii="Calibri" w:eastAsia="Calibri" w:hAnsi="Calibri" w:cs="Calibri"/>
        </w:rPr>
        <w:t xml:space="preserve">their application and will subsequently be deployed according to the available places in each track. The Consortium will do its best to accommodate the students’ preferences but cannot guarantee that each student will be able to study at his/her preferred location in each semester. Only in exceptional cases and with consensus of the Local </w:t>
      </w:r>
      <w:r w:rsidR="00B270F7">
        <w:rPr>
          <w:rFonts w:ascii="Calibri" w:eastAsia="Calibri" w:hAnsi="Calibri" w:cs="Calibri"/>
        </w:rPr>
        <w:t>XX</w:t>
      </w:r>
      <w:r>
        <w:rPr>
          <w:rFonts w:ascii="Calibri" w:eastAsia="Calibri" w:hAnsi="Calibri" w:cs="Calibri"/>
        </w:rPr>
        <w:t xml:space="preserve"> coordinators of the concerned Partner Universities may the student, upon his/her written request, be re-allocated to another Semester-2-track or Semester-3-location.</w:t>
      </w:r>
    </w:p>
    <w:p w14:paraId="7E8E0995" w14:textId="77777777" w:rsidR="006B113F" w:rsidRDefault="00000000">
      <w:pPr>
        <w:widowControl w:val="0"/>
        <w:numPr>
          <w:ilvl w:val="0"/>
          <w:numId w:val="2"/>
        </w:numPr>
        <w:tabs>
          <w:tab w:val="left" w:pos="461"/>
        </w:tabs>
        <w:spacing w:line="240" w:lineRule="auto"/>
        <w:ind w:left="425" w:hanging="425"/>
        <w:jc w:val="both"/>
        <w:rPr>
          <w:color w:val="000000"/>
        </w:rPr>
      </w:pPr>
      <w:r>
        <w:rPr>
          <w:rFonts w:ascii="Calibri" w:eastAsia="Calibri" w:hAnsi="Calibri" w:cs="Calibri"/>
        </w:rPr>
        <w:t xml:space="preserve">The </w:t>
      </w:r>
      <w:r>
        <w:rPr>
          <w:rFonts w:ascii="Calibri" w:eastAsia="Calibri" w:hAnsi="Calibri" w:cs="Calibri"/>
          <w:highlight w:val="white"/>
        </w:rPr>
        <w:t>decision for the host university for semester 4 is taken at the time of application for the Master thesis in the third semester, when students register for the Master thesis</w:t>
      </w:r>
      <w:r>
        <w:rPr>
          <w:rFonts w:ascii="Calibri" w:eastAsia="Calibri" w:hAnsi="Calibri" w:cs="Calibri"/>
        </w:rPr>
        <w:t xml:space="preserve">, following the procedure defined in the Examination Regulations, and the topics are finally assigned. </w:t>
      </w:r>
      <w:commentRangeEnd w:id="42"/>
      <w:r>
        <w:commentReference w:id="42"/>
      </w:r>
    </w:p>
    <w:p w14:paraId="2762FA1D" w14:textId="52B9F15C" w:rsidR="006B113F" w:rsidRDefault="00000000">
      <w:pPr>
        <w:widowControl w:val="0"/>
        <w:numPr>
          <w:ilvl w:val="0"/>
          <w:numId w:val="2"/>
        </w:numPr>
        <w:tabs>
          <w:tab w:val="left" w:pos="461"/>
        </w:tabs>
        <w:spacing w:line="240" w:lineRule="auto"/>
        <w:ind w:left="425" w:hanging="425"/>
        <w:jc w:val="both"/>
        <w:rPr>
          <w:color w:val="000000"/>
        </w:rPr>
      </w:pPr>
      <w:commentRangeStart w:id="43"/>
      <w:r>
        <w:rPr>
          <w:rFonts w:ascii="Calibri" w:eastAsia="Calibri" w:hAnsi="Calibri" w:cs="Calibri"/>
        </w:rPr>
        <w:t xml:space="preserve">Within the </w:t>
      </w:r>
      <w:r w:rsidR="00B270F7">
        <w:rPr>
          <w:rFonts w:ascii="Calibri" w:eastAsia="Calibri" w:hAnsi="Calibri" w:cs="Calibri"/>
        </w:rPr>
        <w:t>XX</w:t>
      </w:r>
      <w:r>
        <w:rPr>
          <w:rFonts w:ascii="Calibri" w:eastAsia="Calibri" w:hAnsi="Calibri" w:cs="Calibri"/>
        </w:rPr>
        <w:t xml:space="preserve"> programme, all students must complete a full semester in at least two different partner universities.</w:t>
      </w:r>
      <w:r>
        <w:t xml:space="preserve"> </w:t>
      </w:r>
      <w:commentRangeEnd w:id="43"/>
      <w:r>
        <w:commentReference w:id="43"/>
      </w:r>
      <w:commentRangeStart w:id="44"/>
      <w:r>
        <w:rPr>
          <w:rFonts w:ascii="Calibri" w:eastAsia="Calibri" w:hAnsi="Calibri" w:cs="Calibri"/>
        </w:rPr>
        <w:t xml:space="preserve">In case of EMJM status of </w:t>
      </w:r>
      <w:r w:rsidR="00B270F7">
        <w:rPr>
          <w:rFonts w:ascii="Calibri" w:eastAsia="Calibri" w:hAnsi="Calibri" w:cs="Calibri"/>
        </w:rPr>
        <w:t>XX</w:t>
      </w:r>
      <w:r>
        <w:rPr>
          <w:rFonts w:ascii="Calibri" w:eastAsia="Calibri" w:hAnsi="Calibri" w:cs="Calibri"/>
        </w:rPr>
        <w:t>, students must study at at least two universities in countries different from their nationality.</w:t>
      </w:r>
      <w:commentRangeEnd w:id="44"/>
      <w:r>
        <w:commentReference w:id="44"/>
      </w:r>
    </w:p>
    <w:p w14:paraId="26321A08" w14:textId="77777777" w:rsidR="006B113F" w:rsidRDefault="00000000">
      <w:pPr>
        <w:widowControl w:val="0"/>
        <w:numPr>
          <w:ilvl w:val="0"/>
          <w:numId w:val="2"/>
        </w:numPr>
        <w:tabs>
          <w:tab w:val="left" w:pos="461"/>
        </w:tabs>
        <w:spacing w:line="240" w:lineRule="auto"/>
        <w:ind w:left="425" w:hanging="425"/>
        <w:jc w:val="both"/>
        <w:rPr>
          <w:color w:val="000000"/>
        </w:rPr>
      </w:pPr>
      <w:r>
        <w:rPr>
          <w:rFonts w:ascii="Calibri" w:eastAsia="Calibri" w:hAnsi="Calibri" w:cs="Calibri"/>
        </w:rPr>
        <w:t xml:space="preserve">Each semester must result in the completion of 30 ECTS credits at one of the Partner Institutions. </w:t>
      </w:r>
      <w:commentRangeStart w:id="45"/>
      <w:r>
        <w:rPr>
          <w:rFonts w:ascii="Calibri" w:eastAsia="Calibri" w:hAnsi="Calibri" w:cs="Calibri"/>
        </w:rPr>
        <w:t>Mandatory mobility may not be virtual unless force majeure necessitates different temporary solutions.</w:t>
      </w:r>
      <w:commentRangeEnd w:id="45"/>
      <w:r>
        <w:commentReference w:id="45"/>
      </w:r>
    </w:p>
    <w:p w14:paraId="624CDCD2" w14:textId="77777777" w:rsidR="006B113F" w:rsidRDefault="00000000">
      <w:pPr>
        <w:widowControl w:val="0"/>
        <w:numPr>
          <w:ilvl w:val="0"/>
          <w:numId w:val="2"/>
        </w:numPr>
        <w:tabs>
          <w:tab w:val="left" w:pos="461"/>
        </w:tabs>
        <w:spacing w:line="240" w:lineRule="auto"/>
        <w:ind w:left="425" w:hanging="425"/>
        <w:jc w:val="both"/>
        <w:rPr>
          <w:color w:val="000000"/>
        </w:rPr>
      </w:pPr>
      <w:r>
        <w:rPr>
          <w:rFonts w:ascii="Calibri" w:eastAsia="Calibri" w:hAnsi="Calibri" w:cs="Calibri"/>
        </w:rPr>
        <w:t>All Universities shall provide appropriate information to students about the academic requirements, the services for mobility, the administrative requirements, and the financial aspects mobility implies.</w:t>
      </w:r>
    </w:p>
    <w:p w14:paraId="39C04BEA" w14:textId="77777777" w:rsidR="006B113F" w:rsidRDefault="00000000">
      <w:pPr>
        <w:widowControl w:val="0"/>
        <w:numPr>
          <w:ilvl w:val="0"/>
          <w:numId w:val="2"/>
        </w:numPr>
        <w:tabs>
          <w:tab w:val="left" w:pos="461"/>
        </w:tabs>
        <w:spacing w:line="240" w:lineRule="auto"/>
        <w:ind w:left="425" w:hanging="425"/>
        <w:jc w:val="both"/>
        <w:rPr>
          <w:color w:val="000000"/>
        </w:rPr>
      </w:pPr>
      <w:commentRangeStart w:id="46"/>
      <w:r>
        <w:rPr>
          <w:rFonts w:ascii="Calibri" w:eastAsia="Calibri" w:hAnsi="Calibri" w:cs="Calibri"/>
        </w:rPr>
        <w:lastRenderedPageBreak/>
        <w:t xml:space="preserve">Starting with Semester 1, the partners offer all students the possibility to learn </w:t>
      </w:r>
      <w:r>
        <w:rPr>
          <w:rFonts w:ascii="Calibri" w:eastAsia="Calibri" w:hAnsi="Calibri" w:cs="Calibri"/>
          <w:highlight w:val="white"/>
        </w:rPr>
        <w:t>the local languages, as well as other languages, usually free of charge, and on different levels, including, beginners’ level. Language courses are designed to develop intercultural and international co</w:t>
      </w:r>
      <w:r>
        <w:rPr>
          <w:rFonts w:ascii="Calibri" w:eastAsia="Calibri" w:hAnsi="Calibri" w:cs="Calibri"/>
        </w:rPr>
        <w:t>mpetencies of the students.</w:t>
      </w:r>
      <w:commentRangeEnd w:id="46"/>
      <w:r>
        <w:commentReference w:id="46"/>
      </w:r>
    </w:p>
    <w:p w14:paraId="5DDECDAA" w14:textId="7356FB32" w:rsidR="006B113F" w:rsidRDefault="00000000">
      <w:pPr>
        <w:widowControl w:val="0"/>
        <w:numPr>
          <w:ilvl w:val="0"/>
          <w:numId w:val="2"/>
        </w:numPr>
        <w:tabs>
          <w:tab w:val="left" w:pos="461"/>
        </w:tabs>
        <w:spacing w:line="240" w:lineRule="auto"/>
        <w:ind w:left="425" w:hanging="425"/>
        <w:jc w:val="both"/>
        <w:rPr>
          <w:color w:val="000000"/>
        </w:rPr>
      </w:pPr>
      <w:r>
        <w:rPr>
          <w:rFonts w:ascii="Calibri" w:eastAsia="Calibri" w:hAnsi="Calibri" w:cs="Calibri"/>
        </w:rPr>
        <w:t>The Partner Institutions will publish a “</w:t>
      </w:r>
      <w:r w:rsidR="00B270F7">
        <w:rPr>
          <w:rFonts w:ascii="Calibri" w:eastAsia="Calibri" w:hAnsi="Calibri" w:cs="Calibri"/>
        </w:rPr>
        <w:t>XX</w:t>
      </w:r>
      <w:r>
        <w:rPr>
          <w:rFonts w:ascii="Calibri" w:eastAsia="Calibri" w:hAnsi="Calibri" w:cs="Calibri"/>
        </w:rPr>
        <w:t xml:space="preserve"> Student Handbook” which describes the Mobility Plan for students of the degree programme in detail, including the universities involved, the mobility periods, and provides students with information on the academic content, living conditions, and practical matters at each Partner Institution and in the corresponding cities.</w:t>
      </w:r>
    </w:p>
    <w:p w14:paraId="4784DF8E" w14:textId="77777777" w:rsidR="006B113F" w:rsidRDefault="00000000">
      <w:pPr>
        <w:widowControl w:val="0"/>
        <w:numPr>
          <w:ilvl w:val="0"/>
          <w:numId w:val="2"/>
        </w:numPr>
        <w:tabs>
          <w:tab w:val="left" w:pos="461"/>
        </w:tabs>
        <w:spacing w:line="240" w:lineRule="auto"/>
        <w:ind w:left="425" w:hanging="425"/>
        <w:jc w:val="both"/>
        <w:rPr>
          <w:color w:val="000000"/>
        </w:rPr>
      </w:pPr>
      <w:r>
        <w:rPr>
          <w:rFonts w:ascii="Calibri" w:eastAsia="Calibri" w:hAnsi="Calibri" w:cs="Calibri"/>
        </w:rPr>
        <w:t xml:space="preserve">Every effort will be made to ensure that students attending the degree programme at different locations can finish in time, allowing adequate transition time between the Hosting Universities, and providing excellent support in facilitating social integration and in finding appropriate accommodation. </w:t>
      </w:r>
    </w:p>
    <w:p w14:paraId="4F811A89" w14:textId="77777777" w:rsidR="006B113F" w:rsidRDefault="006B113F">
      <w:pPr>
        <w:pStyle w:val="berschrift2"/>
        <w:keepNext w:val="0"/>
        <w:keepLines w:val="0"/>
        <w:widowControl w:val="0"/>
        <w:tabs>
          <w:tab w:val="left" w:pos="677"/>
        </w:tabs>
        <w:spacing w:before="0" w:after="0" w:line="240" w:lineRule="auto"/>
        <w:ind w:left="425" w:hanging="425"/>
        <w:jc w:val="both"/>
        <w:rPr>
          <w:rFonts w:ascii="Cambria" w:eastAsia="Cambria" w:hAnsi="Cambria" w:cs="Cambria"/>
          <w:sz w:val="26"/>
          <w:szCs w:val="26"/>
        </w:rPr>
      </w:pPr>
    </w:p>
    <w:p w14:paraId="26E3CC58" w14:textId="77777777" w:rsidR="006B113F" w:rsidRDefault="00000000">
      <w:pPr>
        <w:pStyle w:val="berschrift2"/>
        <w:keepNext w:val="0"/>
        <w:keepLines w:val="0"/>
        <w:widowControl w:val="0"/>
        <w:numPr>
          <w:ilvl w:val="1"/>
          <w:numId w:val="46"/>
        </w:numPr>
        <w:tabs>
          <w:tab w:val="left" w:pos="677"/>
        </w:tabs>
        <w:spacing w:before="0" w:after="0" w:line="240" w:lineRule="auto"/>
        <w:ind w:left="425" w:hanging="425"/>
        <w:jc w:val="both"/>
      </w:pPr>
      <w:bookmarkStart w:id="47" w:name="_Toc141279960"/>
      <w:r>
        <w:rPr>
          <w:rFonts w:ascii="Calibri" w:eastAsia="Calibri" w:hAnsi="Calibri" w:cs="Calibri"/>
          <w:b/>
          <w:color w:val="4F81BC"/>
          <w:sz w:val="26"/>
          <w:szCs w:val="26"/>
          <w:highlight w:val="white"/>
        </w:rPr>
        <w:t>Thesis Semester</w:t>
      </w:r>
      <w:bookmarkEnd w:id="47"/>
      <w:r>
        <w:rPr>
          <w:rFonts w:ascii="Calibri" w:eastAsia="Calibri" w:hAnsi="Calibri" w:cs="Calibri"/>
          <w:b/>
          <w:color w:val="4F81BC"/>
          <w:sz w:val="26"/>
          <w:szCs w:val="26"/>
        </w:rPr>
        <w:t xml:space="preserve"> </w:t>
      </w:r>
    </w:p>
    <w:p w14:paraId="36A5BEF7" w14:textId="77777777" w:rsidR="006B113F" w:rsidRDefault="00000000">
      <w:pPr>
        <w:widowControl w:val="0"/>
        <w:numPr>
          <w:ilvl w:val="0"/>
          <w:numId w:val="10"/>
        </w:numPr>
        <w:tabs>
          <w:tab w:val="left" w:pos="461"/>
        </w:tabs>
        <w:spacing w:line="240" w:lineRule="auto"/>
        <w:ind w:left="425" w:hanging="425"/>
        <w:jc w:val="both"/>
        <w:rPr>
          <w:rFonts w:ascii="Calibri" w:hAnsi="Calibri" w:cs="Calibri"/>
          <w:color w:val="000000"/>
        </w:rPr>
      </w:pPr>
      <w:r>
        <w:rPr>
          <w:rFonts w:ascii="Calibri" w:eastAsia="Calibri" w:hAnsi="Calibri" w:cs="Calibri"/>
        </w:rPr>
        <w:t xml:space="preserve">Semester 4 is devoted to thesis work. </w:t>
      </w:r>
    </w:p>
    <w:p w14:paraId="0F9BD9FB" w14:textId="77777777" w:rsidR="006B113F" w:rsidRDefault="00000000">
      <w:pPr>
        <w:widowControl w:val="0"/>
        <w:numPr>
          <w:ilvl w:val="0"/>
          <w:numId w:val="10"/>
        </w:numPr>
        <w:tabs>
          <w:tab w:val="left" w:pos="461"/>
        </w:tabs>
        <w:spacing w:line="240" w:lineRule="auto"/>
        <w:ind w:left="425" w:hanging="425"/>
        <w:jc w:val="both"/>
        <w:rPr>
          <w:rStyle w:val="cf01"/>
          <w:rFonts w:ascii="Calibri" w:hAnsi="Calibri" w:cs="Calibri"/>
          <w:color w:val="000000"/>
          <w:sz w:val="22"/>
          <w:szCs w:val="22"/>
        </w:rPr>
      </w:pPr>
      <w:r>
        <w:rPr>
          <w:rFonts w:ascii="Calibri" w:eastAsia="Calibri" w:hAnsi="Calibri" w:cs="Calibri"/>
        </w:rPr>
        <w:t xml:space="preserve">The Partner Institutions will inform about thesis topics early in the programme, offer an appropriate number of feasible topics and will provide qualified counselling and advice to the students. </w:t>
      </w:r>
      <w:r>
        <w:rPr>
          <w:rStyle w:val="cf01"/>
          <w:rFonts w:ascii="Calibri" w:hAnsi="Calibri" w:cs="Calibri"/>
        </w:rPr>
        <w:t xml:space="preserve"> </w:t>
      </w:r>
    </w:p>
    <w:p w14:paraId="69063A43" w14:textId="07FD3F59" w:rsidR="006B113F" w:rsidRDefault="00000000">
      <w:pPr>
        <w:widowControl w:val="0"/>
        <w:numPr>
          <w:ilvl w:val="0"/>
          <w:numId w:val="10"/>
        </w:numPr>
        <w:tabs>
          <w:tab w:val="left" w:pos="461"/>
        </w:tabs>
        <w:spacing w:line="240" w:lineRule="auto"/>
        <w:ind w:left="425" w:hanging="425"/>
        <w:jc w:val="both"/>
        <w:rPr>
          <w:rFonts w:ascii="Calibri" w:eastAsia="Calibri" w:hAnsi="Calibri" w:cs="Calibri"/>
          <w:color w:val="000000"/>
        </w:rPr>
      </w:pPr>
      <w:r>
        <w:rPr>
          <w:rFonts w:ascii="Calibri" w:eastAsia="Calibri" w:hAnsi="Calibri" w:cs="Calibri"/>
        </w:rPr>
        <w:t xml:space="preserve">The Partner Institutions decide in mutual agreement on the distribution of </w:t>
      </w:r>
      <w:r w:rsidR="00B270F7">
        <w:rPr>
          <w:rFonts w:ascii="Calibri" w:eastAsia="Calibri" w:hAnsi="Calibri" w:cs="Calibri"/>
        </w:rPr>
        <w:t>XX</w:t>
      </w:r>
      <w:r>
        <w:rPr>
          <w:rFonts w:ascii="Calibri" w:eastAsia="Calibri" w:hAnsi="Calibri" w:cs="Calibri"/>
        </w:rPr>
        <w:t xml:space="preserve"> students among the Fourth Semester Universities, with the intention to distribute students equally over the Partner Universities and considering the students’ preferences, the availability of suitable thesis topics and qualified supervisors, and the sustainability of the network. The Consortium will do its best to accommodate the students’ preferences but cannot guarantee that each candidate will be able to conduct thesis work at the Partner Institution of his/her first choice. Students may complain to the Academic Study Board, which will look into the matter in justified cases.</w:t>
      </w:r>
      <w:r>
        <w:rPr>
          <w:rStyle w:val="cf01"/>
          <w:rFonts w:ascii="Calibri" w:hAnsi="Calibri" w:cs="Calibri"/>
        </w:rPr>
        <w:t xml:space="preserve"> </w:t>
      </w:r>
      <w:r>
        <w:rPr>
          <w:rFonts w:ascii="Calibri" w:eastAsia="Calibri" w:hAnsi="Calibri" w:cs="Calibri"/>
        </w:rPr>
        <w:t>After all consultations, the location of the thesis semester is determined by the Academic Study Board.</w:t>
      </w:r>
    </w:p>
    <w:p w14:paraId="2EF61281" w14:textId="0EA41AA2" w:rsidR="006B113F" w:rsidRDefault="00000000">
      <w:pPr>
        <w:widowControl w:val="0"/>
        <w:numPr>
          <w:ilvl w:val="0"/>
          <w:numId w:val="10"/>
        </w:numPr>
        <w:tabs>
          <w:tab w:val="left" w:pos="461"/>
        </w:tabs>
        <w:spacing w:line="240" w:lineRule="auto"/>
        <w:ind w:left="425" w:hanging="425"/>
        <w:jc w:val="both"/>
        <w:rPr>
          <w:rFonts w:ascii="Calibri" w:eastAsia="Calibri" w:hAnsi="Calibri" w:cs="Calibri"/>
          <w:color w:val="000000"/>
        </w:rPr>
      </w:pPr>
      <w:r>
        <w:rPr>
          <w:rFonts w:ascii="Calibri" w:eastAsia="Calibri" w:hAnsi="Calibri" w:cs="Calibri"/>
          <w:lang w:val="en-US"/>
        </w:rPr>
        <w:t xml:space="preserve">Thesis work is co-supervised by a colleague from a second </w:t>
      </w:r>
      <w:r w:rsidR="00B270F7">
        <w:rPr>
          <w:rFonts w:ascii="Calibri" w:eastAsia="Calibri" w:hAnsi="Calibri" w:cs="Calibri"/>
          <w:lang w:val="en-US"/>
        </w:rPr>
        <w:t>XX</w:t>
      </w:r>
      <w:r>
        <w:rPr>
          <w:rFonts w:ascii="Calibri" w:eastAsia="Calibri" w:hAnsi="Calibri" w:cs="Calibri"/>
          <w:lang w:val="en-US"/>
        </w:rPr>
        <w:t xml:space="preserve"> University, different from the Partner University hosting the student in this semester (joint supervision).</w:t>
      </w:r>
    </w:p>
    <w:p w14:paraId="3130A380" w14:textId="77777777" w:rsidR="006B113F" w:rsidRDefault="00000000">
      <w:pPr>
        <w:widowControl w:val="0"/>
        <w:numPr>
          <w:ilvl w:val="0"/>
          <w:numId w:val="10"/>
        </w:numPr>
        <w:tabs>
          <w:tab w:val="left" w:pos="461"/>
        </w:tabs>
        <w:spacing w:line="240" w:lineRule="auto"/>
        <w:ind w:left="425" w:hanging="425"/>
        <w:jc w:val="both"/>
        <w:rPr>
          <w:rFonts w:ascii="Calibri" w:hAnsi="Calibri" w:cs="Calibri"/>
          <w:color w:val="000000"/>
        </w:rPr>
      </w:pPr>
      <w:commentRangeStart w:id="48"/>
      <w:r>
        <w:rPr>
          <w:rFonts w:ascii="Calibri" w:eastAsia="Calibri" w:hAnsi="Calibri" w:cs="Calibri"/>
        </w:rPr>
        <w:t>The thesis can be provided in different forms, e.g. a monography, or a paper for publication, or a design project / exhibition with documentation, etc., depending on the supervisors.</w:t>
      </w:r>
      <w:commentRangeEnd w:id="48"/>
      <w:r>
        <w:commentReference w:id="48"/>
      </w:r>
    </w:p>
    <w:p w14:paraId="57E76725" w14:textId="77777777" w:rsidR="006B113F" w:rsidRDefault="006B113F">
      <w:pPr>
        <w:widowControl w:val="0"/>
        <w:tabs>
          <w:tab w:val="left" w:pos="461"/>
        </w:tabs>
        <w:spacing w:line="240" w:lineRule="auto"/>
        <w:ind w:left="425" w:hanging="425"/>
        <w:jc w:val="both"/>
        <w:rPr>
          <w:rFonts w:ascii="Calibri" w:eastAsia="Calibri" w:hAnsi="Calibri" w:cs="Calibri"/>
        </w:rPr>
      </w:pPr>
    </w:p>
    <w:p w14:paraId="636CCDBB" w14:textId="77777777" w:rsidR="006B113F" w:rsidRDefault="00000000">
      <w:pPr>
        <w:rPr>
          <w:rFonts w:ascii="Calibri" w:eastAsia="Calibri" w:hAnsi="Calibri" w:cs="Calibri"/>
          <w:b/>
          <w:color w:val="365F91"/>
          <w:sz w:val="28"/>
          <w:szCs w:val="28"/>
        </w:rPr>
      </w:pPr>
      <w:bookmarkStart w:id="49" w:name="_Toc141279961"/>
      <w:r>
        <w:rPr>
          <w:rFonts w:ascii="Calibri" w:eastAsia="Calibri" w:hAnsi="Calibri" w:cs="Calibri"/>
          <w:b/>
          <w:color w:val="365F91"/>
          <w:sz w:val="28"/>
          <w:szCs w:val="28"/>
        </w:rPr>
        <w:br w:type="page" w:clear="all"/>
      </w:r>
    </w:p>
    <w:p w14:paraId="601D7039" w14:textId="77777777" w:rsidR="006B113F" w:rsidRDefault="00000000">
      <w:pPr>
        <w:pStyle w:val="berschrift1"/>
        <w:keepNext w:val="0"/>
        <w:keepLines w:val="0"/>
        <w:widowControl w:val="0"/>
        <w:tabs>
          <w:tab w:val="left" w:pos="1518"/>
        </w:tabs>
        <w:spacing w:before="0" w:after="0" w:line="240" w:lineRule="auto"/>
        <w:ind w:left="100"/>
        <w:jc w:val="both"/>
        <w:rPr>
          <w:rFonts w:ascii="Cambria" w:eastAsia="Cambria" w:hAnsi="Cambria" w:cs="Cambria"/>
          <w:b/>
          <w:color w:val="365F91"/>
          <w:sz w:val="28"/>
          <w:szCs w:val="28"/>
        </w:rPr>
      </w:pPr>
      <w:r>
        <w:rPr>
          <w:rFonts w:ascii="Calibri" w:eastAsia="Calibri" w:hAnsi="Calibri" w:cs="Calibri"/>
          <w:b/>
          <w:color w:val="365F91"/>
          <w:sz w:val="28"/>
          <w:szCs w:val="28"/>
        </w:rPr>
        <w:lastRenderedPageBreak/>
        <w:t>Article 6</w:t>
      </w:r>
      <w:r>
        <w:rPr>
          <w:rFonts w:ascii="Calibri" w:eastAsia="Calibri" w:hAnsi="Calibri" w:cs="Calibri"/>
          <w:b/>
          <w:color w:val="365F91"/>
          <w:sz w:val="28"/>
          <w:szCs w:val="28"/>
        </w:rPr>
        <w:tab/>
        <w:t>Student Administration</w:t>
      </w:r>
      <w:bookmarkEnd w:id="49"/>
    </w:p>
    <w:p w14:paraId="64672D1F" w14:textId="77777777" w:rsidR="006B113F" w:rsidRDefault="00000000">
      <w:pPr>
        <w:pStyle w:val="berschrift2"/>
        <w:keepNext w:val="0"/>
        <w:keepLines w:val="0"/>
        <w:widowControl w:val="0"/>
        <w:numPr>
          <w:ilvl w:val="1"/>
          <w:numId w:val="44"/>
        </w:numPr>
        <w:tabs>
          <w:tab w:val="left" w:pos="677"/>
        </w:tabs>
        <w:spacing w:before="0" w:after="0" w:line="240" w:lineRule="auto"/>
        <w:jc w:val="both"/>
      </w:pPr>
      <w:bookmarkStart w:id="50" w:name="_Toc141279962"/>
      <w:r>
        <w:rPr>
          <w:rFonts w:ascii="Calibri" w:eastAsia="Calibri" w:hAnsi="Calibri" w:cs="Calibri"/>
          <w:b/>
          <w:color w:val="4F81BC"/>
          <w:sz w:val="26"/>
          <w:szCs w:val="26"/>
        </w:rPr>
        <w:t>Student Application, Selection, and Enrolment</w:t>
      </w:r>
      <w:bookmarkEnd w:id="50"/>
    </w:p>
    <w:p w14:paraId="653AE61C" w14:textId="032CC77B" w:rsidR="006B113F" w:rsidRDefault="00000000">
      <w:pPr>
        <w:widowControl w:val="0"/>
        <w:spacing w:line="240" w:lineRule="auto"/>
        <w:ind w:left="100"/>
        <w:jc w:val="both"/>
        <w:rPr>
          <w:rFonts w:ascii="Calibri" w:eastAsia="Calibri" w:hAnsi="Calibri" w:cs="Calibri"/>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Examination Regulations will govern the application, selection, and admission procedures in detail, including the eligibility and selection criteria, as well as the subject-based and language requirements for participation in the programme. The Partner Universities agree in the intention to harmonise procedures in student administration that are in place at each institution, acknowledging that rules on student administration in this Agreement are subsidiary to the local rules of the Partnering Universities.</w:t>
      </w:r>
    </w:p>
    <w:p w14:paraId="1F9AB6EF" w14:textId="77777777" w:rsidR="006B113F" w:rsidRDefault="006B113F">
      <w:pPr>
        <w:widowControl w:val="0"/>
        <w:spacing w:line="240" w:lineRule="auto"/>
        <w:jc w:val="both"/>
        <w:rPr>
          <w:rFonts w:ascii="Calibri" w:eastAsia="Calibri" w:hAnsi="Calibri" w:cs="Calibri"/>
        </w:rPr>
      </w:pPr>
    </w:p>
    <w:p w14:paraId="0D68C4D8" w14:textId="77777777" w:rsidR="006B113F" w:rsidRDefault="00000000">
      <w:pPr>
        <w:pStyle w:val="berschrift3"/>
        <w:keepNext w:val="0"/>
        <w:keepLines w:val="0"/>
        <w:widowControl w:val="0"/>
        <w:numPr>
          <w:ilvl w:val="2"/>
          <w:numId w:val="44"/>
        </w:numPr>
        <w:tabs>
          <w:tab w:val="left" w:pos="821"/>
        </w:tabs>
        <w:spacing w:before="0" w:after="0" w:line="240" w:lineRule="auto"/>
        <w:jc w:val="both"/>
      </w:pPr>
      <w:bookmarkStart w:id="51" w:name="_Toc141279963"/>
      <w:r>
        <w:rPr>
          <w:rFonts w:ascii="Calibri" w:eastAsia="Calibri" w:hAnsi="Calibri" w:cs="Calibri"/>
          <w:b/>
          <w:color w:val="4F81BC"/>
          <w:sz w:val="22"/>
          <w:szCs w:val="22"/>
        </w:rPr>
        <w:t>Application</w:t>
      </w:r>
      <w:bookmarkEnd w:id="51"/>
    </w:p>
    <w:p w14:paraId="07545A07" w14:textId="1B508643" w:rsidR="006B113F" w:rsidRDefault="00000000">
      <w:pPr>
        <w:widowControl w:val="0"/>
        <w:numPr>
          <w:ilvl w:val="0"/>
          <w:numId w:val="15"/>
        </w:numPr>
        <w:tabs>
          <w:tab w:val="left" w:pos="461"/>
        </w:tabs>
        <w:spacing w:line="240" w:lineRule="auto"/>
        <w:jc w:val="both"/>
        <w:rPr>
          <w:color w:val="000000"/>
        </w:rPr>
      </w:pPr>
      <w:r>
        <w:rPr>
          <w:rFonts w:ascii="Calibri" w:eastAsia="Calibri" w:hAnsi="Calibri" w:cs="Calibri"/>
        </w:rPr>
        <w:t xml:space="preserve">The application procedure for the programme is jointly developed and implemented by the Consortium in agreement with the </w:t>
      </w:r>
      <w:r w:rsidR="00B270F7">
        <w:rPr>
          <w:rFonts w:ascii="Calibri" w:eastAsia="Calibri" w:hAnsi="Calibri" w:cs="Calibri"/>
        </w:rPr>
        <w:t>XX</w:t>
      </w:r>
      <w:r>
        <w:rPr>
          <w:rFonts w:ascii="Calibri" w:eastAsia="Calibri" w:hAnsi="Calibri" w:cs="Calibri"/>
        </w:rPr>
        <w:t xml:space="preserve"> Examination Regulations.</w:t>
      </w:r>
    </w:p>
    <w:p w14:paraId="4A0E83ED" w14:textId="77777777" w:rsidR="006B113F" w:rsidRDefault="00000000">
      <w:pPr>
        <w:widowControl w:val="0"/>
        <w:numPr>
          <w:ilvl w:val="0"/>
          <w:numId w:val="15"/>
        </w:numPr>
        <w:tabs>
          <w:tab w:val="left" w:pos="461"/>
        </w:tabs>
        <w:spacing w:line="240" w:lineRule="auto"/>
        <w:jc w:val="both"/>
        <w:rPr>
          <w:color w:val="000000"/>
        </w:rPr>
      </w:pPr>
      <w:r>
        <w:rPr>
          <w:rFonts w:ascii="Calibri" w:eastAsia="Calibri" w:hAnsi="Calibri" w:cs="Calibri"/>
        </w:rPr>
        <w:t>RUB shall organise, receive, and process all applications for admission to the degree programme, on behalf of the Consortium.</w:t>
      </w:r>
    </w:p>
    <w:p w14:paraId="29E7FC95" w14:textId="77777777" w:rsidR="006B113F" w:rsidRDefault="00000000">
      <w:pPr>
        <w:widowControl w:val="0"/>
        <w:numPr>
          <w:ilvl w:val="0"/>
          <w:numId w:val="15"/>
        </w:numPr>
        <w:tabs>
          <w:tab w:val="left" w:pos="461"/>
        </w:tabs>
        <w:spacing w:line="240" w:lineRule="auto"/>
        <w:jc w:val="both"/>
        <w:rPr>
          <w:rFonts w:ascii="Calibri" w:eastAsia="Calibri" w:hAnsi="Calibri" w:cs="Calibri"/>
        </w:rPr>
      </w:pPr>
      <w:r>
        <w:rPr>
          <w:rFonts w:ascii="Calibri" w:eastAsia="Calibri" w:hAnsi="Calibri" w:cs="Calibri"/>
        </w:rPr>
        <w:t>All requested documents must be in English, and if they are not, a translation from a certified translator must be provided.</w:t>
      </w:r>
    </w:p>
    <w:p w14:paraId="43D19FAB" w14:textId="1BF1B335" w:rsidR="006B113F" w:rsidRDefault="00B270F7">
      <w:pPr>
        <w:widowControl w:val="0"/>
        <w:numPr>
          <w:ilvl w:val="0"/>
          <w:numId w:val="15"/>
        </w:numPr>
        <w:tabs>
          <w:tab w:val="left" w:pos="461"/>
        </w:tabs>
        <w:spacing w:line="240" w:lineRule="auto"/>
        <w:jc w:val="both"/>
        <w:rPr>
          <w:color w:val="000000"/>
        </w:rPr>
      </w:pPr>
      <w:bookmarkStart w:id="52" w:name="_2bn6wsx"/>
      <w:bookmarkEnd w:id="52"/>
      <w:r>
        <w:rPr>
          <w:rFonts w:ascii="Calibri" w:eastAsia="Calibri" w:hAnsi="Calibri" w:cs="Calibri"/>
        </w:rPr>
        <w:t>XX</w:t>
      </w:r>
      <w:r w:rsidR="00000000">
        <w:rPr>
          <w:rFonts w:ascii="Calibri" w:eastAsia="Calibri" w:hAnsi="Calibri" w:cs="Calibri"/>
        </w:rPr>
        <w:t xml:space="preserve"> invites candidates from diverse backgrounds, having acquired a qualified Bachelor degree (Level 6 EQF), preferably with a dissertation, or an equivalent degree, that gives them access to a Master degree programme and demonstrable experience in themes related t</w:t>
      </w:r>
      <w:r w:rsidR="00AC772B">
        <w:rPr>
          <w:rFonts w:ascii="Calibri" w:eastAsia="Calibri" w:hAnsi="Calibri" w:cs="Calibri"/>
        </w:rPr>
        <w:t>xxx</w:t>
      </w:r>
      <w:r w:rsidR="00000000">
        <w:rPr>
          <w:rFonts w:ascii="Calibri" w:eastAsia="Calibri" w:hAnsi="Calibri" w:cs="Calibri"/>
        </w:rPr>
        <w:t xml:space="preserve"> and related fields of study. This list is not exhaustive and shall serve for orientation of applicants. Prior Learning is recognised.</w:t>
      </w:r>
    </w:p>
    <w:p w14:paraId="514878F8" w14:textId="5C7BFF58" w:rsidR="006B113F" w:rsidRDefault="00000000">
      <w:pPr>
        <w:widowControl w:val="0"/>
        <w:numPr>
          <w:ilvl w:val="0"/>
          <w:numId w:val="15"/>
        </w:numPr>
        <w:tabs>
          <w:tab w:val="left" w:pos="461"/>
        </w:tabs>
        <w:spacing w:line="240" w:lineRule="auto"/>
        <w:jc w:val="both"/>
        <w:rPr>
          <w:color w:val="000000"/>
          <w:sz w:val="16"/>
          <w:szCs w:val="16"/>
        </w:rPr>
      </w:pPr>
      <w:r>
        <w:rPr>
          <w:rFonts w:ascii="Calibri" w:eastAsia="Calibri" w:hAnsi="Calibri" w:cs="Calibri"/>
        </w:rPr>
        <w:t xml:space="preserve">Candidates must submit their Bachelor degree (or equivalent) with Transcript of Records, portfolio and </w:t>
      </w:r>
      <w:commentRangeStart w:id="53"/>
      <w:r>
        <w:rPr>
          <w:rFonts w:ascii="Calibri" w:eastAsia="Calibri" w:hAnsi="Calibri" w:cs="Calibri"/>
        </w:rPr>
        <w:t xml:space="preserve">motivation letter in which they provide a reflection about the content of the degree programme, and state their specific interest in the </w:t>
      </w:r>
      <w:r w:rsidR="00B270F7">
        <w:rPr>
          <w:rFonts w:ascii="Calibri" w:eastAsia="Calibri" w:hAnsi="Calibri" w:cs="Calibri"/>
        </w:rPr>
        <w:t>XX</w:t>
      </w:r>
      <w:r>
        <w:rPr>
          <w:rFonts w:ascii="Calibri" w:eastAsia="Calibri" w:hAnsi="Calibri" w:cs="Calibri"/>
        </w:rPr>
        <w:t xml:space="preserve"> programme and their envisaged contributions to the programme</w:t>
      </w:r>
      <w:commentRangeEnd w:id="53"/>
      <w:r>
        <w:commentReference w:id="53"/>
      </w:r>
      <w:r>
        <w:rPr>
          <w:rFonts w:ascii="Calibri" w:eastAsia="Calibri" w:hAnsi="Calibri" w:cs="Calibri"/>
        </w:rPr>
        <w:t>.</w:t>
      </w:r>
    </w:p>
    <w:p w14:paraId="44D89FA6" w14:textId="77777777" w:rsidR="006B113F" w:rsidRDefault="006B113F">
      <w:pPr>
        <w:widowControl w:val="0"/>
        <w:spacing w:line="240" w:lineRule="auto"/>
        <w:ind w:left="460"/>
        <w:jc w:val="both"/>
        <w:rPr>
          <w:rFonts w:ascii="Calibri" w:eastAsia="Calibri" w:hAnsi="Calibri" w:cs="Calibri"/>
          <w:sz w:val="16"/>
          <w:szCs w:val="16"/>
        </w:rPr>
      </w:pPr>
    </w:p>
    <w:p w14:paraId="45718370" w14:textId="77777777" w:rsidR="006B113F" w:rsidRDefault="00000000">
      <w:pPr>
        <w:pStyle w:val="berschrift3"/>
        <w:keepNext w:val="0"/>
        <w:keepLines w:val="0"/>
        <w:widowControl w:val="0"/>
        <w:numPr>
          <w:ilvl w:val="2"/>
          <w:numId w:val="44"/>
        </w:numPr>
        <w:tabs>
          <w:tab w:val="left" w:pos="821"/>
        </w:tabs>
        <w:spacing w:before="0" w:after="0" w:line="240" w:lineRule="auto"/>
        <w:jc w:val="both"/>
      </w:pPr>
      <w:bookmarkStart w:id="54" w:name="_Toc141279964"/>
      <w:r>
        <w:rPr>
          <w:rFonts w:ascii="Calibri" w:eastAsia="Calibri" w:hAnsi="Calibri" w:cs="Calibri"/>
          <w:b/>
          <w:color w:val="4F81BC"/>
          <w:sz w:val="22"/>
          <w:szCs w:val="22"/>
        </w:rPr>
        <w:t>Selection and Admission</w:t>
      </w:r>
      <w:bookmarkEnd w:id="54"/>
    </w:p>
    <w:p w14:paraId="2ECC3B40" w14:textId="78641E39" w:rsidR="006B113F" w:rsidRDefault="00000000">
      <w:pPr>
        <w:widowControl w:val="0"/>
        <w:numPr>
          <w:ilvl w:val="0"/>
          <w:numId w:val="42"/>
        </w:numPr>
        <w:tabs>
          <w:tab w:val="left" w:pos="461"/>
        </w:tabs>
        <w:spacing w:line="240" w:lineRule="auto"/>
        <w:jc w:val="both"/>
        <w:rPr>
          <w:color w:val="000000"/>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Admission and Examination Committee shall be responsible for the selection and admission of all students to the degree programme in accordance with the joint procedures and criteria specified in the </w:t>
      </w:r>
      <w:r w:rsidR="00B270F7">
        <w:rPr>
          <w:rFonts w:ascii="Calibri" w:eastAsia="Calibri" w:hAnsi="Calibri" w:cs="Calibri"/>
        </w:rPr>
        <w:t>XX</w:t>
      </w:r>
      <w:r>
        <w:rPr>
          <w:rFonts w:ascii="Calibri" w:eastAsia="Calibri" w:hAnsi="Calibri" w:cs="Calibri"/>
        </w:rPr>
        <w:t xml:space="preserve"> Examination Regulations. </w:t>
      </w:r>
    </w:p>
    <w:p w14:paraId="6C09DEBD" w14:textId="77777777" w:rsidR="006B113F" w:rsidRDefault="00000000">
      <w:pPr>
        <w:widowControl w:val="0"/>
        <w:numPr>
          <w:ilvl w:val="0"/>
          <w:numId w:val="42"/>
        </w:numPr>
        <w:tabs>
          <w:tab w:val="left" w:pos="461"/>
        </w:tabs>
        <w:spacing w:line="240" w:lineRule="auto"/>
        <w:jc w:val="both"/>
        <w:rPr>
          <w:color w:val="000000"/>
        </w:rPr>
      </w:pPr>
      <w:r>
        <w:rPr>
          <w:rFonts w:ascii="Calibri" w:eastAsia="Calibri" w:hAnsi="Calibri" w:cs="Calibri"/>
        </w:rPr>
        <w:t xml:space="preserve">The selection process shall identify eligible and well-qualified candidates in five steps: </w:t>
      </w:r>
    </w:p>
    <w:p w14:paraId="51B2E65B" w14:textId="77777777" w:rsidR="006B113F" w:rsidRDefault="00000000">
      <w:pPr>
        <w:widowControl w:val="0"/>
        <w:numPr>
          <w:ilvl w:val="1"/>
          <w:numId w:val="42"/>
        </w:numPr>
        <w:tabs>
          <w:tab w:val="left" w:pos="461"/>
        </w:tabs>
        <w:spacing w:line="240" w:lineRule="auto"/>
        <w:jc w:val="both"/>
        <w:rPr>
          <w:rFonts w:ascii="Calibri" w:eastAsia="Calibri" w:hAnsi="Calibri" w:cs="Calibri"/>
        </w:rPr>
      </w:pPr>
      <w:r>
        <w:rPr>
          <w:rFonts w:ascii="Calibri" w:eastAsia="Calibri" w:hAnsi="Calibri" w:cs="Calibri"/>
        </w:rPr>
        <w:t>Collection of applications through a central gateway website</w:t>
      </w:r>
    </w:p>
    <w:p w14:paraId="573C07E6" w14:textId="77777777" w:rsidR="006B113F" w:rsidRDefault="00000000">
      <w:pPr>
        <w:widowControl w:val="0"/>
        <w:numPr>
          <w:ilvl w:val="1"/>
          <w:numId w:val="42"/>
        </w:numPr>
        <w:tabs>
          <w:tab w:val="left" w:pos="461"/>
        </w:tabs>
        <w:spacing w:line="240" w:lineRule="auto"/>
        <w:jc w:val="both"/>
        <w:rPr>
          <w:rFonts w:ascii="Calibri" w:eastAsia="Calibri" w:hAnsi="Calibri" w:cs="Calibri"/>
        </w:rPr>
      </w:pPr>
      <w:r>
        <w:rPr>
          <w:rFonts w:ascii="Calibri" w:eastAsia="Calibri" w:hAnsi="Calibri" w:cs="Calibri"/>
        </w:rPr>
        <w:t>Rejection ineligible candidates</w:t>
      </w:r>
    </w:p>
    <w:p w14:paraId="3507F067" w14:textId="77777777" w:rsidR="006B113F" w:rsidRDefault="00000000">
      <w:pPr>
        <w:widowControl w:val="0"/>
        <w:numPr>
          <w:ilvl w:val="1"/>
          <w:numId w:val="42"/>
        </w:numPr>
        <w:tabs>
          <w:tab w:val="left" w:pos="461"/>
        </w:tabs>
        <w:spacing w:line="240" w:lineRule="auto"/>
        <w:jc w:val="both"/>
        <w:rPr>
          <w:rFonts w:ascii="Calibri" w:eastAsia="Calibri" w:hAnsi="Calibri" w:cs="Calibri"/>
        </w:rPr>
      </w:pPr>
      <w:r>
        <w:rPr>
          <w:rFonts w:ascii="Calibri" w:eastAsia="Calibri" w:hAnsi="Calibri" w:cs="Calibri"/>
        </w:rPr>
        <w:t xml:space="preserve">Set-up a list with eligible candidates </w:t>
      </w:r>
    </w:p>
    <w:p w14:paraId="0C9E5DD6" w14:textId="77777777" w:rsidR="006B113F" w:rsidRDefault="00000000">
      <w:pPr>
        <w:widowControl w:val="0"/>
        <w:numPr>
          <w:ilvl w:val="1"/>
          <w:numId w:val="42"/>
        </w:numPr>
        <w:tabs>
          <w:tab w:val="left" w:pos="461"/>
        </w:tabs>
        <w:spacing w:line="240" w:lineRule="auto"/>
        <w:jc w:val="both"/>
        <w:rPr>
          <w:rFonts w:ascii="Calibri" w:eastAsia="Calibri" w:hAnsi="Calibri" w:cs="Calibri"/>
        </w:rPr>
      </w:pPr>
      <w:r>
        <w:rPr>
          <w:rFonts w:ascii="Calibri" w:eastAsia="Calibri" w:hAnsi="Calibri" w:cs="Calibri"/>
        </w:rPr>
        <w:t xml:space="preserve">Proof of eligibility for admission (according to national laws and regulations) </w:t>
      </w:r>
    </w:p>
    <w:p w14:paraId="328299FC" w14:textId="77777777" w:rsidR="006B113F" w:rsidRDefault="00000000">
      <w:pPr>
        <w:widowControl w:val="0"/>
        <w:numPr>
          <w:ilvl w:val="1"/>
          <w:numId w:val="42"/>
        </w:numPr>
        <w:tabs>
          <w:tab w:val="left" w:pos="461"/>
        </w:tabs>
        <w:spacing w:line="240" w:lineRule="auto"/>
        <w:jc w:val="both"/>
        <w:rPr>
          <w:rFonts w:ascii="Calibri" w:eastAsia="Calibri" w:hAnsi="Calibri" w:cs="Calibri"/>
        </w:rPr>
      </w:pPr>
      <w:r>
        <w:rPr>
          <w:rFonts w:ascii="Calibri" w:eastAsia="Calibri" w:hAnsi="Calibri" w:cs="Calibri"/>
        </w:rPr>
        <w:t>Finalisation selection in a joint selection meeting</w:t>
      </w:r>
    </w:p>
    <w:p w14:paraId="575A17B6" w14:textId="738BD711" w:rsidR="006B113F" w:rsidRDefault="0000000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color w:val="000000"/>
        </w:rPr>
      </w:pPr>
      <w:r>
        <w:rPr>
          <w:rFonts w:ascii="Calibri" w:eastAsia="Calibri" w:hAnsi="Calibri" w:cs="Calibri"/>
        </w:rPr>
        <w:t xml:space="preserve">Selection will rely on grades, documented prior knowledge and experience in the field, and language skills. </w:t>
      </w:r>
      <w:r w:rsidR="00B270F7">
        <w:rPr>
          <w:rFonts w:ascii="Calibri" w:eastAsia="Calibri" w:hAnsi="Calibri" w:cs="Calibri"/>
        </w:rPr>
        <w:t>XX</w:t>
      </w:r>
      <w:r>
        <w:rPr>
          <w:rFonts w:ascii="Calibri" w:eastAsia="Calibri" w:hAnsi="Calibri" w:cs="Calibri"/>
        </w:rPr>
        <w:t xml:space="preserve"> may use additional selection tools such as interviews with candidates.</w:t>
      </w:r>
    </w:p>
    <w:p w14:paraId="364C7FAD" w14:textId="38A430F5" w:rsidR="006B113F" w:rsidRDefault="0000000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Calibri" w:eastAsia="Calibri" w:hAnsi="Calibri" w:cs="Calibri"/>
        </w:rPr>
      </w:pPr>
      <w:bookmarkStart w:id="55" w:name="_3as4poj"/>
      <w:bookmarkEnd w:id="55"/>
      <w:r>
        <w:rPr>
          <w:rFonts w:ascii="Calibri" w:eastAsia="Calibri" w:hAnsi="Calibri" w:cs="Calibri"/>
        </w:rPr>
        <w:t xml:space="preserve">Applicants who are either nationals of a country which is deemed by the </w:t>
      </w:r>
      <w:r w:rsidR="00B270F7">
        <w:rPr>
          <w:rFonts w:ascii="Calibri" w:eastAsia="Calibri" w:hAnsi="Calibri" w:cs="Calibri"/>
        </w:rPr>
        <w:t>XX</w:t>
      </w:r>
      <w:r>
        <w:rPr>
          <w:rFonts w:ascii="Calibri" w:eastAsia="Calibri" w:hAnsi="Calibri" w:cs="Calibri"/>
        </w:rPr>
        <w:t xml:space="preserve"> Partner Institutions to be English-speaking, or who hold a Bachelor degree or an equivalent qualification which was taught entirely in English will normally be assumed to have met the </w:t>
      </w:r>
      <w:r w:rsidR="00B270F7">
        <w:rPr>
          <w:rFonts w:ascii="Calibri" w:eastAsia="Calibri" w:hAnsi="Calibri" w:cs="Calibri"/>
        </w:rPr>
        <w:t>XX</w:t>
      </w:r>
      <w:r>
        <w:rPr>
          <w:rFonts w:ascii="Calibri" w:eastAsia="Calibri" w:hAnsi="Calibri" w:cs="Calibri"/>
        </w:rPr>
        <w:t xml:space="preserve"> language requirements. However, in some circumstances, such applicants may be required to submit evidence of an English language qualification as well to be admitted. </w:t>
      </w:r>
    </w:p>
    <w:p w14:paraId="2FCAF288" w14:textId="77777777" w:rsidR="006B113F" w:rsidRDefault="0000000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color w:val="000000"/>
        </w:rPr>
      </w:pPr>
      <w:r>
        <w:rPr>
          <w:rFonts w:ascii="Calibri" w:eastAsia="Calibri" w:hAnsi="Calibri" w:cs="Calibri"/>
        </w:rPr>
        <w:t xml:space="preserve">All other students must provide evidence of sufficient communication skills in the teaching language (English) at least on level B2 as defined in the Common European Framework of Reference (CEFR). </w:t>
      </w:r>
    </w:p>
    <w:p w14:paraId="17C7075A" w14:textId="77777777" w:rsidR="006B113F" w:rsidRDefault="00000000">
      <w:pPr>
        <w:widowControl w:val="0"/>
        <w:numPr>
          <w:ilvl w:val="0"/>
          <w:numId w:val="42"/>
        </w:numPr>
        <w:tabs>
          <w:tab w:val="left" w:pos="461"/>
        </w:tabs>
        <w:spacing w:line="240" w:lineRule="auto"/>
        <w:jc w:val="both"/>
        <w:rPr>
          <w:color w:val="000000"/>
        </w:rPr>
      </w:pPr>
      <w:r>
        <w:rPr>
          <w:rFonts w:ascii="Calibri" w:eastAsia="Calibri" w:hAnsi="Calibri" w:cs="Calibri"/>
        </w:rPr>
        <w:t>Due consideration will be taken to national requirements for admission of students</w:t>
      </w:r>
      <w:bookmarkStart w:id="56" w:name="_Hlk114228931"/>
      <w:r>
        <w:rPr>
          <w:rFonts w:ascii="Calibri" w:eastAsia="Calibri" w:hAnsi="Calibri" w:cs="Calibri"/>
        </w:rPr>
        <w:t>. The admission process assures that all local rules and requirements for admission are met.</w:t>
      </w:r>
      <w:bookmarkEnd w:id="56"/>
      <w:r>
        <w:rPr>
          <w:rFonts w:ascii="Calibri" w:eastAsia="Calibri" w:hAnsi="Calibri" w:cs="Calibri"/>
        </w:rPr>
        <w:t xml:space="preserve"> Students who do not fulfil the national requirements of a partner cannot be accepted. No student in conflict with national legal requirements for admission at any partner institution can be admitted to the programme. </w:t>
      </w:r>
    </w:p>
    <w:p w14:paraId="4971C729" w14:textId="55392F0C" w:rsidR="006B113F" w:rsidRDefault="00000000">
      <w:pPr>
        <w:widowControl w:val="0"/>
        <w:numPr>
          <w:ilvl w:val="0"/>
          <w:numId w:val="42"/>
        </w:numPr>
        <w:tabs>
          <w:tab w:val="left" w:pos="461"/>
        </w:tabs>
        <w:spacing w:line="240" w:lineRule="auto"/>
        <w:jc w:val="both"/>
        <w:rPr>
          <w:color w:val="000000"/>
        </w:rPr>
      </w:pPr>
      <w:r>
        <w:rPr>
          <w:rFonts w:ascii="Calibri" w:eastAsia="Calibri" w:hAnsi="Calibri" w:cs="Calibri"/>
        </w:rPr>
        <w:lastRenderedPageBreak/>
        <w:t xml:space="preserve">The Partner Institutions will make every effort to aid students in obtaining any necessary visa and residence permits before their studies commence, but it is the responsibility of the students to check that the authorisations required for visa and residence permits are in order before the Partner Institution permits the student’s activities in the </w:t>
      </w:r>
      <w:r w:rsidR="00B270F7">
        <w:rPr>
          <w:rFonts w:ascii="Calibri" w:eastAsia="Calibri" w:hAnsi="Calibri" w:cs="Calibri"/>
        </w:rPr>
        <w:t>XX</w:t>
      </w:r>
      <w:r>
        <w:rPr>
          <w:rFonts w:ascii="Calibri" w:eastAsia="Calibri" w:hAnsi="Calibri" w:cs="Calibri"/>
        </w:rPr>
        <w:t xml:space="preserve"> degree programme to take place. </w:t>
      </w:r>
    </w:p>
    <w:p w14:paraId="2CF243F7" w14:textId="77777777" w:rsidR="006B113F" w:rsidRDefault="006B113F">
      <w:pPr>
        <w:widowControl w:val="0"/>
        <w:spacing w:line="240" w:lineRule="auto"/>
        <w:ind w:left="460"/>
        <w:jc w:val="both"/>
        <w:rPr>
          <w:rFonts w:ascii="Calibri" w:eastAsia="Calibri" w:hAnsi="Calibri" w:cs="Calibri"/>
          <w:sz w:val="16"/>
          <w:szCs w:val="16"/>
        </w:rPr>
      </w:pPr>
    </w:p>
    <w:p w14:paraId="65262CED" w14:textId="77777777" w:rsidR="006B113F" w:rsidRDefault="00000000">
      <w:pPr>
        <w:pStyle w:val="berschrift3"/>
        <w:keepNext w:val="0"/>
        <w:keepLines w:val="0"/>
        <w:widowControl w:val="0"/>
        <w:numPr>
          <w:ilvl w:val="2"/>
          <w:numId w:val="44"/>
        </w:numPr>
        <w:tabs>
          <w:tab w:val="left" w:pos="821"/>
        </w:tabs>
        <w:spacing w:before="0" w:after="0" w:line="240" w:lineRule="auto"/>
        <w:jc w:val="both"/>
      </w:pPr>
      <w:bookmarkStart w:id="57" w:name="_Toc141279965"/>
      <w:r>
        <w:rPr>
          <w:rFonts w:ascii="Calibri" w:eastAsia="Calibri" w:hAnsi="Calibri" w:cs="Calibri"/>
          <w:b/>
          <w:color w:val="4F81BC"/>
          <w:sz w:val="22"/>
          <w:szCs w:val="22"/>
        </w:rPr>
        <w:t>Registration and Enrolment</w:t>
      </w:r>
      <w:bookmarkEnd w:id="57"/>
    </w:p>
    <w:p w14:paraId="049663E8" w14:textId="03D4178A" w:rsidR="006B113F" w:rsidRDefault="00000000">
      <w:pPr>
        <w:widowControl w:val="0"/>
        <w:numPr>
          <w:ilvl w:val="0"/>
          <w:numId w:val="8"/>
        </w:numPr>
        <w:tabs>
          <w:tab w:val="left" w:pos="461"/>
        </w:tabs>
        <w:spacing w:line="240" w:lineRule="auto"/>
        <w:jc w:val="both"/>
        <w:rPr>
          <w:color w:val="000000"/>
        </w:rPr>
      </w:pPr>
      <w:r>
        <w:rPr>
          <w:rFonts w:ascii="Calibri" w:eastAsia="Calibri" w:hAnsi="Calibri" w:cs="Calibri"/>
        </w:rPr>
        <w:t>The Admission and Examination Committee is responsible for drawing up the list of admitted students, according to the timing agreed by the Academic Study Board, and shall inform the Partner Institutions accordingly in a timely manner.</w:t>
      </w:r>
    </w:p>
    <w:p w14:paraId="18836CA9" w14:textId="52721F5B" w:rsidR="006B113F" w:rsidRDefault="00000000">
      <w:pPr>
        <w:widowControl w:val="0"/>
        <w:numPr>
          <w:ilvl w:val="0"/>
          <w:numId w:val="8"/>
        </w:numPr>
        <w:tabs>
          <w:tab w:val="left" w:pos="461"/>
        </w:tabs>
        <w:spacing w:line="240" w:lineRule="auto"/>
        <w:ind w:left="459" w:hanging="357"/>
        <w:jc w:val="both"/>
        <w:rPr>
          <w:color w:val="000000"/>
        </w:rPr>
      </w:pPr>
      <w:r>
        <w:rPr>
          <w:rFonts w:ascii="Calibri" w:eastAsia="Calibri" w:hAnsi="Calibri" w:cs="Calibri"/>
        </w:rPr>
        <w:t xml:space="preserve">Upon enrolment in the degree programme, the accepted student and the </w:t>
      </w:r>
      <w:bookmarkStart w:id="58" w:name="_Hlk114231124"/>
      <w:bookmarkStart w:id="59" w:name="_Hlk114229116"/>
      <w:r>
        <w:rPr>
          <w:rFonts w:ascii="Calibri" w:eastAsia="Calibri" w:hAnsi="Calibri" w:cs="Calibri"/>
        </w:rPr>
        <w:t>Chairperson of the Academic Study Board</w:t>
      </w:r>
      <w:bookmarkEnd w:id="58"/>
      <w:r>
        <w:rPr>
          <w:rFonts w:ascii="Calibri" w:eastAsia="Calibri" w:hAnsi="Calibri" w:cs="Calibri"/>
        </w:rPr>
        <w:t xml:space="preserve"> </w:t>
      </w:r>
      <w:bookmarkEnd w:id="59"/>
      <w:r>
        <w:rPr>
          <w:rFonts w:ascii="Calibri" w:eastAsia="Calibri" w:hAnsi="Calibri" w:cs="Calibri"/>
        </w:rPr>
        <w:t xml:space="preserve">shall sign a Student Agreement covering the academic, financial, administrative, behavioural, and other relevant aspects related to the degree programme </w:t>
      </w:r>
      <w:commentRangeStart w:id="60"/>
      <w:r>
        <w:rPr>
          <w:rFonts w:ascii="Calibri" w:eastAsia="Calibri" w:hAnsi="Calibri" w:cs="Calibri"/>
        </w:rPr>
        <w:t>as, for the EMJM scholarship holders, the scholarship management</w:t>
      </w:r>
      <w:commentRangeEnd w:id="60"/>
      <w:r>
        <w:commentReference w:id="60"/>
      </w:r>
      <w:r>
        <w:rPr>
          <w:rFonts w:ascii="Calibri" w:eastAsia="Calibri" w:hAnsi="Calibri" w:cs="Calibri"/>
        </w:rPr>
        <w:t xml:space="preserve">. The Student Agreement shall refer to the </w:t>
      </w:r>
      <w:r w:rsidR="00B270F7">
        <w:rPr>
          <w:rFonts w:ascii="Calibri" w:eastAsia="Calibri" w:hAnsi="Calibri" w:cs="Calibri"/>
        </w:rPr>
        <w:t>XX</w:t>
      </w:r>
      <w:r>
        <w:rPr>
          <w:rFonts w:ascii="Calibri" w:eastAsia="Calibri" w:hAnsi="Calibri" w:cs="Calibri"/>
        </w:rPr>
        <w:t xml:space="preserve"> Examination Regulations and state that the students must comply with its provisions. </w:t>
      </w:r>
      <w:bookmarkStart w:id="61" w:name="_Hlk114229400"/>
      <w:r>
        <w:rPr>
          <w:rFonts w:ascii="Calibri" w:eastAsia="Calibri" w:hAnsi="Calibri" w:cs="Calibri"/>
        </w:rPr>
        <w:t>Depending on the legislation in the host countries, local provisions of the hosting universities may apply in addition.</w:t>
      </w:r>
      <w:bookmarkEnd w:id="61"/>
    </w:p>
    <w:p w14:paraId="7AD62841" w14:textId="77777777" w:rsidR="006B113F" w:rsidRDefault="00000000">
      <w:pPr>
        <w:widowControl w:val="0"/>
        <w:numPr>
          <w:ilvl w:val="0"/>
          <w:numId w:val="8"/>
        </w:numPr>
        <w:tabs>
          <w:tab w:val="left" w:pos="461"/>
        </w:tabs>
        <w:spacing w:line="240" w:lineRule="auto"/>
        <w:jc w:val="both"/>
        <w:rPr>
          <w:color w:val="000000"/>
        </w:rPr>
      </w:pPr>
      <w:r>
        <w:rPr>
          <w:rFonts w:ascii="Calibri" w:eastAsia="Calibri" w:hAnsi="Calibri" w:cs="Calibri"/>
        </w:rPr>
        <w:t>All eligible students are registered by the Coordinating University, and respectively enrolled</w:t>
      </w:r>
      <w:r>
        <w:rPr>
          <w:rFonts w:ascii="Calibri" w:eastAsia="Calibri" w:hAnsi="Calibri" w:cs="Calibri"/>
          <w:color w:val="000000" w:themeColor="text1"/>
        </w:rPr>
        <w:t xml:space="preserve"> in the partner universities, if required</w:t>
      </w:r>
      <w:r>
        <w:rPr>
          <w:rFonts w:ascii="Calibri" w:eastAsia="Calibri" w:hAnsi="Calibri" w:cs="Calibri"/>
        </w:rPr>
        <w:t>, in conformity with the local regulations of the Partner Universities and the respective national legal requirements. The Partner Universities inform students in a timely and transparent manner about all necessary actions to take.</w:t>
      </w:r>
    </w:p>
    <w:p w14:paraId="04D32FB7" w14:textId="77777777" w:rsidR="006B113F" w:rsidRDefault="006B113F">
      <w:pPr>
        <w:widowControl w:val="0"/>
        <w:spacing w:line="240" w:lineRule="auto"/>
        <w:jc w:val="both"/>
        <w:rPr>
          <w:rFonts w:ascii="Calibri" w:eastAsia="Calibri" w:hAnsi="Calibri" w:cs="Calibri"/>
        </w:rPr>
      </w:pPr>
    </w:p>
    <w:p w14:paraId="34DA3AC0" w14:textId="77777777" w:rsidR="006B113F" w:rsidRDefault="006B113F">
      <w:pPr>
        <w:widowControl w:val="0"/>
        <w:spacing w:line="240" w:lineRule="auto"/>
        <w:jc w:val="both"/>
        <w:rPr>
          <w:rFonts w:ascii="Calibri" w:eastAsia="Calibri" w:hAnsi="Calibri" w:cs="Calibri"/>
        </w:rPr>
      </w:pPr>
    </w:p>
    <w:p w14:paraId="330CA53A" w14:textId="77777777" w:rsidR="006B113F" w:rsidRDefault="00000000">
      <w:pPr>
        <w:pStyle w:val="berschrift2"/>
        <w:keepNext w:val="0"/>
        <w:keepLines w:val="0"/>
        <w:widowControl w:val="0"/>
        <w:numPr>
          <w:ilvl w:val="1"/>
          <w:numId w:val="33"/>
        </w:numPr>
        <w:tabs>
          <w:tab w:val="left" w:pos="677"/>
        </w:tabs>
        <w:spacing w:before="0" w:after="0" w:line="240" w:lineRule="auto"/>
        <w:jc w:val="both"/>
      </w:pPr>
      <w:bookmarkStart w:id="62" w:name="_Toc141279966"/>
      <w:commentRangeStart w:id="63"/>
      <w:r>
        <w:rPr>
          <w:rFonts w:ascii="Calibri" w:eastAsia="Calibri" w:hAnsi="Calibri" w:cs="Calibri"/>
          <w:b/>
          <w:color w:val="4F81BC"/>
          <w:sz w:val="26"/>
          <w:szCs w:val="26"/>
        </w:rPr>
        <w:t>EMJM Scholarship Management</w:t>
      </w:r>
      <w:bookmarkEnd w:id="62"/>
      <w:r>
        <w:rPr>
          <w:rFonts w:ascii="Calibri" w:eastAsia="Calibri" w:hAnsi="Calibri" w:cs="Calibri"/>
          <w:b/>
          <w:color w:val="4F81BC"/>
          <w:sz w:val="26"/>
          <w:szCs w:val="26"/>
        </w:rPr>
        <w:t xml:space="preserve"> </w:t>
      </w:r>
      <w:commentRangeEnd w:id="63"/>
      <w:r>
        <w:commentReference w:id="63"/>
      </w:r>
    </w:p>
    <w:p w14:paraId="292F377A" w14:textId="77777777" w:rsidR="006B113F" w:rsidRDefault="00000000">
      <w:pPr>
        <w:widowControl w:val="0"/>
        <w:numPr>
          <w:ilvl w:val="0"/>
          <w:numId w:val="16"/>
        </w:numPr>
        <w:tabs>
          <w:tab w:val="left" w:pos="461"/>
        </w:tabs>
        <w:spacing w:line="240" w:lineRule="auto"/>
        <w:jc w:val="both"/>
        <w:rPr>
          <w:color w:val="000000"/>
        </w:rPr>
      </w:pPr>
      <w:r>
        <w:rPr>
          <w:rFonts w:ascii="Calibri" w:eastAsia="Calibri" w:hAnsi="Calibri" w:cs="Calibri"/>
        </w:rPr>
        <w:t>If EMJM status is awarded to the Consortium, the Coordinating Institution shall organise, receive, and process all applications for Erasmus Mundus scholarships on behalf of the Consortium.</w:t>
      </w:r>
    </w:p>
    <w:p w14:paraId="136FFA19" w14:textId="02FDE657" w:rsidR="006B113F" w:rsidRDefault="00000000">
      <w:pPr>
        <w:widowControl w:val="0"/>
        <w:numPr>
          <w:ilvl w:val="0"/>
          <w:numId w:val="16"/>
        </w:numPr>
        <w:tabs>
          <w:tab w:val="left" w:pos="461"/>
        </w:tabs>
        <w:spacing w:line="240" w:lineRule="auto"/>
        <w:jc w:val="both"/>
        <w:rPr>
          <w:color w:val="000000"/>
        </w:rPr>
      </w:pPr>
      <w:r>
        <w:rPr>
          <w:rFonts w:ascii="Calibri" w:eastAsia="Calibri" w:hAnsi="Calibri" w:cs="Calibri"/>
        </w:rPr>
        <w:t xml:space="preserve">Applicants for EMJM scholarships, as all applicants to the </w:t>
      </w:r>
      <w:r w:rsidR="00B270F7">
        <w:rPr>
          <w:rFonts w:ascii="Calibri" w:eastAsia="Calibri" w:hAnsi="Calibri" w:cs="Calibri"/>
        </w:rPr>
        <w:t>XX</w:t>
      </w:r>
      <w:r>
        <w:rPr>
          <w:rFonts w:ascii="Calibri" w:eastAsia="Calibri" w:hAnsi="Calibri" w:cs="Calibri"/>
        </w:rPr>
        <w:t xml:space="preserve"> programme, go through a joint application and selection procedure organized by the Consortium.</w:t>
      </w:r>
    </w:p>
    <w:p w14:paraId="49DA3C17" w14:textId="77777777" w:rsidR="006B113F" w:rsidRDefault="00000000">
      <w:pPr>
        <w:widowControl w:val="0"/>
        <w:numPr>
          <w:ilvl w:val="0"/>
          <w:numId w:val="16"/>
        </w:numPr>
        <w:tabs>
          <w:tab w:val="left" w:pos="461"/>
        </w:tabs>
        <w:spacing w:line="240" w:lineRule="auto"/>
        <w:jc w:val="both"/>
        <w:rPr>
          <w:color w:val="000000"/>
        </w:rPr>
      </w:pPr>
      <w:r>
        <w:rPr>
          <w:rFonts w:ascii="Calibri" w:eastAsia="Calibri" w:hAnsi="Calibri" w:cs="Calibri"/>
        </w:rPr>
        <w:t>The general eligibility and selection criteria as well as the rules of procedure for the joint application and selection procedure for EMJM scholarship candidate shall be the same as those for candidates without an EMJM scholarship. They must be in line with the specific requirements for EMJM scholarships as specified by the Erasmus+ programme.</w:t>
      </w:r>
    </w:p>
    <w:p w14:paraId="5440223C" w14:textId="77777777" w:rsidR="006B113F" w:rsidRDefault="00000000">
      <w:pPr>
        <w:widowControl w:val="0"/>
        <w:numPr>
          <w:ilvl w:val="0"/>
          <w:numId w:val="16"/>
        </w:numPr>
        <w:tabs>
          <w:tab w:val="left" w:pos="461"/>
        </w:tabs>
        <w:spacing w:line="240" w:lineRule="auto"/>
        <w:jc w:val="both"/>
        <w:rPr>
          <w:color w:val="000000"/>
        </w:rPr>
      </w:pPr>
      <w:r>
        <w:rPr>
          <w:rFonts w:ascii="Calibri" w:eastAsia="Calibri" w:hAnsi="Calibri" w:cs="Calibri"/>
        </w:rPr>
        <w:t xml:space="preserve">The Coordinating Institution shall manage the EMJM scholarship funds and process their payments to the grantees in a timely fashion. </w:t>
      </w:r>
    </w:p>
    <w:p w14:paraId="3B6E3682" w14:textId="28D65661" w:rsidR="006B113F" w:rsidRDefault="00000000">
      <w:pPr>
        <w:widowControl w:val="0"/>
        <w:numPr>
          <w:ilvl w:val="0"/>
          <w:numId w:val="16"/>
        </w:numPr>
        <w:tabs>
          <w:tab w:val="left" w:pos="461"/>
        </w:tabs>
        <w:spacing w:line="240" w:lineRule="auto"/>
        <w:jc w:val="both"/>
        <w:rPr>
          <w:color w:val="000000"/>
        </w:rPr>
      </w:pPr>
      <w:r>
        <w:rPr>
          <w:rFonts w:ascii="Calibri" w:eastAsia="Calibri" w:hAnsi="Calibri" w:cs="Calibri"/>
        </w:rPr>
        <w:t xml:space="preserve">EMJM scholarships shall be awarded to the best applicants worldwide, based on criteria jointly defined by the consortium partners, respecting the required maximum numbers, and in agreement with the eligibility and selection criteria and procedures established by the Consortium in the </w:t>
      </w:r>
      <w:r w:rsidR="00B270F7">
        <w:rPr>
          <w:rFonts w:ascii="Calibri" w:eastAsia="Calibri" w:hAnsi="Calibri" w:cs="Calibri"/>
        </w:rPr>
        <w:t>XX</w:t>
      </w:r>
      <w:r>
        <w:rPr>
          <w:rFonts w:ascii="Calibri" w:eastAsia="Calibri" w:hAnsi="Calibri" w:cs="Calibri"/>
        </w:rPr>
        <w:t xml:space="preserve"> Examination Regulations, as well as the specific criteria and procedures stipulated by the European Commission. </w:t>
      </w:r>
    </w:p>
    <w:p w14:paraId="0E2DE37C" w14:textId="77777777" w:rsidR="006B113F" w:rsidRDefault="00000000">
      <w:pPr>
        <w:widowControl w:val="0"/>
        <w:numPr>
          <w:ilvl w:val="0"/>
          <w:numId w:val="16"/>
        </w:numPr>
        <w:tabs>
          <w:tab w:val="left" w:pos="461"/>
        </w:tabs>
        <w:spacing w:line="240" w:lineRule="auto"/>
        <w:jc w:val="both"/>
        <w:rPr>
          <w:color w:val="000000"/>
        </w:rPr>
      </w:pPr>
      <w:r>
        <w:rPr>
          <w:rFonts w:ascii="Calibri" w:eastAsia="Calibri" w:hAnsi="Calibri" w:cs="Calibri"/>
        </w:rPr>
        <w:t>The Coordinating Institution, with the full cooperation of the Partner Institutions, shall be responsible for any required reporting on the EMJM scholarships to the European Commission. The Partner Institutions shall provide, within five (5) working days of receipt of a request for assistance from the Coordinating Institution, such information in their possession as may be reasonably requested to assist the Coordinating Institution to comply with its obligations under this Partnership Agreement to the European Commission.</w:t>
      </w:r>
    </w:p>
    <w:p w14:paraId="117CBFC0" w14:textId="77777777" w:rsidR="006B113F" w:rsidRDefault="006B113F">
      <w:pPr>
        <w:widowControl w:val="0"/>
        <w:spacing w:line="240" w:lineRule="auto"/>
        <w:jc w:val="both"/>
        <w:rPr>
          <w:rFonts w:ascii="Calibri" w:eastAsia="Calibri" w:hAnsi="Calibri" w:cs="Calibri"/>
        </w:rPr>
      </w:pPr>
    </w:p>
    <w:p w14:paraId="79D4E8F6" w14:textId="77777777" w:rsidR="006B113F" w:rsidRDefault="006B113F">
      <w:pPr>
        <w:widowControl w:val="0"/>
        <w:spacing w:line="240" w:lineRule="auto"/>
        <w:jc w:val="both"/>
        <w:rPr>
          <w:rFonts w:ascii="Calibri" w:eastAsia="Calibri" w:hAnsi="Calibri" w:cs="Calibri"/>
        </w:rPr>
      </w:pPr>
    </w:p>
    <w:p w14:paraId="77FA18C1" w14:textId="77777777" w:rsidR="006B113F" w:rsidRDefault="00000000">
      <w:pPr>
        <w:rPr>
          <w:rFonts w:ascii="Calibri" w:eastAsia="Calibri" w:hAnsi="Calibri" w:cs="Calibri"/>
          <w:b/>
          <w:color w:val="4F81BC"/>
          <w:sz w:val="26"/>
          <w:szCs w:val="26"/>
        </w:rPr>
      </w:pPr>
      <w:bookmarkStart w:id="64" w:name="_Toc141279967"/>
      <w:r>
        <w:rPr>
          <w:rFonts w:ascii="Calibri" w:eastAsia="Calibri" w:hAnsi="Calibri" w:cs="Calibri"/>
          <w:b/>
          <w:color w:val="4F81BC"/>
          <w:sz w:val="26"/>
          <w:szCs w:val="26"/>
        </w:rPr>
        <w:br w:type="page" w:clear="all"/>
      </w:r>
    </w:p>
    <w:p w14:paraId="509499D3" w14:textId="77777777" w:rsidR="006B113F" w:rsidRDefault="00000000">
      <w:pPr>
        <w:pStyle w:val="berschrift2"/>
        <w:keepNext w:val="0"/>
        <w:keepLines w:val="0"/>
        <w:widowControl w:val="0"/>
        <w:numPr>
          <w:ilvl w:val="1"/>
          <w:numId w:val="33"/>
        </w:numPr>
        <w:tabs>
          <w:tab w:val="left" w:pos="677"/>
        </w:tabs>
        <w:spacing w:before="0" w:after="0" w:line="240" w:lineRule="auto"/>
        <w:jc w:val="both"/>
        <w:rPr>
          <w:rFonts w:ascii="Calibri" w:eastAsia="Calibri" w:hAnsi="Calibri" w:cs="Calibri"/>
          <w:sz w:val="16"/>
          <w:szCs w:val="16"/>
        </w:rPr>
      </w:pPr>
      <w:r>
        <w:rPr>
          <w:rFonts w:ascii="Calibri" w:eastAsia="Calibri" w:hAnsi="Calibri" w:cs="Calibri"/>
          <w:b/>
          <w:color w:val="4F81BC"/>
          <w:sz w:val="26"/>
          <w:szCs w:val="26"/>
        </w:rPr>
        <w:lastRenderedPageBreak/>
        <w:t>Performance Monitoring</w:t>
      </w:r>
      <w:bookmarkEnd w:id="64"/>
    </w:p>
    <w:p w14:paraId="6FDE1B47" w14:textId="77777777" w:rsidR="006B113F" w:rsidRDefault="00000000">
      <w:pPr>
        <w:pStyle w:val="berschrift3"/>
        <w:keepNext w:val="0"/>
        <w:keepLines w:val="0"/>
        <w:widowControl w:val="0"/>
        <w:numPr>
          <w:ilvl w:val="2"/>
          <w:numId w:val="33"/>
        </w:numPr>
        <w:tabs>
          <w:tab w:val="left" w:pos="821"/>
        </w:tabs>
        <w:spacing w:before="0" w:after="0" w:line="240" w:lineRule="auto"/>
        <w:jc w:val="both"/>
      </w:pPr>
      <w:bookmarkStart w:id="65" w:name="_Toc141279968"/>
      <w:r>
        <w:rPr>
          <w:rFonts w:ascii="Calibri" w:eastAsia="Calibri" w:hAnsi="Calibri" w:cs="Calibri"/>
          <w:b/>
          <w:color w:val="4F81BC"/>
          <w:sz w:val="22"/>
          <w:szCs w:val="22"/>
        </w:rPr>
        <w:t>Examination of Students</w:t>
      </w:r>
      <w:bookmarkEnd w:id="65"/>
    </w:p>
    <w:p w14:paraId="36C954A6" w14:textId="780CE105" w:rsidR="006B113F" w:rsidRDefault="00000000">
      <w:pPr>
        <w:widowControl w:val="0"/>
        <w:numPr>
          <w:ilvl w:val="0"/>
          <w:numId w:val="36"/>
        </w:numPr>
        <w:tabs>
          <w:tab w:val="left" w:pos="461"/>
        </w:tabs>
        <w:spacing w:line="240" w:lineRule="auto"/>
        <w:jc w:val="both"/>
        <w:rPr>
          <w:color w:val="000000"/>
        </w:rPr>
      </w:pPr>
      <w:r>
        <w:rPr>
          <w:rFonts w:ascii="Calibri" w:eastAsia="Calibri" w:hAnsi="Calibri" w:cs="Calibri"/>
        </w:rPr>
        <w:t xml:space="preserve">The joint </w:t>
      </w:r>
      <w:r w:rsidR="00B270F7">
        <w:rPr>
          <w:rFonts w:ascii="Calibri" w:eastAsia="Calibri" w:hAnsi="Calibri" w:cs="Calibri"/>
        </w:rPr>
        <w:t>XX</w:t>
      </w:r>
      <w:r>
        <w:rPr>
          <w:rFonts w:ascii="Calibri" w:eastAsia="Calibri" w:hAnsi="Calibri" w:cs="Calibri"/>
        </w:rPr>
        <w:t xml:space="preserve"> Examination Regulations, drafted in due consideration of the partner institutions’ local rules and regulations, regulate the academic progression of students on the Programme and any aspects of examination not expressly covered in the exam regulations of the Hosting University. </w:t>
      </w:r>
    </w:p>
    <w:p w14:paraId="64C146D5" w14:textId="77777777" w:rsidR="006B113F" w:rsidRDefault="00000000">
      <w:pPr>
        <w:widowControl w:val="0"/>
        <w:numPr>
          <w:ilvl w:val="0"/>
          <w:numId w:val="36"/>
        </w:numPr>
        <w:tabs>
          <w:tab w:val="left" w:pos="459"/>
        </w:tabs>
        <w:spacing w:line="240" w:lineRule="auto"/>
        <w:ind w:left="458" w:hanging="358"/>
        <w:jc w:val="both"/>
        <w:rPr>
          <w:color w:val="000000"/>
        </w:rPr>
      </w:pPr>
      <w:r>
        <w:rPr>
          <w:rFonts w:ascii="Calibri" w:eastAsia="Calibri" w:hAnsi="Calibri" w:cs="Calibri"/>
        </w:rPr>
        <w:t xml:space="preserve">Examinations and assessments shall be conducted in accordance with the policies and procedures in force at the Hosting University. </w:t>
      </w:r>
    </w:p>
    <w:p w14:paraId="65C7541C" w14:textId="77777777" w:rsidR="006B113F" w:rsidRDefault="00000000">
      <w:pPr>
        <w:widowControl w:val="0"/>
        <w:numPr>
          <w:ilvl w:val="0"/>
          <w:numId w:val="36"/>
        </w:numPr>
        <w:tabs>
          <w:tab w:val="left" w:pos="461"/>
        </w:tabs>
        <w:spacing w:line="240" w:lineRule="auto"/>
        <w:jc w:val="both"/>
        <w:rPr>
          <w:color w:val="000000"/>
        </w:rPr>
      </w:pPr>
      <w:r>
        <w:rPr>
          <w:rFonts w:ascii="Calibri" w:eastAsia="Calibri" w:hAnsi="Calibri" w:cs="Calibri"/>
        </w:rPr>
        <w:t xml:space="preserve">Examinations passed at one of the Partner Institutions as part of the degree programme are fully and automatically recognised by the other Partner Institutions of the degree programme. </w:t>
      </w:r>
    </w:p>
    <w:p w14:paraId="2AF2A43E" w14:textId="77777777" w:rsidR="006B113F" w:rsidRDefault="00000000">
      <w:pPr>
        <w:widowControl w:val="0"/>
        <w:numPr>
          <w:ilvl w:val="0"/>
          <w:numId w:val="36"/>
        </w:numPr>
        <w:tabs>
          <w:tab w:val="left" w:pos="461"/>
        </w:tabs>
        <w:spacing w:line="240" w:lineRule="auto"/>
        <w:jc w:val="both"/>
        <w:rPr>
          <w:color w:val="000000"/>
        </w:rPr>
      </w:pPr>
      <w:bookmarkStart w:id="66" w:name="_2p2csry"/>
      <w:bookmarkEnd w:id="66"/>
      <w:r>
        <w:rPr>
          <w:rFonts w:ascii="Calibri" w:eastAsia="Calibri" w:hAnsi="Calibri" w:cs="Calibri"/>
        </w:rPr>
        <w:t>In case a student fails an exam in a course or a module, he/she can re-sit it according to the regulations of the Hosting University of that semester. If a repetition of the exam(s) in question is not possible in time at the Partner Institution where that exam was taken, the student can retake it online and under supervision at the Partner University of the following semester according to the mobility plan, while grading is done by the representatives of the university where the student has failed the exam.</w:t>
      </w:r>
    </w:p>
    <w:p w14:paraId="3993B1D8" w14:textId="1970410D" w:rsidR="006B113F" w:rsidRDefault="00000000">
      <w:pPr>
        <w:widowControl w:val="0"/>
        <w:numPr>
          <w:ilvl w:val="0"/>
          <w:numId w:val="36"/>
        </w:numPr>
        <w:tabs>
          <w:tab w:val="left" w:pos="461"/>
        </w:tabs>
        <w:spacing w:line="240" w:lineRule="auto"/>
        <w:jc w:val="both"/>
        <w:rPr>
          <w:rFonts w:ascii="Calibri" w:eastAsia="Calibri" w:hAnsi="Calibri" w:cs="Calibri"/>
        </w:rPr>
      </w:pPr>
      <w:bookmarkStart w:id="67" w:name="_147n2zr"/>
      <w:bookmarkEnd w:id="67"/>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lectures are committed to do their best to make sure that students accumulate 30 ECTS credit points in each semester. </w:t>
      </w:r>
    </w:p>
    <w:p w14:paraId="721A84B5" w14:textId="77777777" w:rsidR="006B113F" w:rsidRDefault="00000000">
      <w:pPr>
        <w:widowControl w:val="0"/>
        <w:numPr>
          <w:ilvl w:val="0"/>
          <w:numId w:val="36"/>
        </w:numPr>
        <w:tabs>
          <w:tab w:val="left" w:pos="461"/>
        </w:tabs>
        <w:spacing w:line="240" w:lineRule="auto"/>
        <w:jc w:val="both"/>
        <w:rPr>
          <w:color w:val="000000"/>
        </w:rPr>
      </w:pPr>
      <w:r>
        <w:rPr>
          <w:rFonts w:ascii="Calibri" w:eastAsia="Calibri" w:hAnsi="Calibri" w:cs="Calibri"/>
        </w:rPr>
        <w:t xml:space="preserve">In case of students’ disagreement with examination results, students must follow and conclude the procedures in force at the relevant Hosting University. </w:t>
      </w:r>
    </w:p>
    <w:p w14:paraId="7E61FA67" w14:textId="77777777" w:rsidR="006B113F" w:rsidRDefault="00000000">
      <w:pPr>
        <w:widowControl w:val="0"/>
        <w:numPr>
          <w:ilvl w:val="0"/>
          <w:numId w:val="36"/>
        </w:numPr>
        <w:tabs>
          <w:tab w:val="left" w:pos="459"/>
        </w:tabs>
        <w:spacing w:line="240" w:lineRule="auto"/>
        <w:ind w:left="458" w:hanging="358"/>
        <w:jc w:val="both"/>
        <w:rPr>
          <w:color w:val="000000"/>
        </w:rPr>
      </w:pPr>
      <w:r>
        <w:rPr>
          <w:rFonts w:ascii="Calibri" w:eastAsia="Calibri" w:hAnsi="Calibri" w:cs="Calibri"/>
        </w:rPr>
        <w:t>All modules are weighted according to the ECTS and in conformity to national regulations on this. Partner Institutions accept differences in national regulations among the Partner Institutions concerning awarding ECTS credits, and they recognise the number of ECTS credits awarded by Partner Institutions for the degree programme without further conversion.</w:t>
      </w:r>
    </w:p>
    <w:p w14:paraId="0FD03BEE" w14:textId="77777777" w:rsidR="006B113F" w:rsidRDefault="00000000">
      <w:pPr>
        <w:widowControl w:val="0"/>
        <w:numPr>
          <w:ilvl w:val="0"/>
          <w:numId w:val="36"/>
        </w:numPr>
        <w:tabs>
          <w:tab w:val="left" w:pos="459"/>
        </w:tabs>
        <w:spacing w:line="240" w:lineRule="auto"/>
        <w:ind w:left="458" w:hanging="358"/>
        <w:jc w:val="both"/>
        <w:rPr>
          <w:color w:val="000000"/>
        </w:rPr>
      </w:pPr>
      <w:bookmarkStart w:id="68" w:name="_3o7alnk"/>
      <w:bookmarkEnd w:id="68"/>
      <w:r>
        <w:rPr>
          <w:rFonts w:ascii="Calibri" w:eastAsia="Calibri" w:hAnsi="Calibri" w:cs="Calibri"/>
        </w:rPr>
        <w:t xml:space="preserve">Grades obtained at each partner will be converted according to a joint conversion table established by the Consortium in conformity with the ECTS System (see annex). </w:t>
      </w:r>
    </w:p>
    <w:p w14:paraId="4297CC56" w14:textId="77777777" w:rsidR="006B113F" w:rsidRDefault="006B113F">
      <w:pPr>
        <w:widowControl w:val="0"/>
        <w:spacing w:line="240" w:lineRule="auto"/>
        <w:jc w:val="both"/>
        <w:rPr>
          <w:rFonts w:ascii="Calibri" w:eastAsia="Calibri" w:hAnsi="Calibri" w:cs="Calibri"/>
          <w:sz w:val="16"/>
          <w:szCs w:val="16"/>
        </w:rPr>
      </w:pPr>
    </w:p>
    <w:p w14:paraId="5486E5E5" w14:textId="77777777" w:rsidR="006B113F" w:rsidRDefault="00000000">
      <w:pPr>
        <w:pStyle w:val="berschrift3"/>
        <w:keepNext w:val="0"/>
        <w:keepLines w:val="0"/>
        <w:widowControl w:val="0"/>
        <w:numPr>
          <w:ilvl w:val="2"/>
          <w:numId w:val="33"/>
        </w:numPr>
        <w:tabs>
          <w:tab w:val="left" w:pos="821"/>
        </w:tabs>
        <w:spacing w:before="0" w:after="0" w:line="240" w:lineRule="auto"/>
        <w:jc w:val="both"/>
      </w:pPr>
      <w:bookmarkStart w:id="69" w:name="_Toc141279969"/>
      <w:r>
        <w:rPr>
          <w:rFonts w:ascii="Calibri" w:eastAsia="Calibri" w:hAnsi="Calibri" w:cs="Calibri"/>
          <w:b/>
          <w:color w:val="4F81BC"/>
          <w:sz w:val="22"/>
          <w:szCs w:val="22"/>
        </w:rPr>
        <w:t>Student Records, Data Security, and Personal Data Protection</w:t>
      </w:r>
      <w:bookmarkEnd w:id="69"/>
      <w:r>
        <w:rPr>
          <w:rFonts w:ascii="Calibri" w:eastAsia="Calibri" w:hAnsi="Calibri" w:cs="Calibri"/>
          <w:b/>
          <w:color w:val="4F81BC"/>
          <w:sz w:val="22"/>
          <w:szCs w:val="22"/>
        </w:rPr>
        <w:t xml:space="preserve"> </w:t>
      </w:r>
    </w:p>
    <w:p w14:paraId="562E562F" w14:textId="77777777" w:rsidR="006B113F" w:rsidRDefault="00000000">
      <w:pPr>
        <w:numPr>
          <w:ilvl w:val="0"/>
          <w:numId w:val="62"/>
        </w:numPr>
        <w:spacing w:line="240" w:lineRule="auto"/>
        <w:ind w:left="426" w:hanging="284"/>
        <w:jc w:val="both"/>
        <w:rPr>
          <w:rFonts w:asciiTheme="majorHAnsi" w:hAnsiTheme="majorHAnsi" w:cstheme="majorHAnsi"/>
          <w:lang w:val="en-GB"/>
        </w:rPr>
      </w:pPr>
      <w:r>
        <w:rPr>
          <w:rFonts w:asciiTheme="majorHAnsi" w:hAnsiTheme="majorHAnsi" w:cstheme="majorHAnsi"/>
          <w:lang w:val="en-US"/>
        </w:rPr>
        <w:t xml:space="preserve">The Partners wish to define their rights and obligations </w:t>
      </w:r>
      <w:proofErr w:type="gramStart"/>
      <w:r>
        <w:rPr>
          <w:rFonts w:asciiTheme="majorHAnsi" w:hAnsiTheme="majorHAnsi" w:cstheme="majorHAnsi"/>
          <w:lang w:val="en-US"/>
        </w:rPr>
        <w:t>with regard to</w:t>
      </w:r>
      <w:proofErr w:type="gramEnd"/>
      <w:r>
        <w:rPr>
          <w:rFonts w:asciiTheme="majorHAnsi" w:hAnsiTheme="majorHAnsi" w:cstheme="majorHAnsi"/>
          <w:lang w:val="en-US"/>
        </w:rPr>
        <w:t xml:space="preserve"> the protection of personal data as established in the European General Data Protection Regulation 2016/679 (hereinafter the “GDPR”) of 27 April 2016 on the protection of natural persons </w:t>
      </w:r>
      <w:proofErr w:type="gramStart"/>
      <w:r>
        <w:rPr>
          <w:rFonts w:asciiTheme="majorHAnsi" w:hAnsiTheme="majorHAnsi" w:cstheme="majorHAnsi"/>
          <w:lang w:val="en-US"/>
        </w:rPr>
        <w:t>with regard to</w:t>
      </w:r>
      <w:proofErr w:type="gramEnd"/>
      <w:r>
        <w:rPr>
          <w:rFonts w:asciiTheme="majorHAnsi" w:hAnsiTheme="majorHAnsi" w:cstheme="majorHAnsi"/>
          <w:lang w:val="en-US"/>
        </w:rPr>
        <w:t xml:space="preserve"> the processing of personal data and on the free movement of such data and repealing Directive 95/46/EC.</w:t>
      </w:r>
      <w:r>
        <w:rPr>
          <w:rFonts w:asciiTheme="majorHAnsi" w:hAnsiTheme="majorHAnsi" w:cstheme="majorHAnsi"/>
          <w:color w:val="000000"/>
          <w:lang w:val="en-GB"/>
        </w:rPr>
        <w:t xml:space="preserve"> </w:t>
      </w:r>
    </w:p>
    <w:p w14:paraId="4AAD3AAA" w14:textId="75A35C41" w:rsidR="006B113F" w:rsidRDefault="00000000">
      <w:pPr>
        <w:numPr>
          <w:ilvl w:val="0"/>
          <w:numId w:val="62"/>
        </w:numPr>
        <w:spacing w:line="240" w:lineRule="auto"/>
        <w:ind w:left="426" w:hanging="284"/>
        <w:jc w:val="both"/>
        <w:rPr>
          <w:rFonts w:asciiTheme="majorHAnsi" w:hAnsiTheme="majorHAnsi" w:cstheme="majorHAnsi"/>
          <w:lang w:val="en-GB"/>
        </w:rPr>
      </w:pPr>
      <w:r>
        <w:rPr>
          <w:rFonts w:asciiTheme="majorHAnsi" w:hAnsiTheme="majorHAnsi" w:cstheme="majorHAnsi"/>
          <w:color w:val="000000"/>
          <w:lang w:val="en-GB"/>
        </w:rPr>
        <w:t xml:space="preserve">As the </w:t>
      </w:r>
      <w:r w:rsidR="00B270F7">
        <w:rPr>
          <w:rFonts w:asciiTheme="majorHAnsi" w:hAnsiTheme="majorHAnsi" w:cstheme="majorHAnsi"/>
          <w:color w:val="000000"/>
          <w:lang w:val="en-GB"/>
        </w:rPr>
        <w:t>XX</w:t>
      </w:r>
      <w:r>
        <w:rPr>
          <w:rFonts w:asciiTheme="majorHAnsi" w:hAnsiTheme="majorHAnsi" w:cstheme="majorHAnsi"/>
          <w:color w:val="000000"/>
          <w:lang w:val="en-GB"/>
        </w:rPr>
        <w:t xml:space="preserve"> Consortium includes a Partner University (</w:t>
      </w:r>
      <w:r>
        <w:rPr>
          <w:rStyle w:val="docdata"/>
          <w:rFonts w:asciiTheme="majorHAnsi" w:hAnsiTheme="majorHAnsi" w:cstheme="majorHAnsi"/>
          <w:color w:val="000000"/>
        </w:rPr>
        <w:t>Koç University, KU</w:t>
      </w:r>
      <w:r>
        <w:rPr>
          <w:rFonts w:asciiTheme="majorHAnsi" w:hAnsiTheme="majorHAnsi" w:cstheme="majorHAnsi"/>
          <w:color w:val="000000"/>
          <w:lang w:val="en-GB"/>
        </w:rPr>
        <w:t>) which is not located within the EEA and acts under a different legal framework, the Partner Institutions agree to commission the Coordinating Institution (RUB) to sign the “Standard Contractual Clauses Module 1: Transfer Controller to Controller” (SCC) for the transfer of personal data to third countries pursuant to Regulation (EU) 2016/679 of the European Parliament and of the EU Council on behalf of the consortium. The SSC will be an annex to this Partnership Agreement.</w:t>
      </w:r>
    </w:p>
    <w:p w14:paraId="72B073AE" w14:textId="77777777" w:rsidR="006B113F" w:rsidRDefault="00000000">
      <w:pPr>
        <w:numPr>
          <w:ilvl w:val="0"/>
          <w:numId w:val="62"/>
        </w:numPr>
        <w:spacing w:line="240" w:lineRule="auto"/>
        <w:ind w:left="426" w:hanging="284"/>
        <w:jc w:val="both"/>
        <w:rPr>
          <w:rFonts w:asciiTheme="majorHAnsi" w:hAnsiTheme="majorHAnsi" w:cstheme="majorHAnsi"/>
          <w:lang w:val="en-GB"/>
        </w:rPr>
      </w:pPr>
      <w:r>
        <w:rPr>
          <w:rFonts w:asciiTheme="majorHAnsi" w:hAnsiTheme="majorHAnsi" w:cstheme="majorHAnsi"/>
          <w:color w:val="000000"/>
          <w:lang w:val="en-GB"/>
        </w:rPr>
        <w:t xml:space="preserve">Each Partner Institution is primarily an independent controller when </w:t>
      </w:r>
      <w:r>
        <w:rPr>
          <w:rFonts w:asciiTheme="majorHAnsi" w:hAnsiTheme="majorHAnsi" w:cstheme="majorHAnsi"/>
          <w:lang w:val="en-US"/>
        </w:rPr>
        <w:t xml:space="preserve">conducting at their own competence tasks assumed by them because of the signature of this agreement. Therefore, every Partner has a responsibility to ensure that the personal data of students that will be subject to data processing are accurate and up-to-date, and that it will be well protected. </w:t>
      </w:r>
    </w:p>
    <w:p w14:paraId="7652D7F0" w14:textId="77777777" w:rsidR="006B113F" w:rsidRDefault="00000000">
      <w:pPr>
        <w:numPr>
          <w:ilvl w:val="0"/>
          <w:numId w:val="62"/>
        </w:numPr>
        <w:spacing w:line="240" w:lineRule="auto"/>
        <w:ind w:left="426" w:hanging="284"/>
        <w:jc w:val="both"/>
        <w:rPr>
          <w:rFonts w:asciiTheme="majorHAnsi" w:hAnsiTheme="majorHAnsi" w:cstheme="majorHAnsi"/>
          <w:lang w:val="en-GB"/>
        </w:rPr>
      </w:pPr>
      <w:r>
        <w:rPr>
          <w:rFonts w:asciiTheme="majorHAnsi" w:hAnsiTheme="majorHAnsi" w:cstheme="majorHAnsi"/>
          <w:lang w:val="en-US"/>
        </w:rPr>
        <w:t xml:space="preserve">The Partners agree that they will act as joint controllers for the processing of personal data in the context of the implementation of underlying agreement. All processing activities are defined within Annex Usage of Personal Data. </w:t>
      </w:r>
    </w:p>
    <w:p w14:paraId="63330A98" w14:textId="77777777" w:rsidR="006B113F" w:rsidRDefault="00000000">
      <w:pPr>
        <w:numPr>
          <w:ilvl w:val="0"/>
          <w:numId w:val="62"/>
        </w:numPr>
        <w:spacing w:line="240" w:lineRule="auto"/>
        <w:ind w:left="426" w:hanging="284"/>
        <w:jc w:val="both"/>
        <w:rPr>
          <w:rFonts w:asciiTheme="majorHAnsi" w:hAnsiTheme="majorHAnsi" w:cstheme="majorHAnsi"/>
          <w:lang w:val="en-GB"/>
        </w:rPr>
      </w:pPr>
      <w:r>
        <w:rPr>
          <w:rFonts w:asciiTheme="majorHAnsi" w:hAnsiTheme="majorHAnsi" w:cstheme="majorHAnsi"/>
          <w:color w:val="000000"/>
          <w:lang w:val="en-GB"/>
        </w:rPr>
        <w:t xml:space="preserve">Therefor the Partners shall be responsible (joint controllership) for keeping accurate records of the students attending its courses, for providing students and partners the certification of a student’s performance on justified request, and for transferring records in a secure and timely fashion after examination or at the end of the mobility period to the central records of the Coordinating Institution, as well as to the Partner Institutions that require a full academic record of a given student to award the degree according to their legislation. </w:t>
      </w:r>
    </w:p>
    <w:p w14:paraId="382A6587" w14:textId="77777777" w:rsidR="006B113F" w:rsidRDefault="00000000">
      <w:pPr>
        <w:numPr>
          <w:ilvl w:val="0"/>
          <w:numId w:val="62"/>
        </w:numPr>
        <w:spacing w:line="240" w:lineRule="auto"/>
        <w:ind w:left="426" w:hanging="284"/>
        <w:jc w:val="both"/>
        <w:rPr>
          <w:rFonts w:asciiTheme="majorHAnsi" w:hAnsiTheme="majorHAnsi" w:cstheme="majorHAnsi"/>
          <w:lang w:val="en-GB"/>
        </w:rPr>
      </w:pPr>
      <w:r>
        <w:rPr>
          <w:rFonts w:asciiTheme="majorHAnsi" w:hAnsiTheme="majorHAnsi" w:cstheme="majorHAnsi"/>
          <w:color w:val="000000"/>
          <w:lang w:val="en-GB"/>
        </w:rPr>
        <w:lastRenderedPageBreak/>
        <w:t xml:space="preserve">Data transfer shall be supported by a virtual hub (platform). Agreed principles and processes for data sharing and security are determined, and an administrative infrastructure will be established that will support research, teaching, and transfer activities, in which good data management is the rule and is facilitated, and in which data, software codes, protocols, research material and corresponding metadata can be accessed and stored for the period appropriate to the discipline(s) and methodology concerned. </w:t>
      </w:r>
    </w:p>
    <w:p w14:paraId="4D85ACA1" w14:textId="77777777" w:rsidR="006B113F" w:rsidRDefault="00000000">
      <w:pPr>
        <w:numPr>
          <w:ilvl w:val="0"/>
          <w:numId w:val="62"/>
        </w:numPr>
        <w:spacing w:line="240" w:lineRule="auto"/>
        <w:ind w:left="426" w:hanging="284"/>
        <w:jc w:val="both"/>
        <w:rPr>
          <w:rFonts w:asciiTheme="majorHAnsi" w:hAnsiTheme="majorHAnsi" w:cstheme="majorHAnsi"/>
          <w:lang w:val="en-US"/>
        </w:rPr>
      </w:pPr>
      <w:r>
        <w:rPr>
          <w:rFonts w:asciiTheme="majorHAnsi" w:hAnsiTheme="majorHAnsi" w:cstheme="majorHAnsi"/>
          <w:lang w:val="en-US"/>
        </w:rPr>
        <w:t>When collecting personal data to be processed under the joint controllership model, t</w:t>
      </w:r>
      <w:bookmarkStart w:id="70" w:name="_Hlk63934995"/>
      <w:r>
        <w:rPr>
          <w:rFonts w:asciiTheme="majorHAnsi" w:hAnsiTheme="majorHAnsi" w:cstheme="majorHAnsi"/>
          <w:lang w:val="en-US"/>
        </w:rPr>
        <w:t xml:space="preserve">he Parties will provide the Data Subjects with the information about the co-responsibility of the other institutions and communication of data between them in relation to the personal data provided, the purpose of the treatment, its legitimating base and the possibility and channels of exercise of rights, as well as any other information set out in Article 13 and 14 of the GDPR. </w:t>
      </w:r>
    </w:p>
    <w:p w14:paraId="1C3C8C5C" w14:textId="77777777" w:rsidR="006B113F" w:rsidRDefault="00000000">
      <w:pPr>
        <w:numPr>
          <w:ilvl w:val="0"/>
          <w:numId w:val="62"/>
        </w:numPr>
        <w:spacing w:line="240" w:lineRule="auto"/>
        <w:ind w:left="426" w:hanging="284"/>
        <w:jc w:val="both"/>
        <w:rPr>
          <w:rFonts w:asciiTheme="majorHAnsi" w:hAnsiTheme="majorHAnsi" w:cstheme="majorHAnsi"/>
          <w:lang w:val="en-US"/>
        </w:rPr>
      </w:pPr>
      <w:r>
        <w:rPr>
          <w:rFonts w:asciiTheme="majorHAnsi" w:hAnsiTheme="majorHAnsi" w:cstheme="majorHAnsi"/>
          <w:lang w:val="en-US"/>
        </w:rPr>
        <w:t xml:space="preserve">The partners will guarantee that when they provide personal data to the other partners, they will do so in compliance with all the requirements of current regulations. </w:t>
      </w:r>
      <w:proofErr w:type="gramStart"/>
      <w:r>
        <w:rPr>
          <w:rFonts w:asciiTheme="majorHAnsi" w:hAnsiTheme="majorHAnsi" w:cstheme="majorHAnsi"/>
          <w:lang w:val="en-US"/>
        </w:rPr>
        <w:t>In particular, they</w:t>
      </w:r>
      <w:proofErr w:type="gramEnd"/>
      <w:r>
        <w:rPr>
          <w:rFonts w:asciiTheme="majorHAnsi" w:hAnsiTheme="majorHAnsi" w:cstheme="majorHAnsi"/>
          <w:lang w:val="en-US"/>
        </w:rPr>
        <w:t xml:space="preserve"> must ensure that they do so in accordance with the principles of lawfulness, loyalty and transparency, as well as the principle of data minimization.</w:t>
      </w:r>
    </w:p>
    <w:p w14:paraId="59E1602A" w14:textId="77777777" w:rsidR="006B113F" w:rsidRDefault="00000000">
      <w:pPr>
        <w:numPr>
          <w:ilvl w:val="0"/>
          <w:numId w:val="63"/>
        </w:numPr>
        <w:spacing w:line="240" w:lineRule="auto"/>
        <w:ind w:left="426" w:hanging="284"/>
        <w:jc w:val="both"/>
        <w:rPr>
          <w:rFonts w:asciiTheme="majorHAnsi" w:hAnsiTheme="majorHAnsi" w:cstheme="majorHAnsi"/>
          <w:lang w:val="en-US"/>
        </w:rPr>
      </w:pPr>
      <w:r>
        <w:rPr>
          <w:rFonts w:asciiTheme="majorHAnsi" w:hAnsiTheme="majorHAnsi" w:cstheme="majorHAnsi"/>
          <w:lang w:val="en-US"/>
        </w:rPr>
        <w:t xml:space="preserve">When collecting personal data to be processed under the individual controllership model, each Party will provide the Data Subjects with </w:t>
      </w:r>
      <w:proofErr w:type="gramStart"/>
      <w:r>
        <w:rPr>
          <w:rFonts w:asciiTheme="majorHAnsi" w:hAnsiTheme="majorHAnsi" w:cstheme="majorHAnsi"/>
          <w:lang w:val="en-US"/>
        </w:rPr>
        <w:t>the information</w:t>
      </w:r>
      <w:proofErr w:type="gramEnd"/>
      <w:r>
        <w:rPr>
          <w:rFonts w:asciiTheme="majorHAnsi" w:hAnsiTheme="majorHAnsi" w:cstheme="majorHAnsi"/>
          <w:lang w:val="en-US"/>
        </w:rPr>
        <w:t xml:space="preserve"> about the conditions of their personal data processing as set out in Articles 13 and 14 of the GDPR. The Partner collecting data from Data Subjects will inform them about the conditions of </w:t>
      </w:r>
      <w:proofErr w:type="gramStart"/>
      <w:r>
        <w:rPr>
          <w:rFonts w:asciiTheme="majorHAnsi" w:hAnsiTheme="majorHAnsi" w:cstheme="majorHAnsi"/>
          <w:lang w:val="en-US"/>
        </w:rPr>
        <w:t>the personal</w:t>
      </w:r>
      <w:proofErr w:type="gramEnd"/>
      <w:r>
        <w:rPr>
          <w:rFonts w:asciiTheme="majorHAnsi" w:hAnsiTheme="majorHAnsi" w:cstheme="majorHAnsi"/>
          <w:lang w:val="en-US"/>
        </w:rPr>
        <w:t xml:space="preserve"> data processing. </w:t>
      </w:r>
    </w:p>
    <w:p w14:paraId="363314AF" w14:textId="77777777" w:rsidR="006B113F" w:rsidRDefault="00000000">
      <w:pPr>
        <w:numPr>
          <w:ilvl w:val="0"/>
          <w:numId w:val="63"/>
        </w:numPr>
        <w:spacing w:line="240" w:lineRule="auto"/>
        <w:ind w:left="426" w:hanging="284"/>
        <w:jc w:val="both"/>
        <w:rPr>
          <w:rFonts w:asciiTheme="majorHAnsi" w:hAnsiTheme="majorHAnsi" w:cstheme="majorHAnsi"/>
          <w:lang w:val="en-US"/>
        </w:rPr>
      </w:pPr>
      <w:r>
        <w:rPr>
          <w:rFonts w:asciiTheme="majorHAnsi" w:hAnsiTheme="majorHAnsi" w:cstheme="majorHAnsi"/>
          <w:lang w:val="en-GB"/>
        </w:rPr>
        <w:t>Transcripts of Records shall be released in English at minimum.</w:t>
      </w:r>
      <w:bookmarkEnd w:id="70"/>
    </w:p>
    <w:p w14:paraId="60AD46DA" w14:textId="77777777" w:rsidR="006B113F" w:rsidRDefault="00000000">
      <w:pPr>
        <w:numPr>
          <w:ilvl w:val="0"/>
          <w:numId w:val="63"/>
        </w:numPr>
        <w:spacing w:line="240" w:lineRule="auto"/>
        <w:ind w:left="426" w:hanging="284"/>
        <w:jc w:val="both"/>
        <w:rPr>
          <w:rFonts w:asciiTheme="majorHAnsi" w:hAnsiTheme="majorHAnsi" w:cstheme="majorHAnsi"/>
          <w:lang w:val="en-US"/>
        </w:rPr>
      </w:pPr>
      <w:r>
        <w:rPr>
          <w:rFonts w:asciiTheme="majorHAnsi" w:hAnsiTheme="majorHAnsi" w:cstheme="majorHAnsi"/>
          <w:lang w:val="en-US"/>
        </w:rPr>
        <w:t xml:space="preserve">Each Partner Institution is required to immediately notify the Coordinating Institution of any student that terminates his or her participation in the degree </w:t>
      </w:r>
      <w:proofErr w:type="spellStart"/>
      <w:proofErr w:type="gramStart"/>
      <w:r>
        <w:rPr>
          <w:rFonts w:asciiTheme="majorHAnsi" w:hAnsiTheme="majorHAnsi" w:cstheme="majorHAnsi"/>
          <w:lang w:val="en-US"/>
        </w:rPr>
        <w:t>programme</w:t>
      </w:r>
      <w:proofErr w:type="spellEnd"/>
      <w:r>
        <w:rPr>
          <w:rFonts w:asciiTheme="majorHAnsi" w:hAnsiTheme="majorHAnsi" w:cstheme="majorHAnsi"/>
          <w:lang w:val="en-US"/>
        </w:rPr>
        <w:t xml:space="preserve"> (“dropouts”)</w:t>
      </w:r>
      <w:proofErr w:type="gramEnd"/>
      <w:r>
        <w:rPr>
          <w:rFonts w:asciiTheme="majorHAnsi" w:hAnsiTheme="majorHAnsi" w:cstheme="majorHAnsi"/>
          <w:lang w:val="en-US"/>
        </w:rPr>
        <w:t xml:space="preserve">, either upon the student’s formal notification to terminate his or her participation in the degree </w:t>
      </w:r>
      <w:proofErr w:type="spellStart"/>
      <w:r>
        <w:rPr>
          <w:rFonts w:asciiTheme="majorHAnsi" w:hAnsiTheme="majorHAnsi" w:cstheme="majorHAnsi"/>
          <w:lang w:val="en-US"/>
        </w:rPr>
        <w:t>programme</w:t>
      </w:r>
      <w:proofErr w:type="spellEnd"/>
      <w:r>
        <w:rPr>
          <w:rFonts w:asciiTheme="majorHAnsi" w:hAnsiTheme="majorHAnsi" w:cstheme="majorHAnsi"/>
          <w:lang w:val="en-US"/>
        </w:rPr>
        <w:t xml:space="preserve">, or upon, de facto, substantial continued absence from the degree </w:t>
      </w:r>
      <w:proofErr w:type="spellStart"/>
      <w:r>
        <w:rPr>
          <w:rFonts w:asciiTheme="majorHAnsi" w:hAnsiTheme="majorHAnsi" w:cstheme="majorHAnsi"/>
          <w:lang w:val="en-US"/>
        </w:rPr>
        <w:t>programme</w:t>
      </w:r>
      <w:proofErr w:type="spellEnd"/>
      <w:r>
        <w:rPr>
          <w:rFonts w:asciiTheme="majorHAnsi" w:hAnsiTheme="majorHAnsi" w:cstheme="majorHAnsi"/>
          <w:lang w:val="en-US"/>
        </w:rPr>
        <w:t xml:space="preserve">. </w:t>
      </w:r>
      <w:commentRangeStart w:id="71"/>
      <w:r>
        <w:rPr>
          <w:rFonts w:asciiTheme="majorHAnsi" w:hAnsiTheme="majorHAnsi" w:cstheme="majorHAnsi"/>
          <w:lang w:val="en-US"/>
        </w:rPr>
        <w:t xml:space="preserve">The Coordinating Institution shall duly inform the European Commission concerning any dropouts of EMJM student scholarship grantees and undertake all engagement with a dropout in relation to termination of payments. </w:t>
      </w:r>
      <w:commentRangeEnd w:id="71"/>
      <w:r>
        <w:commentReference w:id="71"/>
      </w:r>
    </w:p>
    <w:p w14:paraId="4EC40743" w14:textId="77777777" w:rsidR="006B113F" w:rsidRDefault="00000000">
      <w:pPr>
        <w:numPr>
          <w:ilvl w:val="0"/>
          <w:numId w:val="63"/>
        </w:numPr>
        <w:spacing w:line="240" w:lineRule="auto"/>
        <w:ind w:left="426" w:hanging="284"/>
        <w:jc w:val="both"/>
        <w:rPr>
          <w:rFonts w:asciiTheme="majorHAnsi" w:hAnsiTheme="majorHAnsi" w:cstheme="majorHAnsi"/>
          <w:lang w:val="en-US"/>
        </w:rPr>
      </w:pPr>
      <w:r>
        <w:rPr>
          <w:rFonts w:asciiTheme="majorHAnsi" w:hAnsiTheme="majorHAnsi" w:cstheme="majorHAnsi"/>
          <w:lang w:val="en-US"/>
        </w:rPr>
        <w:t xml:space="preserve">The General Data Protection Regulation (GDPR), under Chapter 3 (Rights of the Data Subject), gives Data Subjects the right of access, the right to rectification, the right to erasure, the right to restrict processing, the right to data portability, the right to object and the right not to be subject to a decision based solely on automated processing. </w:t>
      </w:r>
    </w:p>
    <w:p w14:paraId="515783DC" w14:textId="77777777" w:rsidR="006B113F" w:rsidRDefault="00000000">
      <w:pPr>
        <w:spacing w:line="240" w:lineRule="auto"/>
        <w:ind w:left="425"/>
        <w:jc w:val="both"/>
        <w:rPr>
          <w:rFonts w:asciiTheme="majorHAnsi" w:hAnsiTheme="majorHAnsi" w:cstheme="majorHAnsi"/>
          <w:lang w:val="en-US"/>
        </w:rPr>
      </w:pPr>
      <w:r>
        <w:rPr>
          <w:rFonts w:asciiTheme="majorHAnsi" w:hAnsiTheme="majorHAnsi" w:cstheme="majorHAnsi"/>
          <w:lang w:val="en-US"/>
        </w:rPr>
        <w:t>If a Data Subject makes any request regarding his or her personal data to a Party, the responsibility for the execution of such a request lies with the Party receiving the request. In the case that the execution of such request goes beyond the responsibilities of such a Party, the Party will contact RUB, who will respond to the request among the affected consortium Partners within reasonable time.</w:t>
      </w:r>
    </w:p>
    <w:p w14:paraId="256A65B1" w14:textId="77777777" w:rsidR="006B113F" w:rsidRDefault="00000000">
      <w:pPr>
        <w:numPr>
          <w:ilvl w:val="0"/>
          <w:numId w:val="63"/>
        </w:numPr>
        <w:spacing w:line="240" w:lineRule="auto"/>
        <w:ind w:left="426" w:hanging="284"/>
        <w:jc w:val="both"/>
        <w:rPr>
          <w:rFonts w:asciiTheme="majorHAnsi" w:hAnsiTheme="majorHAnsi" w:cstheme="majorHAnsi"/>
          <w:lang w:val="en-US"/>
        </w:rPr>
      </w:pPr>
      <w:r>
        <w:rPr>
          <w:rFonts w:asciiTheme="majorHAnsi" w:hAnsiTheme="majorHAnsi" w:cstheme="majorHAnsi"/>
          <w:lang w:val="en-US"/>
        </w:rPr>
        <w:t xml:space="preserve">The Parties shall ensure that appropriate technical and organizational measures are taken to protect the personal data against loss or any form of unlawful processing. The measures to be taken are in line with the available technology. </w:t>
      </w:r>
      <w:proofErr w:type="gramStart"/>
      <w:r>
        <w:rPr>
          <w:rFonts w:asciiTheme="majorHAnsi" w:hAnsiTheme="majorHAnsi" w:cstheme="majorHAnsi"/>
          <w:lang w:val="en-US"/>
        </w:rPr>
        <w:t>In the event that</w:t>
      </w:r>
      <w:proofErr w:type="gramEnd"/>
      <w:r>
        <w:rPr>
          <w:rFonts w:asciiTheme="majorHAnsi" w:hAnsiTheme="majorHAnsi" w:cstheme="majorHAnsi"/>
          <w:lang w:val="en-US"/>
        </w:rPr>
        <w:t xml:space="preserve"> there is an infringement </w:t>
      </w:r>
      <w:proofErr w:type="gramStart"/>
      <w:r>
        <w:rPr>
          <w:rFonts w:asciiTheme="majorHAnsi" w:hAnsiTheme="majorHAnsi" w:cstheme="majorHAnsi"/>
          <w:lang w:val="en-US"/>
        </w:rPr>
        <w:t>with regard to</w:t>
      </w:r>
      <w:proofErr w:type="gramEnd"/>
      <w:r>
        <w:rPr>
          <w:rFonts w:asciiTheme="majorHAnsi" w:hAnsiTheme="majorHAnsi" w:cstheme="majorHAnsi"/>
          <w:lang w:val="en-US"/>
        </w:rPr>
        <w:t xml:space="preserve"> personal data, the Party who committed the infringement will be responsible for the communication (if any) to the Data Subject and, if applicable, to the supervisory authority. The Party will also notify the contact person of the other Parties (cp. Annex Usage of Personal Data) in writing without unreasonable delay. The Party who committed the infringement is obliged to immediately take the appropriate measures at its own expense to stop the infringement and to limit any adverse consequences of the infringement.</w:t>
      </w:r>
    </w:p>
    <w:p w14:paraId="7DCBF7D0" w14:textId="77777777" w:rsidR="006B113F" w:rsidRDefault="006B113F">
      <w:pPr>
        <w:widowControl w:val="0"/>
        <w:tabs>
          <w:tab w:val="left" w:pos="461"/>
        </w:tabs>
        <w:spacing w:line="240" w:lineRule="auto"/>
        <w:jc w:val="both"/>
        <w:rPr>
          <w:rFonts w:asciiTheme="majorHAnsi" w:hAnsiTheme="majorHAnsi" w:cstheme="majorHAnsi"/>
          <w:color w:val="000000"/>
        </w:rPr>
      </w:pPr>
    </w:p>
    <w:p w14:paraId="14EECF77" w14:textId="6E30853C" w:rsidR="006B113F" w:rsidRDefault="00000000">
      <w:pPr>
        <w:pStyle w:val="berschrift2"/>
        <w:keepNext w:val="0"/>
        <w:keepLines w:val="0"/>
        <w:widowControl w:val="0"/>
        <w:numPr>
          <w:ilvl w:val="1"/>
          <w:numId w:val="33"/>
        </w:numPr>
        <w:tabs>
          <w:tab w:val="left" w:pos="677"/>
        </w:tabs>
        <w:spacing w:before="0" w:after="0" w:line="240" w:lineRule="auto"/>
        <w:jc w:val="both"/>
        <w:rPr>
          <w:rFonts w:ascii="Calibri" w:eastAsia="Calibri" w:hAnsi="Calibri" w:cs="Calibri"/>
          <w:b/>
          <w:bCs/>
          <w:color w:val="000000"/>
          <w:sz w:val="20"/>
          <w:szCs w:val="20"/>
          <w:highlight w:val="white"/>
        </w:rPr>
      </w:pPr>
      <w:bookmarkStart w:id="72" w:name="_Toc141279970"/>
      <w:r>
        <w:rPr>
          <w:rFonts w:ascii="Calibri" w:eastAsia="Calibri" w:hAnsi="Calibri" w:cs="Calibri"/>
          <w:b/>
          <w:bCs/>
          <w:color w:val="4F81BC"/>
          <w:sz w:val="26"/>
          <w:szCs w:val="26"/>
        </w:rPr>
        <w:t xml:space="preserve">Joint Degree Award, Diploma Supplement and Joint </w:t>
      </w:r>
      <w:r w:rsidR="00B270F7">
        <w:rPr>
          <w:rFonts w:ascii="Calibri" w:eastAsia="Calibri" w:hAnsi="Calibri" w:cs="Calibri"/>
          <w:b/>
          <w:bCs/>
          <w:color w:val="4F81BC"/>
          <w:sz w:val="26"/>
          <w:szCs w:val="26"/>
        </w:rPr>
        <w:t>XX</w:t>
      </w:r>
      <w:r>
        <w:rPr>
          <w:rFonts w:ascii="Calibri" w:eastAsia="Calibri" w:hAnsi="Calibri" w:cs="Calibri"/>
          <w:b/>
          <w:bCs/>
          <w:color w:val="4F81BC"/>
          <w:sz w:val="26"/>
          <w:szCs w:val="26"/>
        </w:rPr>
        <w:t xml:space="preserve"> Certificate</w:t>
      </w:r>
      <w:bookmarkEnd w:id="72"/>
      <w:r>
        <w:rPr>
          <w:rFonts w:ascii="Calibri" w:eastAsia="Calibri" w:hAnsi="Calibri" w:cs="Calibri"/>
          <w:b/>
          <w:color w:val="4F81BC"/>
          <w:sz w:val="22"/>
          <w:szCs w:val="22"/>
        </w:rPr>
        <w:t xml:space="preserve"> </w:t>
      </w:r>
    </w:p>
    <w:p w14:paraId="2899C719" w14:textId="77777777" w:rsidR="006B113F" w:rsidRDefault="00000000">
      <w:pPr>
        <w:widowControl w:val="0"/>
        <w:numPr>
          <w:ilvl w:val="0"/>
          <w:numId w:val="12"/>
        </w:numPr>
        <w:tabs>
          <w:tab w:val="left" w:pos="461"/>
        </w:tabs>
        <w:spacing w:line="240" w:lineRule="auto"/>
        <w:jc w:val="both"/>
        <w:rPr>
          <w:rFonts w:ascii="Calibri" w:eastAsia="Calibri" w:hAnsi="Calibri" w:cs="Calibri"/>
          <w:color w:val="000000"/>
          <w:sz w:val="16"/>
          <w:szCs w:val="16"/>
        </w:rPr>
      </w:pPr>
      <w:r>
        <w:rPr>
          <w:rFonts w:ascii="Calibri" w:eastAsia="Calibri" w:hAnsi="Calibri" w:cs="Calibri"/>
        </w:rPr>
        <w:t xml:space="preserve">The Partner Institutions agree that this Partnership Agreement in combination with their national legislation provides sufficient legal basis to start working on the fulfilment of the prerequisites for the issuing of a joint degree. </w:t>
      </w:r>
    </w:p>
    <w:p w14:paraId="2E77CCC5" w14:textId="740C47B4" w:rsidR="006B113F" w:rsidRDefault="00000000">
      <w:pPr>
        <w:widowControl w:val="0"/>
        <w:numPr>
          <w:ilvl w:val="0"/>
          <w:numId w:val="12"/>
        </w:numPr>
        <w:tabs>
          <w:tab w:val="left" w:pos="461"/>
        </w:tabs>
        <w:spacing w:line="240" w:lineRule="auto"/>
        <w:jc w:val="both"/>
        <w:rPr>
          <w:rFonts w:ascii="Calibri" w:eastAsia="Calibri" w:hAnsi="Calibri" w:cs="Calibri"/>
        </w:rPr>
      </w:pPr>
      <w:bookmarkStart w:id="73" w:name="_ihv636"/>
      <w:bookmarkEnd w:id="73"/>
      <w:r>
        <w:rPr>
          <w:rFonts w:ascii="Calibri" w:eastAsia="Calibri" w:hAnsi="Calibri" w:cs="Calibri"/>
        </w:rPr>
        <w:t xml:space="preserve">Each student who successfully completes the 120 ECTS of the degree, including the compulsory </w:t>
      </w:r>
      <w:r>
        <w:rPr>
          <w:rFonts w:ascii="Calibri" w:eastAsia="Calibri" w:hAnsi="Calibri" w:cs="Calibri"/>
        </w:rPr>
        <w:lastRenderedPageBreak/>
        <w:t xml:space="preserve">mobilities, and who has fulfilled the requirements of the applicable national legislations shall receive a joint Master of Science degree </w:t>
      </w:r>
      <w:r w:rsidR="00B270F7">
        <w:rPr>
          <w:rFonts w:ascii="Calibri" w:eastAsia="Calibri" w:hAnsi="Calibri" w:cs="Calibri"/>
        </w:rPr>
        <w:t>xxx</w:t>
      </w:r>
      <w:r>
        <w:rPr>
          <w:rFonts w:ascii="Calibri" w:eastAsia="Calibri" w:hAnsi="Calibri" w:cs="Calibri"/>
        </w:rPr>
        <w:t>, testified by a joint diploma on behalf of the eight degree awarding Partner Institutions involved in the provision of the degree programme to that particular student.</w:t>
      </w:r>
      <w:r>
        <w:t xml:space="preserve"> </w:t>
      </w:r>
      <w:r>
        <w:rPr>
          <w:rFonts w:ascii="Calibri" w:eastAsia="Calibri" w:hAnsi="Calibri" w:cs="Calibri"/>
        </w:rPr>
        <w:t xml:space="preserve">If a Partner Institution is not yet or will no longer be in the legal position to award a joint degree, it may exceptionally, and within the boundaries of its legal framework, award another document, e.g. a diploma or certificate, for the specific modules/courses taught by it, to the graduates of the programme to whom it served as a Hosting University in one or more of the </w:t>
      </w:r>
      <w:r w:rsidR="00B270F7">
        <w:rPr>
          <w:rFonts w:ascii="Calibri" w:eastAsia="Calibri" w:hAnsi="Calibri" w:cs="Calibri"/>
        </w:rPr>
        <w:t>XX</w:t>
      </w:r>
      <w:r>
        <w:rPr>
          <w:rFonts w:ascii="Calibri" w:eastAsia="Calibri" w:hAnsi="Calibri" w:cs="Calibri"/>
        </w:rPr>
        <w:t xml:space="preserve"> semesters, in addition to the joint degree of the other Partner Institutions.</w:t>
      </w:r>
    </w:p>
    <w:p w14:paraId="44F76E5E" w14:textId="77777777" w:rsidR="006B113F" w:rsidRDefault="00000000">
      <w:pPr>
        <w:widowControl w:val="0"/>
        <w:numPr>
          <w:ilvl w:val="0"/>
          <w:numId w:val="12"/>
        </w:numPr>
        <w:tabs>
          <w:tab w:val="left" w:pos="461"/>
        </w:tabs>
        <w:spacing w:line="240" w:lineRule="auto"/>
        <w:jc w:val="both"/>
        <w:rPr>
          <w:color w:val="000000"/>
        </w:rPr>
      </w:pPr>
      <w:bookmarkStart w:id="74" w:name="_32hioqz"/>
      <w:bookmarkEnd w:id="74"/>
      <w:r>
        <w:rPr>
          <w:rFonts w:ascii="Calibri" w:eastAsia="Calibri" w:hAnsi="Calibri" w:cs="Calibri"/>
        </w:rPr>
        <w:t>The award of the MSc degree is accompanied by a joint Diploma Supplement presenting the details of the student’s academic programme and academic achievement, following the template developed by the European Commission, the Council of Europe and UNESCO/CEPES, and adapted to any further specifications in national legislation where applicable.</w:t>
      </w:r>
    </w:p>
    <w:p w14:paraId="6351ECF4" w14:textId="77777777" w:rsidR="006B113F" w:rsidRDefault="00000000">
      <w:pPr>
        <w:widowControl w:val="0"/>
        <w:numPr>
          <w:ilvl w:val="0"/>
          <w:numId w:val="12"/>
        </w:numPr>
        <w:tabs>
          <w:tab w:val="left" w:pos="461"/>
        </w:tabs>
        <w:spacing w:line="240" w:lineRule="auto"/>
        <w:jc w:val="both"/>
        <w:rPr>
          <w:color w:val="000000"/>
        </w:rPr>
      </w:pPr>
      <w:r>
        <w:rPr>
          <w:rFonts w:ascii="Calibri" w:eastAsia="Calibri" w:hAnsi="Calibri" w:cs="Calibri"/>
        </w:rPr>
        <w:t>Degree parchment as well as Diploma Supplement shall be bi- or multilingual, always in English, and, if needed, in another official language used in the countries of the Partner Universities, and the language of the University of Semester 4, where the student conducts the Master thesis.</w:t>
      </w:r>
    </w:p>
    <w:p w14:paraId="58FC408E" w14:textId="77D702F6" w:rsidR="006B113F" w:rsidRDefault="00000000">
      <w:pPr>
        <w:widowControl w:val="0"/>
        <w:numPr>
          <w:ilvl w:val="0"/>
          <w:numId w:val="12"/>
        </w:numPr>
        <w:tabs>
          <w:tab w:val="left" w:pos="461"/>
        </w:tabs>
        <w:spacing w:line="240" w:lineRule="auto"/>
        <w:jc w:val="both"/>
        <w:rPr>
          <w:color w:val="000000"/>
        </w:rPr>
      </w:pPr>
      <w:commentRangeStart w:id="75"/>
      <w:r>
        <w:rPr>
          <w:rFonts w:ascii="Calibri" w:eastAsia="Calibri" w:hAnsi="Calibri" w:cs="Calibri"/>
        </w:rPr>
        <w:t xml:space="preserve">If the European Commission recognises the degree programme as an Erasmus Mundus Joint Master Degree, the degree award and the Diploma Supplement shall make explicit reference to the fact that the programme is a jointly designed EMJM Programme in </w:t>
      </w:r>
      <w:r w:rsidR="00B270F7">
        <w:rPr>
          <w:rFonts w:ascii="Calibri" w:eastAsia="Calibri" w:hAnsi="Calibri" w:cs="Calibri"/>
        </w:rPr>
        <w:t>xx</w:t>
      </w:r>
      <w:r>
        <w:rPr>
          <w:rFonts w:ascii="Calibri" w:eastAsia="Calibri" w:hAnsi="Calibri" w:cs="Calibri"/>
        </w:rPr>
        <w:t>.</w:t>
      </w:r>
      <w:commentRangeEnd w:id="75"/>
      <w:r>
        <w:commentReference w:id="75"/>
      </w:r>
    </w:p>
    <w:p w14:paraId="60B48466" w14:textId="77777777" w:rsidR="006B113F" w:rsidRDefault="00000000">
      <w:pPr>
        <w:widowControl w:val="0"/>
        <w:numPr>
          <w:ilvl w:val="0"/>
          <w:numId w:val="12"/>
        </w:numPr>
        <w:tabs>
          <w:tab w:val="left" w:pos="461"/>
        </w:tabs>
        <w:spacing w:line="240" w:lineRule="auto"/>
        <w:jc w:val="both"/>
        <w:rPr>
          <w:color w:val="000000"/>
        </w:rPr>
      </w:pPr>
      <w:r>
        <w:rPr>
          <w:rFonts w:ascii="Calibri" w:eastAsia="Calibri" w:hAnsi="Calibri" w:cs="Calibri"/>
        </w:rPr>
        <w:t>The Issuing University shall be responsible for:</w:t>
      </w:r>
    </w:p>
    <w:p w14:paraId="08481A92" w14:textId="77777777" w:rsidR="006B113F" w:rsidRDefault="00000000">
      <w:pPr>
        <w:pStyle w:val="Listenabsatz"/>
        <w:widowControl w:val="0"/>
        <w:numPr>
          <w:ilvl w:val="1"/>
          <w:numId w:val="56"/>
        </w:numPr>
        <w:tabs>
          <w:tab w:val="left" w:pos="821"/>
        </w:tabs>
        <w:spacing w:line="240" w:lineRule="auto"/>
        <w:ind w:left="850" w:hanging="283"/>
        <w:jc w:val="both"/>
      </w:pPr>
      <w:r>
        <w:rPr>
          <w:rFonts w:ascii="Calibri" w:eastAsia="Calibri" w:hAnsi="Calibri" w:cs="Calibri"/>
        </w:rPr>
        <w:t>processing and keeping the student’s records,</w:t>
      </w:r>
    </w:p>
    <w:p w14:paraId="512FFA87" w14:textId="77777777" w:rsidR="006B113F" w:rsidRDefault="00000000">
      <w:pPr>
        <w:pStyle w:val="Listenabsatz"/>
        <w:widowControl w:val="0"/>
        <w:numPr>
          <w:ilvl w:val="1"/>
          <w:numId w:val="56"/>
        </w:numPr>
        <w:tabs>
          <w:tab w:val="left" w:pos="821"/>
        </w:tabs>
        <w:spacing w:line="240" w:lineRule="auto"/>
        <w:ind w:left="850" w:hanging="283"/>
        <w:jc w:val="both"/>
      </w:pPr>
      <w:r>
        <w:rPr>
          <w:rFonts w:ascii="Calibri" w:eastAsia="Calibri" w:hAnsi="Calibri" w:cs="Calibri"/>
        </w:rPr>
        <w:t>preparing the issuing of degrees and Diploma Supplements,</w:t>
      </w:r>
    </w:p>
    <w:p w14:paraId="38AADC51" w14:textId="77777777" w:rsidR="006B113F" w:rsidRDefault="00000000">
      <w:pPr>
        <w:pStyle w:val="Listenabsatz"/>
        <w:widowControl w:val="0"/>
        <w:numPr>
          <w:ilvl w:val="1"/>
          <w:numId w:val="56"/>
        </w:numPr>
        <w:tabs>
          <w:tab w:val="left" w:pos="821"/>
        </w:tabs>
        <w:spacing w:line="240" w:lineRule="auto"/>
        <w:ind w:left="850" w:hanging="283"/>
        <w:jc w:val="both"/>
      </w:pPr>
      <w:r>
        <w:rPr>
          <w:rFonts w:ascii="Calibri" w:eastAsia="Calibri" w:hAnsi="Calibri" w:cs="Calibri"/>
        </w:rPr>
        <w:t>coordinating the award of the joint degree to the graduates,</w:t>
      </w:r>
    </w:p>
    <w:p w14:paraId="0DD2F003" w14:textId="77777777" w:rsidR="006B113F" w:rsidRDefault="00000000">
      <w:pPr>
        <w:pStyle w:val="Listenabsatz"/>
        <w:widowControl w:val="0"/>
        <w:numPr>
          <w:ilvl w:val="1"/>
          <w:numId w:val="56"/>
        </w:numPr>
        <w:tabs>
          <w:tab w:val="left" w:pos="821"/>
        </w:tabs>
        <w:spacing w:line="240" w:lineRule="auto"/>
        <w:ind w:left="850" w:hanging="283"/>
        <w:jc w:val="both"/>
      </w:pPr>
      <w:r>
        <w:rPr>
          <w:rFonts w:ascii="Calibri" w:eastAsia="Calibri" w:hAnsi="Calibri" w:cs="Calibri"/>
        </w:rPr>
        <w:t>delivering and issuing the joint degree, and the Diploma Supplement, as well as their duplicates on behalf of or in joint decision with the Partner Institutions involved in the provision of the joint degree programme to that student,</w:t>
      </w:r>
    </w:p>
    <w:p w14:paraId="704E5BBC" w14:textId="77777777" w:rsidR="006B113F" w:rsidRDefault="00000000">
      <w:pPr>
        <w:pStyle w:val="Listenabsatz"/>
        <w:widowControl w:val="0"/>
        <w:numPr>
          <w:ilvl w:val="1"/>
          <w:numId w:val="56"/>
        </w:numPr>
        <w:tabs>
          <w:tab w:val="left" w:pos="821"/>
        </w:tabs>
        <w:spacing w:line="240" w:lineRule="auto"/>
        <w:ind w:left="850" w:hanging="283"/>
        <w:jc w:val="both"/>
      </w:pPr>
      <w:r>
        <w:rPr>
          <w:rFonts w:ascii="Calibri" w:eastAsia="Calibri" w:hAnsi="Calibri" w:cs="Calibri"/>
        </w:rPr>
        <w:t xml:space="preserve">registering the official joint degree according to national law and regulations within its country. </w:t>
      </w:r>
    </w:p>
    <w:p w14:paraId="0922216E" w14:textId="77777777" w:rsidR="006B113F" w:rsidRDefault="00000000">
      <w:pPr>
        <w:widowControl w:val="0"/>
        <w:numPr>
          <w:ilvl w:val="0"/>
          <w:numId w:val="12"/>
        </w:numPr>
        <w:tabs>
          <w:tab w:val="left" w:pos="461"/>
        </w:tabs>
        <w:spacing w:line="240" w:lineRule="auto"/>
        <w:jc w:val="both"/>
        <w:rPr>
          <w:color w:val="000000"/>
        </w:rPr>
      </w:pPr>
      <w:r>
        <w:rPr>
          <w:rFonts w:ascii="Calibri" w:eastAsia="Calibri" w:hAnsi="Calibri" w:cs="Calibri"/>
        </w:rPr>
        <w:t>The Partner Institutions shall:</w:t>
      </w:r>
    </w:p>
    <w:p w14:paraId="7D691C40" w14:textId="77777777" w:rsidR="006B113F" w:rsidRDefault="00000000">
      <w:pPr>
        <w:pStyle w:val="Listenabsatz"/>
        <w:widowControl w:val="0"/>
        <w:numPr>
          <w:ilvl w:val="1"/>
          <w:numId w:val="57"/>
        </w:numPr>
        <w:tabs>
          <w:tab w:val="left" w:pos="821"/>
        </w:tabs>
        <w:spacing w:line="240" w:lineRule="auto"/>
        <w:ind w:left="850" w:hanging="283"/>
        <w:jc w:val="both"/>
      </w:pPr>
      <w:r>
        <w:rPr>
          <w:rFonts w:ascii="Calibri" w:eastAsia="Calibri" w:hAnsi="Calibri" w:cs="Calibri"/>
        </w:rPr>
        <w:t>cooperate on the award of the degrees and Diploma Supplements,</w:t>
      </w:r>
    </w:p>
    <w:p w14:paraId="446DB24B" w14:textId="77777777" w:rsidR="006B113F" w:rsidRDefault="00000000">
      <w:pPr>
        <w:pStyle w:val="Listenabsatz"/>
        <w:widowControl w:val="0"/>
        <w:numPr>
          <w:ilvl w:val="1"/>
          <w:numId w:val="57"/>
        </w:numPr>
        <w:tabs>
          <w:tab w:val="left" w:pos="821"/>
        </w:tabs>
        <w:spacing w:line="240" w:lineRule="auto"/>
        <w:ind w:left="850" w:hanging="283"/>
        <w:jc w:val="both"/>
      </w:pPr>
      <w:r>
        <w:rPr>
          <w:rFonts w:ascii="Calibri" w:eastAsia="Calibri" w:hAnsi="Calibri" w:cs="Calibri"/>
        </w:rPr>
        <w:t>be responsible for submitting all related data and signatures in due time,</w:t>
      </w:r>
    </w:p>
    <w:p w14:paraId="3F5DC894" w14:textId="77777777" w:rsidR="006B113F" w:rsidRDefault="00000000">
      <w:pPr>
        <w:pStyle w:val="Listenabsatz"/>
        <w:widowControl w:val="0"/>
        <w:numPr>
          <w:ilvl w:val="1"/>
          <w:numId w:val="57"/>
        </w:numPr>
        <w:tabs>
          <w:tab w:val="left" w:pos="821"/>
        </w:tabs>
        <w:spacing w:line="240" w:lineRule="auto"/>
        <w:ind w:left="850" w:hanging="283"/>
        <w:jc w:val="both"/>
      </w:pPr>
      <w:r>
        <w:rPr>
          <w:rFonts w:ascii="Calibri" w:eastAsia="Calibri" w:hAnsi="Calibri" w:cs="Calibri"/>
        </w:rPr>
        <w:t>confer, once the necessary foundations have been laid, the right to issue and deliver the joint degree award and the Diploma Supplement on their behalf to or in joint decision with the Issuing University,</w:t>
      </w:r>
    </w:p>
    <w:p w14:paraId="0BE4ADBC" w14:textId="77777777" w:rsidR="006B113F" w:rsidRDefault="00000000">
      <w:pPr>
        <w:pStyle w:val="Listenabsatz"/>
        <w:widowControl w:val="0"/>
        <w:numPr>
          <w:ilvl w:val="1"/>
          <w:numId w:val="57"/>
        </w:numPr>
        <w:tabs>
          <w:tab w:val="left" w:pos="821"/>
        </w:tabs>
        <w:spacing w:line="240" w:lineRule="auto"/>
        <w:ind w:left="850" w:hanging="283"/>
        <w:jc w:val="both"/>
      </w:pPr>
      <w:r>
        <w:rPr>
          <w:rFonts w:ascii="Calibri" w:eastAsia="Calibri" w:hAnsi="Calibri" w:cs="Calibri"/>
        </w:rPr>
        <w:t>be responsible, if applicable, for registering the official joint degree according to national law and custom within their countries.</w:t>
      </w:r>
    </w:p>
    <w:p w14:paraId="5EE9C236" w14:textId="77777777" w:rsidR="006B113F" w:rsidRDefault="006B113F">
      <w:pPr>
        <w:widowControl w:val="0"/>
        <w:tabs>
          <w:tab w:val="left" w:pos="461"/>
        </w:tabs>
        <w:spacing w:line="240" w:lineRule="auto"/>
        <w:ind w:left="460"/>
        <w:jc w:val="both"/>
        <w:rPr>
          <w:rFonts w:ascii="Calibri" w:eastAsia="Calibri" w:hAnsi="Calibri" w:cs="Calibri"/>
          <w:color w:val="000000"/>
        </w:rPr>
      </w:pPr>
    </w:p>
    <w:p w14:paraId="48CC854E" w14:textId="77777777" w:rsidR="006B113F" w:rsidRDefault="00000000">
      <w:pPr>
        <w:pStyle w:val="berschrift2"/>
        <w:keepNext w:val="0"/>
        <w:keepLines w:val="0"/>
        <w:widowControl w:val="0"/>
        <w:numPr>
          <w:ilvl w:val="1"/>
          <w:numId w:val="3"/>
        </w:numPr>
        <w:tabs>
          <w:tab w:val="left" w:pos="677"/>
        </w:tabs>
        <w:spacing w:before="0" w:after="0" w:line="240" w:lineRule="auto"/>
        <w:jc w:val="both"/>
      </w:pPr>
      <w:bookmarkStart w:id="76" w:name="_Toc141279971"/>
      <w:r>
        <w:rPr>
          <w:rFonts w:ascii="Calibri" w:eastAsia="Calibri" w:hAnsi="Calibri" w:cs="Calibri"/>
          <w:b/>
          <w:color w:val="4F81BC"/>
          <w:sz w:val="26"/>
          <w:szCs w:val="26"/>
        </w:rPr>
        <w:t>Services for Students</w:t>
      </w:r>
      <w:bookmarkEnd w:id="76"/>
    </w:p>
    <w:p w14:paraId="6922EC8E" w14:textId="39391A9B" w:rsidR="006B113F" w:rsidRDefault="00000000">
      <w:pPr>
        <w:widowControl w:val="0"/>
        <w:numPr>
          <w:ilvl w:val="0"/>
          <w:numId w:val="47"/>
        </w:numPr>
        <w:tabs>
          <w:tab w:val="left" w:pos="461"/>
        </w:tabs>
        <w:spacing w:line="240" w:lineRule="auto"/>
        <w:jc w:val="both"/>
        <w:rPr>
          <w:color w:val="000000"/>
        </w:rPr>
      </w:pPr>
      <w:r>
        <w:rPr>
          <w:rFonts w:ascii="Calibri" w:eastAsia="Calibri" w:hAnsi="Calibri" w:cs="Calibri"/>
        </w:rPr>
        <w:t xml:space="preserve">The Partner Institutions provide a “before, during and after supporting service structure” for </w:t>
      </w:r>
      <w:r w:rsidR="00B270F7">
        <w:rPr>
          <w:rFonts w:ascii="Calibri" w:eastAsia="Calibri" w:hAnsi="Calibri" w:cs="Calibri"/>
        </w:rPr>
        <w:t>XX</w:t>
      </w:r>
      <w:r>
        <w:rPr>
          <w:rFonts w:ascii="Calibri" w:eastAsia="Calibri" w:hAnsi="Calibri" w:cs="Calibri"/>
        </w:rPr>
        <w:t xml:space="preserve"> students. While the students are physically present and enrolled at a Partner University, this university shall be responsible for supporting student entry into the new culture and learning environment at their respective premises through induction days, counselling and other support by their faculty, Student Support Centres, and International Relations Offices.</w:t>
      </w:r>
    </w:p>
    <w:p w14:paraId="7BDA0103" w14:textId="77777777" w:rsidR="006B113F" w:rsidRDefault="00000000">
      <w:pPr>
        <w:widowControl w:val="0"/>
        <w:numPr>
          <w:ilvl w:val="0"/>
          <w:numId w:val="47"/>
        </w:numPr>
        <w:tabs>
          <w:tab w:val="left" w:pos="461"/>
        </w:tabs>
        <w:spacing w:line="240" w:lineRule="auto"/>
        <w:jc w:val="both"/>
        <w:rPr>
          <w:color w:val="000000"/>
        </w:rPr>
      </w:pPr>
      <w:r>
        <w:rPr>
          <w:rFonts w:ascii="Calibri" w:eastAsia="Calibri" w:hAnsi="Calibri" w:cs="Calibri"/>
        </w:rPr>
        <w:t>The Partner Institutions intend to support all students of the programme by means of local student assistants (buddy systems) at each Partner Institution, to facilitate administrative procedures and social integration.</w:t>
      </w:r>
    </w:p>
    <w:p w14:paraId="7565D2D6" w14:textId="77777777" w:rsidR="006B113F" w:rsidRDefault="00000000">
      <w:pPr>
        <w:widowControl w:val="0"/>
        <w:numPr>
          <w:ilvl w:val="0"/>
          <w:numId w:val="47"/>
        </w:numPr>
        <w:tabs>
          <w:tab w:val="left" w:pos="461"/>
        </w:tabs>
        <w:spacing w:line="240" w:lineRule="auto"/>
        <w:jc w:val="both"/>
        <w:rPr>
          <w:color w:val="000000"/>
        </w:rPr>
      </w:pPr>
      <w:r>
        <w:rPr>
          <w:rFonts w:ascii="Calibri" w:eastAsia="Calibri" w:hAnsi="Calibri" w:cs="Calibri"/>
        </w:rPr>
        <w:t>The Partner Institutions shall ensure that students participating in the degree programme benefit from all student services offered by the Partner Institution to its regular students enrolled in local programmes, which include</w:t>
      </w:r>
    </w:p>
    <w:p w14:paraId="5E565A98" w14:textId="77777777" w:rsidR="006B113F" w:rsidRDefault="00000000">
      <w:pPr>
        <w:pStyle w:val="Listenabsatz"/>
        <w:widowControl w:val="0"/>
        <w:numPr>
          <w:ilvl w:val="1"/>
          <w:numId w:val="58"/>
        </w:numPr>
        <w:tabs>
          <w:tab w:val="left" w:pos="461"/>
        </w:tabs>
        <w:spacing w:line="240" w:lineRule="auto"/>
        <w:ind w:left="850" w:hanging="283"/>
        <w:jc w:val="both"/>
        <w:rPr>
          <w:rFonts w:ascii="Calibri" w:eastAsia="Calibri" w:hAnsi="Calibri" w:cs="Calibri"/>
        </w:rPr>
      </w:pPr>
      <w:r>
        <w:rPr>
          <w:rFonts w:ascii="Calibri" w:eastAsia="Calibri" w:hAnsi="Calibri" w:cs="Calibri"/>
        </w:rPr>
        <w:t xml:space="preserve">access to appropriate library, ICT and learning facilities, </w:t>
      </w:r>
    </w:p>
    <w:p w14:paraId="31DE66FD" w14:textId="77777777" w:rsidR="006B113F" w:rsidRDefault="00000000">
      <w:pPr>
        <w:pStyle w:val="Listenabsatz"/>
        <w:widowControl w:val="0"/>
        <w:numPr>
          <w:ilvl w:val="1"/>
          <w:numId w:val="58"/>
        </w:numPr>
        <w:tabs>
          <w:tab w:val="left" w:pos="461"/>
        </w:tabs>
        <w:spacing w:line="240" w:lineRule="auto"/>
        <w:ind w:left="850" w:hanging="283"/>
        <w:jc w:val="both"/>
        <w:rPr>
          <w:rFonts w:ascii="Calibri" w:eastAsia="Calibri" w:hAnsi="Calibri" w:cs="Calibri"/>
        </w:rPr>
      </w:pPr>
      <w:r>
        <w:rPr>
          <w:rFonts w:ascii="Calibri" w:eastAsia="Calibri" w:hAnsi="Calibri" w:cs="Calibri"/>
        </w:rPr>
        <w:t xml:space="preserve">support for obtaining visas and residence permits, </w:t>
      </w:r>
    </w:p>
    <w:p w14:paraId="3C21D5B9" w14:textId="77777777" w:rsidR="006B113F" w:rsidRDefault="00000000">
      <w:pPr>
        <w:pStyle w:val="Listenabsatz"/>
        <w:widowControl w:val="0"/>
        <w:numPr>
          <w:ilvl w:val="1"/>
          <w:numId w:val="58"/>
        </w:numPr>
        <w:tabs>
          <w:tab w:val="left" w:pos="461"/>
        </w:tabs>
        <w:spacing w:line="240" w:lineRule="auto"/>
        <w:ind w:left="850" w:hanging="283"/>
        <w:jc w:val="both"/>
        <w:rPr>
          <w:rFonts w:ascii="Calibri" w:eastAsia="Calibri" w:hAnsi="Calibri" w:cs="Calibri"/>
        </w:rPr>
      </w:pPr>
      <w:r>
        <w:rPr>
          <w:rFonts w:ascii="Calibri" w:eastAsia="Calibri" w:hAnsi="Calibri" w:cs="Calibri"/>
        </w:rPr>
        <w:t xml:space="preserve">help in securing adequate accommodation and reservation prior to arrival, </w:t>
      </w:r>
    </w:p>
    <w:p w14:paraId="7910DD90" w14:textId="77777777" w:rsidR="006B113F" w:rsidRDefault="00000000">
      <w:pPr>
        <w:pStyle w:val="Listenabsatz"/>
        <w:widowControl w:val="0"/>
        <w:numPr>
          <w:ilvl w:val="1"/>
          <w:numId w:val="58"/>
        </w:numPr>
        <w:tabs>
          <w:tab w:val="left" w:pos="461"/>
        </w:tabs>
        <w:spacing w:line="240" w:lineRule="auto"/>
        <w:ind w:left="850" w:hanging="283"/>
        <w:jc w:val="both"/>
        <w:rPr>
          <w:rFonts w:ascii="Calibri" w:eastAsia="Calibri" w:hAnsi="Calibri" w:cs="Calibri"/>
        </w:rPr>
      </w:pPr>
      <w:r>
        <w:rPr>
          <w:rFonts w:ascii="Calibri" w:eastAsia="Calibri" w:hAnsi="Calibri" w:cs="Calibri"/>
        </w:rPr>
        <w:lastRenderedPageBreak/>
        <w:t xml:space="preserve">counselling and other related student and administrative support services, </w:t>
      </w:r>
    </w:p>
    <w:p w14:paraId="1710E8D5" w14:textId="77777777" w:rsidR="006B113F" w:rsidRDefault="00000000">
      <w:pPr>
        <w:pStyle w:val="Listenabsatz"/>
        <w:widowControl w:val="0"/>
        <w:numPr>
          <w:ilvl w:val="1"/>
          <w:numId w:val="58"/>
        </w:numPr>
        <w:tabs>
          <w:tab w:val="left" w:pos="461"/>
        </w:tabs>
        <w:spacing w:line="240" w:lineRule="auto"/>
        <w:ind w:left="850" w:hanging="283"/>
        <w:jc w:val="both"/>
        <w:rPr>
          <w:rFonts w:ascii="Calibri" w:eastAsia="Calibri" w:hAnsi="Calibri" w:cs="Calibri"/>
        </w:rPr>
      </w:pPr>
      <w:r>
        <w:rPr>
          <w:rFonts w:ascii="Calibri" w:eastAsia="Calibri" w:hAnsi="Calibri" w:cs="Calibri"/>
        </w:rPr>
        <w:t>information about and access to activities related to employment possibilities,</w:t>
      </w:r>
    </w:p>
    <w:p w14:paraId="7EC0EF3E" w14:textId="77777777" w:rsidR="006B113F" w:rsidRDefault="00000000">
      <w:pPr>
        <w:pStyle w:val="Listenabsatz"/>
        <w:widowControl w:val="0"/>
        <w:numPr>
          <w:ilvl w:val="1"/>
          <w:numId w:val="58"/>
        </w:numPr>
        <w:tabs>
          <w:tab w:val="left" w:pos="461"/>
        </w:tabs>
        <w:spacing w:line="240" w:lineRule="auto"/>
        <w:ind w:left="850" w:hanging="283"/>
        <w:jc w:val="both"/>
        <w:rPr>
          <w:rFonts w:ascii="Calibri" w:eastAsia="Calibri" w:hAnsi="Calibri" w:cs="Calibri"/>
        </w:rPr>
      </w:pPr>
      <w:r>
        <w:rPr>
          <w:rFonts w:ascii="Calibri" w:eastAsia="Calibri" w:hAnsi="Calibri" w:cs="Calibri"/>
        </w:rPr>
        <w:t xml:space="preserve">access to languague courses. </w:t>
      </w:r>
    </w:p>
    <w:p w14:paraId="4AA722BF" w14:textId="77777777" w:rsidR="006B113F" w:rsidRDefault="00000000">
      <w:pPr>
        <w:widowControl w:val="0"/>
        <w:tabs>
          <w:tab w:val="left" w:pos="461"/>
        </w:tabs>
        <w:spacing w:line="240" w:lineRule="auto"/>
        <w:ind w:left="425"/>
        <w:jc w:val="both"/>
        <w:rPr>
          <w:rFonts w:ascii="Calibri" w:eastAsia="Calibri" w:hAnsi="Calibri" w:cs="Calibri"/>
        </w:rPr>
      </w:pPr>
      <w:r>
        <w:rPr>
          <w:rFonts w:ascii="Calibri" w:eastAsia="Calibri" w:hAnsi="Calibri" w:cs="Calibri"/>
        </w:rPr>
        <w:t>For parts delivered in online mode, the rights and obligations of the Partner University that currently hosts the student, apply.</w:t>
      </w:r>
    </w:p>
    <w:p w14:paraId="08ECD1BB" w14:textId="77777777" w:rsidR="006B113F" w:rsidRDefault="00000000">
      <w:pPr>
        <w:widowControl w:val="0"/>
        <w:numPr>
          <w:ilvl w:val="0"/>
          <w:numId w:val="47"/>
        </w:numPr>
        <w:tabs>
          <w:tab w:val="left" w:pos="461"/>
        </w:tabs>
        <w:spacing w:line="240" w:lineRule="auto"/>
        <w:jc w:val="both"/>
        <w:rPr>
          <w:color w:val="000000"/>
        </w:rPr>
      </w:pPr>
      <w:r>
        <w:rPr>
          <w:rFonts w:ascii="Calibri" w:eastAsia="Calibri" w:hAnsi="Calibri" w:cs="Calibri"/>
        </w:rPr>
        <w:t xml:space="preserve">In addition to the possiblity to learn the local language on different levels on the spot, the Partner Universities developed online introductory language modules in the official language(s) of every partner university - English, Dutch, Croatian, German, Turkish, Basque, Finnish, French, Spanish, Irish -, enriched with additional information about the university, city, and academic culture. These courses target students and staff in preparation for physical mobility. </w:t>
      </w:r>
    </w:p>
    <w:p w14:paraId="0036AC55" w14:textId="77777777" w:rsidR="006B113F" w:rsidRDefault="00000000">
      <w:pPr>
        <w:widowControl w:val="0"/>
        <w:numPr>
          <w:ilvl w:val="0"/>
          <w:numId w:val="47"/>
        </w:numPr>
        <w:tabs>
          <w:tab w:val="left" w:pos="461"/>
        </w:tabs>
        <w:spacing w:line="240" w:lineRule="auto"/>
        <w:jc w:val="both"/>
        <w:rPr>
          <w:color w:val="000000"/>
        </w:rPr>
      </w:pPr>
      <w:r>
        <w:rPr>
          <w:rFonts w:ascii="Calibri" w:eastAsia="Calibri" w:hAnsi="Calibri" w:cs="Calibri"/>
        </w:rPr>
        <w:t xml:space="preserve">Each Partner Institution shall ensure that the course manuals of the modules coordinated by it are up to date and complete and that they are distributed to the students in a timely manner and accessible online. </w:t>
      </w:r>
    </w:p>
    <w:p w14:paraId="4C7DF199" w14:textId="77777777" w:rsidR="006B113F" w:rsidRDefault="00000000">
      <w:pPr>
        <w:widowControl w:val="0"/>
        <w:numPr>
          <w:ilvl w:val="0"/>
          <w:numId w:val="47"/>
        </w:numPr>
        <w:tabs>
          <w:tab w:val="left" w:pos="461"/>
        </w:tabs>
        <w:spacing w:line="240" w:lineRule="auto"/>
        <w:jc w:val="both"/>
        <w:rPr>
          <w:color w:val="000000"/>
        </w:rPr>
      </w:pPr>
      <w:r>
        <w:rPr>
          <w:rFonts w:ascii="Calibri" w:eastAsia="Calibri" w:hAnsi="Calibri" w:cs="Calibri"/>
        </w:rPr>
        <w:t>Each Partner Institution shall ensure that students receive all relevant information and instructions in a timely manner to facilitate a successful study period at the Partner Institution.</w:t>
      </w:r>
    </w:p>
    <w:p w14:paraId="16AA67AF" w14:textId="77777777" w:rsidR="006B113F" w:rsidRDefault="00000000">
      <w:pPr>
        <w:widowControl w:val="0"/>
        <w:numPr>
          <w:ilvl w:val="0"/>
          <w:numId w:val="47"/>
        </w:numPr>
        <w:tabs>
          <w:tab w:val="left" w:pos="461"/>
        </w:tabs>
        <w:spacing w:line="240" w:lineRule="auto"/>
        <w:jc w:val="both"/>
        <w:rPr>
          <w:rFonts w:ascii="Calibri" w:eastAsia="Calibri" w:hAnsi="Calibri" w:cs="Calibri"/>
        </w:rPr>
      </w:pPr>
      <w:r>
        <w:rPr>
          <w:rFonts w:ascii="Calibri" w:eastAsia="Calibri" w:hAnsi="Calibri" w:cs="Calibri"/>
          <w:color w:val="000000"/>
        </w:rPr>
        <w:t>In terms of pastoral care, there is a designated contact in the Coordinating Institution as well as clear contacts at each Partner Institution</w:t>
      </w:r>
      <w:r>
        <w:rPr>
          <w:rFonts w:ascii="Calibri" w:eastAsia="Calibri" w:hAnsi="Calibri" w:cs="Calibri"/>
        </w:rPr>
        <w:t>.</w:t>
      </w:r>
    </w:p>
    <w:p w14:paraId="2258520F" w14:textId="4DD1359D" w:rsidR="006B113F" w:rsidRDefault="00000000">
      <w:pPr>
        <w:widowControl w:val="0"/>
        <w:numPr>
          <w:ilvl w:val="0"/>
          <w:numId w:val="47"/>
        </w:numPr>
        <w:tabs>
          <w:tab w:val="left" w:pos="461"/>
        </w:tabs>
        <w:spacing w:line="240" w:lineRule="auto"/>
        <w:jc w:val="both"/>
        <w:rPr>
          <w:color w:val="000000"/>
        </w:rPr>
      </w:pPr>
      <w:r>
        <w:rPr>
          <w:rFonts w:ascii="Calibri" w:eastAsia="Calibri" w:hAnsi="Calibri" w:cs="Calibri"/>
        </w:rPr>
        <w:t xml:space="preserve">The comprehensive </w:t>
      </w:r>
      <w:r w:rsidR="00B270F7">
        <w:rPr>
          <w:rFonts w:ascii="Calibri" w:eastAsia="Calibri" w:hAnsi="Calibri" w:cs="Calibri"/>
        </w:rPr>
        <w:t>XX</w:t>
      </w:r>
      <w:r>
        <w:rPr>
          <w:rFonts w:ascii="Calibri" w:eastAsia="Calibri" w:hAnsi="Calibri" w:cs="Calibri"/>
        </w:rPr>
        <w:t xml:space="preserve"> Student Handbook for the degree programme will provide further information on such services and applicable conditions and be constantly updated.</w:t>
      </w:r>
    </w:p>
    <w:p w14:paraId="3150C6BE" w14:textId="77777777" w:rsidR="006B113F" w:rsidRDefault="006B113F">
      <w:pPr>
        <w:widowControl w:val="0"/>
        <w:spacing w:line="240" w:lineRule="auto"/>
        <w:jc w:val="both"/>
        <w:rPr>
          <w:rFonts w:ascii="Calibri" w:eastAsia="Calibri" w:hAnsi="Calibri" w:cs="Calibri"/>
        </w:rPr>
      </w:pPr>
    </w:p>
    <w:p w14:paraId="02E530D5" w14:textId="77777777" w:rsidR="006B113F" w:rsidRDefault="00000000">
      <w:pPr>
        <w:pStyle w:val="berschrift2"/>
        <w:keepNext w:val="0"/>
        <w:keepLines w:val="0"/>
        <w:widowControl w:val="0"/>
        <w:numPr>
          <w:ilvl w:val="1"/>
          <w:numId w:val="3"/>
        </w:numPr>
        <w:tabs>
          <w:tab w:val="left" w:pos="677"/>
        </w:tabs>
        <w:spacing w:before="0" w:after="0" w:line="240" w:lineRule="auto"/>
        <w:jc w:val="both"/>
      </w:pPr>
      <w:bookmarkStart w:id="77" w:name="_Toc141279972"/>
      <w:r>
        <w:rPr>
          <w:rFonts w:ascii="Calibri" w:eastAsia="Calibri" w:hAnsi="Calibri" w:cs="Calibri"/>
          <w:b/>
          <w:color w:val="4F81BC"/>
          <w:sz w:val="26"/>
          <w:szCs w:val="26"/>
        </w:rPr>
        <w:t>Students’ Rights and Responsibilities</w:t>
      </w:r>
      <w:bookmarkEnd w:id="77"/>
    </w:p>
    <w:p w14:paraId="2D8F0BA2" w14:textId="454DB141" w:rsidR="006B113F" w:rsidRDefault="00000000">
      <w:pPr>
        <w:widowControl w:val="0"/>
        <w:numPr>
          <w:ilvl w:val="0"/>
          <w:numId w:val="18"/>
        </w:numPr>
        <w:tabs>
          <w:tab w:val="left" w:pos="461"/>
        </w:tabs>
        <w:spacing w:line="240" w:lineRule="auto"/>
        <w:jc w:val="both"/>
        <w:rPr>
          <w:color w:val="000000"/>
        </w:rPr>
      </w:pPr>
      <w:r>
        <w:rPr>
          <w:rFonts w:ascii="Calibri" w:eastAsia="Calibri" w:hAnsi="Calibri" w:cs="Calibri"/>
        </w:rPr>
        <w:t xml:space="preserve">Each student shall be provided with a general </w:t>
      </w:r>
      <w:r w:rsidR="00B270F7">
        <w:rPr>
          <w:rFonts w:ascii="Calibri" w:eastAsia="Calibri" w:hAnsi="Calibri" w:cs="Calibri"/>
        </w:rPr>
        <w:t>XX</w:t>
      </w:r>
      <w:r>
        <w:rPr>
          <w:rFonts w:ascii="Calibri" w:eastAsia="Calibri" w:hAnsi="Calibri" w:cs="Calibri"/>
        </w:rPr>
        <w:t xml:space="preserve"> Student Agreement, signed by the student and the Chairperson of the Academic Study Board on behalf of the</w:t>
      </w:r>
      <w:r>
        <w:rPr>
          <w:rFonts w:asciiTheme="minorHAnsi" w:eastAsiaTheme="minorEastAsia" w:hAnsiTheme="minorHAnsi" w:cstheme="minorHAnsi"/>
          <w:spacing w:val="-1"/>
        </w:rPr>
        <w:t xml:space="preserve"> </w:t>
      </w:r>
      <w:r>
        <w:rPr>
          <w:rFonts w:ascii="Calibri" w:eastAsia="Calibri" w:hAnsi="Calibri" w:cs="Calibri"/>
        </w:rPr>
        <w:t xml:space="preserve">Consortium, which shall list the rights and responsibilities of students with respect to the academic component of the joint degree programme, as well as any administrative requirements and services available. The </w:t>
      </w:r>
      <w:r w:rsidR="00B270F7">
        <w:rPr>
          <w:rFonts w:ascii="Calibri" w:eastAsia="Calibri" w:hAnsi="Calibri" w:cs="Calibri"/>
        </w:rPr>
        <w:t>XX</w:t>
      </w:r>
      <w:r>
        <w:rPr>
          <w:rFonts w:ascii="Calibri" w:eastAsia="Calibri" w:hAnsi="Calibri" w:cs="Calibri"/>
        </w:rPr>
        <w:t xml:space="preserve"> Student Agreement shall provide that students abide by the student discipline rules and exam regulations of the Host University and abide by the rules and regulations of the Coordinating University in relation to academic progression on the Programme. </w:t>
      </w:r>
    </w:p>
    <w:p w14:paraId="63BE1ECB" w14:textId="2047B4E0" w:rsidR="006B113F" w:rsidRDefault="00000000">
      <w:pPr>
        <w:widowControl w:val="0"/>
        <w:numPr>
          <w:ilvl w:val="0"/>
          <w:numId w:val="18"/>
        </w:numPr>
        <w:tabs>
          <w:tab w:val="left" w:pos="461"/>
        </w:tabs>
        <w:spacing w:line="240" w:lineRule="auto"/>
        <w:jc w:val="both"/>
        <w:rPr>
          <w:color w:val="000000"/>
        </w:rPr>
      </w:pPr>
      <w:commentRangeStart w:id="78"/>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Student Agreement also regulates students’ rights and obligations concerning possible EMJM grants in an EMJM Scholarship Annex to the Student Agreement.</w:t>
      </w:r>
      <w:commentRangeEnd w:id="78"/>
      <w:r>
        <w:commentReference w:id="78"/>
      </w:r>
    </w:p>
    <w:p w14:paraId="75B59D74" w14:textId="7215AD62" w:rsidR="006B113F" w:rsidRDefault="00000000">
      <w:pPr>
        <w:widowControl w:val="0"/>
        <w:numPr>
          <w:ilvl w:val="0"/>
          <w:numId w:val="18"/>
        </w:numPr>
        <w:tabs>
          <w:tab w:val="left" w:pos="461"/>
        </w:tabs>
        <w:spacing w:line="240" w:lineRule="auto"/>
        <w:jc w:val="both"/>
        <w:rPr>
          <w:color w:val="000000"/>
        </w:rPr>
      </w:pPr>
      <w:r>
        <w:rPr>
          <w:rFonts w:ascii="Calibri" w:eastAsia="Calibri" w:hAnsi="Calibri" w:cs="Calibri"/>
        </w:rPr>
        <w:t xml:space="preserve">Without prejudice to the Partnership Agreement, the Student Agreement, and the </w:t>
      </w:r>
      <w:r w:rsidR="00B270F7">
        <w:rPr>
          <w:rFonts w:ascii="Calibri" w:eastAsia="Calibri" w:hAnsi="Calibri" w:cs="Calibri"/>
        </w:rPr>
        <w:t>XX</w:t>
      </w:r>
      <w:r>
        <w:rPr>
          <w:rFonts w:ascii="Calibri" w:eastAsia="Calibri" w:hAnsi="Calibri" w:cs="Calibri"/>
        </w:rPr>
        <w:t xml:space="preserve"> Examination Regulations, students shall be entitled to the same rights and privileges and subject to the same duties and responsibilities expressed in the Partner Institution’s regulations, procedures, and customs (including any disciplinary regulations) for elements of the degree programme delivered by a given Partner Institution. It is recognised that variations in the general regulations of Partner Institutions are acceptable.</w:t>
      </w:r>
    </w:p>
    <w:p w14:paraId="53665C0F" w14:textId="77777777" w:rsidR="006B113F" w:rsidRDefault="00000000">
      <w:pPr>
        <w:widowControl w:val="0"/>
        <w:numPr>
          <w:ilvl w:val="0"/>
          <w:numId w:val="18"/>
        </w:numPr>
        <w:tabs>
          <w:tab w:val="left" w:pos="461"/>
        </w:tabs>
        <w:spacing w:line="240" w:lineRule="auto"/>
        <w:jc w:val="both"/>
        <w:rPr>
          <w:rFonts w:ascii="Calibri" w:eastAsia="Calibri" w:hAnsi="Calibri" w:cs="Calibri"/>
        </w:rPr>
      </w:pPr>
      <w:r>
        <w:rPr>
          <w:rFonts w:ascii="Calibri" w:eastAsia="Calibri" w:hAnsi="Calibri" w:cs="Calibri"/>
        </w:rPr>
        <w:t xml:space="preserve">While attending a Hosting University, the policies of the Hosting University for the resolution of complaints relating to the staff of the Host University and the content of the modules taught at the Host University shall be managed in accordance with the complaint procedure of the Host University. All other complaints shall be addressed to the Coordinating University. </w:t>
      </w:r>
    </w:p>
    <w:p w14:paraId="18E67B1A" w14:textId="77777777" w:rsidR="006B113F" w:rsidRDefault="00000000">
      <w:pPr>
        <w:widowControl w:val="0"/>
        <w:numPr>
          <w:ilvl w:val="0"/>
          <w:numId w:val="18"/>
        </w:numPr>
        <w:tabs>
          <w:tab w:val="left" w:pos="461"/>
        </w:tabs>
        <w:spacing w:line="240" w:lineRule="auto"/>
        <w:jc w:val="both"/>
        <w:rPr>
          <w:color w:val="000000"/>
        </w:rPr>
      </w:pPr>
      <w:r>
        <w:rPr>
          <w:rFonts w:ascii="Calibri" w:eastAsia="Calibri" w:hAnsi="Calibri" w:cs="Calibri"/>
          <w:color w:val="000000"/>
        </w:rPr>
        <w:t>Issues that cross several institutions are managed via the rules and regulations of the Coordinating Institution. When in doubt, the Coordinating Institution’s rules and processes apply.</w:t>
      </w:r>
    </w:p>
    <w:p w14:paraId="5D0D4B24" w14:textId="77777777" w:rsidR="006B113F" w:rsidRDefault="00000000">
      <w:pPr>
        <w:widowControl w:val="0"/>
        <w:numPr>
          <w:ilvl w:val="0"/>
          <w:numId w:val="18"/>
        </w:numPr>
        <w:tabs>
          <w:tab w:val="left" w:pos="461"/>
        </w:tabs>
        <w:spacing w:line="240" w:lineRule="auto"/>
        <w:jc w:val="both"/>
        <w:rPr>
          <w:color w:val="000000"/>
        </w:rPr>
      </w:pPr>
      <w:r>
        <w:rPr>
          <w:rFonts w:ascii="Calibri" w:eastAsia="Calibri" w:hAnsi="Calibri" w:cs="Calibri"/>
        </w:rPr>
        <w:t>The costs for travel, room and board are the responsibility of each student and shall be paid from the student’s own funds.</w:t>
      </w:r>
    </w:p>
    <w:p w14:paraId="620894D8" w14:textId="77777777" w:rsidR="006B113F" w:rsidRDefault="00000000">
      <w:pPr>
        <w:widowControl w:val="0"/>
        <w:numPr>
          <w:ilvl w:val="0"/>
          <w:numId w:val="18"/>
        </w:numPr>
        <w:tabs>
          <w:tab w:val="left" w:pos="461"/>
        </w:tabs>
        <w:spacing w:line="240" w:lineRule="auto"/>
        <w:jc w:val="both"/>
        <w:rPr>
          <w:color w:val="000000"/>
        </w:rPr>
      </w:pPr>
      <w:r>
        <w:rPr>
          <w:rFonts w:ascii="Calibri" w:eastAsia="Calibri" w:hAnsi="Calibri" w:cs="Calibri"/>
        </w:rPr>
        <w:t xml:space="preserve">The Partner Universities take care to ensure that students have a balanced workload in each semester. </w:t>
      </w:r>
    </w:p>
    <w:p w14:paraId="7E430A77" w14:textId="77777777" w:rsidR="006B113F" w:rsidRDefault="00000000">
      <w:pPr>
        <w:widowControl w:val="0"/>
        <w:numPr>
          <w:ilvl w:val="0"/>
          <w:numId w:val="18"/>
        </w:numPr>
        <w:tabs>
          <w:tab w:val="left" w:pos="461"/>
        </w:tabs>
        <w:spacing w:line="240" w:lineRule="auto"/>
        <w:jc w:val="both"/>
        <w:rPr>
          <w:color w:val="000000"/>
        </w:rPr>
      </w:pPr>
      <w:r>
        <w:rPr>
          <w:rFonts w:ascii="Calibri" w:eastAsia="Calibri" w:hAnsi="Calibri" w:cs="Calibri"/>
        </w:rPr>
        <w:t xml:space="preserve">Students are granted the right to deferral in cases such as long-term illness, parental leave, or other similar justified cause. </w:t>
      </w:r>
      <w:commentRangeStart w:id="79"/>
      <w:r>
        <w:rPr>
          <w:rFonts w:ascii="Calibri" w:eastAsia="Calibri" w:hAnsi="Calibri" w:cs="Calibri"/>
        </w:rPr>
        <w:t xml:space="preserve">In case of EMJM status, EMJM scholarship payment will be suspended in cases of deferral, and </w:t>
      </w:r>
      <w:commentRangeEnd w:id="79"/>
      <w:r>
        <w:commentReference w:id="79"/>
      </w:r>
      <w:commentRangeStart w:id="80"/>
      <w:r>
        <w:rPr>
          <w:rFonts w:ascii="Calibri" w:eastAsia="Calibri" w:hAnsi="Calibri" w:cs="Calibri"/>
        </w:rPr>
        <w:t>deferral is only possible for a maximum of 12 months</w:t>
      </w:r>
      <w:commentRangeEnd w:id="80"/>
      <w:r>
        <w:commentReference w:id="80"/>
      </w:r>
      <w:r>
        <w:rPr>
          <w:rFonts w:ascii="Calibri" w:eastAsia="Calibri" w:hAnsi="Calibri" w:cs="Calibri"/>
        </w:rPr>
        <w:t>.</w:t>
      </w:r>
    </w:p>
    <w:p w14:paraId="3B10F76A" w14:textId="36681ECB" w:rsidR="006B113F" w:rsidRDefault="00000000">
      <w:pPr>
        <w:widowControl w:val="0"/>
        <w:numPr>
          <w:ilvl w:val="0"/>
          <w:numId w:val="18"/>
        </w:numPr>
        <w:tabs>
          <w:tab w:val="left" w:pos="461"/>
        </w:tabs>
        <w:spacing w:line="240" w:lineRule="auto"/>
        <w:jc w:val="both"/>
        <w:rPr>
          <w:rFonts w:ascii="Calibri" w:eastAsia="Calibri" w:hAnsi="Calibri" w:cs="Calibri"/>
        </w:rPr>
      </w:pPr>
      <w:r>
        <w:rPr>
          <w:rFonts w:ascii="Calibri" w:eastAsia="Calibri" w:hAnsi="Calibri" w:cs="Calibri"/>
        </w:rPr>
        <w:t xml:space="preserve">All </w:t>
      </w:r>
      <w:r w:rsidR="00B270F7">
        <w:rPr>
          <w:rFonts w:ascii="Calibri" w:eastAsia="Calibri" w:hAnsi="Calibri" w:cs="Calibri"/>
        </w:rPr>
        <w:t>XX</w:t>
      </w:r>
      <w:r>
        <w:rPr>
          <w:rFonts w:ascii="Calibri" w:eastAsia="Calibri" w:hAnsi="Calibri" w:cs="Calibri"/>
        </w:rPr>
        <w:t xml:space="preserve"> Partner Universities provide appropriate services to students with special needs and guarantee opportunities to take examination with the assistance or extra provisions that </w:t>
      </w:r>
      <w:r>
        <w:rPr>
          <w:rFonts w:ascii="Calibri" w:eastAsia="Calibri" w:hAnsi="Calibri" w:cs="Calibri"/>
        </w:rPr>
        <w:lastRenderedPageBreak/>
        <w:t>compensate for particular handicaps, following the regulations of each university.</w:t>
      </w:r>
    </w:p>
    <w:p w14:paraId="14F05EB3" w14:textId="5A1F37C8" w:rsidR="006B113F" w:rsidRDefault="00000000">
      <w:pPr>
        <w:widowControl w:val="0"/>
        <w:numPr>
          <w:ilvl w:val="0"/>
          <w:numId w:val="18"/>
        </w:numPr>
        <w:tabs>
          <w:tab w:val="left" w:pos="461"/>
        </w:tabs>
        <w:spacing w:line="240" w:lineRule="auto"/>
        <w:jc w:val="both"/>
        <w:rPr>
          <w:color w:val="000000"/>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website will inform students about childcare facilities at each Partner University / in each city.</w:t>
      </w:r>
    </w:p>
    <w:p w14:paraId="646DAD8D" w14:textId="2C3F2F94" w:rsidR="006B113F" w:rsidRDefault="00000000">
      <w:pPr>
        <w:widowControl w:val="0"/>
        <w:numPr>
          <w:ilvl w:val="0"/>
          <w:numId w:val="18"/>
        </w:numPr>
        <w:tabs>
          <w:tab w:val="left" w:pos="461"/>
        </w:tabs>
        <w:spacing w:line="240" w:lineRule="auto"/>
        <w:jc w:val="both"/>
        <w:rPr>
          <w:color w:val="000000"/>
        </w:rPr>
      </w:pPr>
      <w:bookmarkStart w:id="81" w:name="_Hlk114231829"/>
      <w:commentRangeStart w:id="82"/>
      <w:r>
        <w:rPr>
          <w:rFonts w:ascii="Calibri" w:eastAsia="Calibri" w:hAnsi="Calibri" w:cs="Calibri"/>
        </w:rPr>
        <w:t>In the event of EMJM status, t</w:t>
      </w:r>
      <w:bookmarkEnd w:id="81"/>
      <w:r>
        <w:rPr>
          <w:rFonts w:ascii="Calibri" w:eastAsia="Calibri" w:hAnsi="Calibri" w:cs="Calibri"/>
        </w:rPr>
        <w:t xml:space="preserve">he consortium will provide the </w:t>
      </w:r>
      <w:r w:rsidR="00B270F7">
        <w:rPr>
          <w:rFonts w:ascii="Calibri" w:eastAsia="Calibri" w:hAnsi="Calibri" w:cs="Calibri"/>
        </w:rPr>
        <w:t>XX</w:t>
      </w:r>
      <w:r>
        <w:rPr>
          <w:rFonts w:ascii="Calibri" w:eastAsia="Calibri" w:hAnsi="Calibri" w:cs="Calibri"/>
        </w:rPr>
        <w:t xml:space="preserve"> students with an appropriate health insurance that is 100% compliant with the EACEA minimum requirements and with the respective </w:t>
      </w:r>
      <w:r>
        <w:rPr>
          <w:rFonts w:asciiTheme="majorHAnsi" w:eastAsia="Calibri" w:hAnsiTheme="majorHAnsi" w:cstheme="majorHAnsi"/>
        </w:rPr>
        <w:t>regulations.</w:t>
      </w:r>
      <w:r>
        <w:rPr>
          <w:rFonts w:ascii="Calibri" w:eastAsia="Calibri" w:hAnsi="Calibri" w:cs="Calibri"/>
        </w:rPr>
        <w:t xml:space="preserve"> </w:t>
      </w:r>
      <w:commentRangeEnd w:id="82"/>
      <w:r>
        <w:commentReference w:id="82"/>
      </w:r>
    </w:p>
    <w:p w14:paraId="696505A0" w14:textId="77777777" w:rsidR="006B113F" w:rsidRDefault="006B113F">
      <w:pPr>
        <w:widowControl w:val="0"/>
        <w:tabs>
          <w:tab w:val="left" w:pos="461"/>
        </w:tabs>
        <w:spacing w:line="240" w:lineRule="auto"/>
        <w:ind w:left="460" w:hanging="360"/>
        <w:jc w:val="both"/>
        <w:rPr>
          <w:rFonts w:ascii="Calibri" w:eastAsia="Calibri" w:hAnsi="Calibri" w:cs="Calibri"/>
          <w:sz w:val="18"/>
          <w:szCs w:val="18"/>
        </w:rPr>
      </w:pPr>
    </w:p>
    <w:p w14:paraId="6395C4F5" w14:textId="77777777" w:rsidR="006B113F" w:rsidRDefault="006B113F">
      <w:pPr>
        <w:widowControl w:val="0"/>
        <w:tabs>
          <w:tab w:val="left" w:pos="461"/>
        </w:tabs>
        <w:spacing w:line="240" w:lineRule="auto"/>
        <w:ind w:left="460" w:hanging="360"/>
        <w:jc w:val="both"/>
        <w:rPr>
          <w:rFonts w:ascii="Calibri" w:eastAsia="Calibri" w:hAnsi="Calibri" w:cs="Calibri"/>
          <w:sz w:val="16"/>
          <w:szCs w:val="16"/>
        </w:rPr>
      </w:pPr>
    </w:p>
    <w:p w14:paraId="03B1D22F" w14:textId="77777777" w:rsidR="006B113F" w:rsidRDefault="00000000">
      <w:pPr>
        <w:pStyle w:val="berschrift1"/>
        <w:keepNext w:val="0"/>
        <w:keepLines w:val="0"/>
        <w:widowControl w:val="0"/>
        <w:tabs>
          <w:tab w:val="left" w:pos="1518"/>
        </w:tabs>
        <w:spacing w:before="0" w:after="0" w:line="240" w:lineRule="auto"/>
        <w:ind w:left="100"/>
        <w:jc w:val="both"/>
        <w:rPr>
          <w:rFonts w:ascii="Cambria" w:eastAsia="Cambria" w:hAnsi="Cambria" w:cs="Cambria"/>
          <w:sz w:val="28"/>
          <w:szCs w:val="28"/>
        </w:rPr>
      </w:pPr>
      <w:bookmarkStart w:id="83" w:name="_Toc141279973"/>
      <w:r>
        <w:rPr>
          <w:rFonts w:ascii="Calibri" w:eastAsia="Calibri" w:hAnsi="Calibri" w:cs="Calibri"/>
          <w:b/>
          <w:color w:val="365F91"/>
          <w:sz w:val="28"/>
          <w:szCs w:val="28"/>
        </w:rPr>
        <w:t>Article 7</w:t>
      </w:r>
      <w:r>
        <w:rPr>
          <w:rFonts w:ascii="Calibri" w:eastAsia="Calibri" w:hAnsi="Calibri" w:cs="Calibri"/>
          <w:b/>
          <w:color w:val="365F91"/>
          <w:sz w:val="28"/>
          <w:szCs w:val="28"/>
        </w:rPr>
        <w:tab/>
        <w:t>Staff</w:t>
      </w:r>
      <w:bookmarkEnd w:id="83"/>
    </w:p>
    <w:p w14:paraId="57D90D1F" w14:textId="77777777" w:rsidR="006B113F" w:rsidRDefault="006B113F">
      <w:pPr>
        <w:widowControl w:val="0"/>
        <w:spacing w:line="240" w:lineRule="auto"/>
        <w:jc w:val="both"/>
        <w:rPr>
          <w:rFonts w:ascii="Calibri" w:eastAsia="Calibri" w:hAnsi="Calibri" w:cs="Calibri"/>
          <w:b/>
          <w:sz w:val="16"/>
          <w:szCs w:val="16"/>
        </w:rPr>
      </w:pPr>
    </w:p>
    <w:p w14:paraId="3CD93302" w14:textId="77777777" w:rsidR="006B113F" w:rsidRDefault="00000000">
      <w:pPr>
        <w:pStyle w:val="berschrift2"/>
        <w:keepNext w:val="0"/>
        <w:keepLines w:val="0"/>
        <w:widowControl w:val="0"/>
        <w:numPr>
          <w:ilvl w:val="1"/>
          <w:numId w:val="13"/>
        </w:numPr>
        <w:tabs>
          <w:tab w:val="left" w:pos="677"/>
        </w:tabs>
        <w:spacing w:before="0" w:after="0" w:line="240" w:lineRule="auto"/>
        <w:jc w:val="both"/>
      </w:pPr>
      <w:bookmarkStart w:id="84" w:name="_Toc141279974"/>
      <w:r>
        <w:rPr>
          <w:rFonts w:ascii="Calibri" w:eastAsia="Calibri" w:hAnsi="Calibri" w:cs="Calibri"/>
          <w:b/>
          <w:color w:val="4F81BC"/>
          <w:sz w:val="26"/>
          <w:szCs w:val="26"/>
        </w:rPr>
        <w:t>Teaching and Administrative Staff</w:t>
      </w:r>
      <w:bookmarkEnd w:id="84"/>
    </w:p>
    <w:p w14:paraId="738697E9" w14:textId="19ED5072" w:rsidR="006B113F" w:rsidRDefault="00000000">
      <w:pPr>
        <w:widowControl w:val="0"/>
        <w:numPr>
          <w:ilvl w:val="0"/>
          <w:numId w:val="35"/>
        </w:numPr>
        <w:tabs>
          <w:tab w:val="left" w:pos="461"/>
        </w:tabs>
        <w:spacing w:line="240" w:lineRule="auto"/>
        <w:jc w:val="both"/>
        <w:rPr>
          <w:color w:val="000000"/>
        </w:rPr>
      </w:pPr>
      <w:r>
        <w:rPr>
          <w:rFonts w:ascii="Calibri" w:eastAsia="Calibri" w:hAnsi="Calibri" w:cs="Calibri"/>
        </w:rPr>
        <w:t xml:space="preserve">The Partner Institutions shall be responsible for appointing sufficient and appropriately qualified staff to deliver all elements of the degree programme specified in this Partnership Agreement, in the </w:t>
      </w:r>
      <w:r w:rsidR="00B270F7">
        <w:rPr>
          <w:rFonts w:ascii="Calibri" w:eastAsia="Calibri" w:hAnsi="Calibri" w:cs="Calibri"/>
        </w:rPr>
        <w:t>XX</w:t>
      </w:r>
      <w:r>
        <w:rPr>
          <w:rFonts w:ascii="Calibri" w:eastAsia="Calibri" w:hAnsi="Calibri" w:cs="Calibri"/>
        </w:rPr>
        <w:t xml:space="preserve"> Examination Regulations, and on the </w:t>
      </w:r>
      <w:r w:rsidR="00B270F7">
        <w:rPr>
          <w:rFonts w:ascii="Calibri" w:eastAsia="Calibri" w:hAnsi="Calibri" w:cs="Calibri"/>
        </w:rPr>
        <w:t>XX</w:t>
      </w:r>
      <w:r>
        <w:rPr>
          <w:rFonts w:ascii="Calibri" w:eastAsia="Calibri" w:hAnsi="Calibri" w:cs="Calibri"/>
        </w:rPr>
        <w:t xml:space="preserve"> website established for this programme.</w:t>
      </w:r>
    </w:p>
    <w:p w14:paraId="0D7EAABA" w14:textId="21E05FCF" w:rsidR="006B113F" w:rsidRDefault="00000000">
      <w:pPr>
        <w:widowControl w:val="0"/>
        <w:numPr>
          <w:ilvl w:val="0"/>
          <w:numId w:val="35"/>
        </w:numPr>
        <w:tabs>
          <w:tab w:val="left" w:pos="461"/>
        </w:tabs>
        <w:spacing w:line="240" w:lineRule="auto"/>
        <w:jc w:val="both"/>
        <w:rPr>
          <w:color w:val="000000"/>
        </w:rPr>
      </w:pPr>
      <w:r>
        <w:rPr>
          <w:rFonts w:ascii="Calibri" w:eastAsia="Calibri" w:hAnsi="Calibri" w:cs="Calibri"/>
        </w:rPr>
        <w:t xml:space="preserve">Teaching staff at each Partner Institution involved in the delivery of the degree programme must be fluent in English (language of instruction). They shall also be available to teach and attend meetings physically and/or virtually, at the other </w:t>
      </w:r>
      <w:r w:rsidR="00B270F7">
        <w:rPr>
          <w:rFonts w:ascii="Calibri" w:eastAsia="Calibri" w:hAnsi="Calibri" w:cs="Calibri"/>
        </w:rPr>
        <w:t>XX</w:t>
      </w:r>
      <w:r>
        <w:rPr>
          <w:rFonts w:ascii="Calibri" w:eastAsia="Calibri" w:hAnsi="Calibri" w:cs="Calibri"/>
        </w:rPr>
        <w:t xml:space="preserve"> Partner Institutions when required. Adequate procedures for staff exchange will be put in place.</w:t>
      </w:r>
    </w:p>
    <w:p w14:paraId="4F685665" w14:textId="1C40B880" w:rsidR="006B113F" w:rsidRDefault="00000000">
      <w:pPr>
        <w:widowControl w:val="0"/>
        <w:numPr>
          <w:ilvl w:val="0"/>
          <w:numId w:val="35"/>
        </w:numPr>
        <w:tabs>
          <w:tab w:val="left" w:pos="461"/>
        </w:tabs>
        <w:spacing w:line="240" w:lineRule="auto"/>
        <w:jc w:val="both"/>
        <w:rPr>
          <w:color w:val="000000"/>
        </w:rPr>
      </w:pPr>
      <w:commentRangeStart w:id="85"/>
      <w:r>
        <w:rPr>
          <w:rFonts w:ascii="Calibri" w:eastAsia="Calibri" w:hAnsi="Calibri" w:cs="Calibri"/>
        </w:rPr>
        <w:t xml:space="preserve">It is the Consortium’s intention to expose the students during the first semester to teaching provided by academic staff from each </w:t>
      </w:r>
      <w:r w:rsidR="00B270F7">
        <w:rPr>
          <w:rFonts w:ascii="Calibri" w:eastAsia="Calibri" w:hAnsi="Calibri" w:cs="Calibri"/>
        </w:rPr>
        <w:t>XX</w:t>
      </w:r>
      <w:r>
        <w:rPr>
          <w:rFonts w:ascii="Calibri" w:eastAsia="Calibri" w:hAnsi="Calibri" w:cs="Calibri"/>
        </w:rPr>
        <w:t xml:space="preserve"> Partner Institution. This to familiarize them with different teaching styles and pedagogies and to bring students and lecturers in touch, to facilitate decisions on student mobility, but also to initiate pedagogic and scientific exchange between the academics involved.</w:t>
      </w:r>
      <w:commentRangeEnd w:id="85"/>
      <w:r>
        <w:commentReference w:id="85"/>
      </w:r>
    </w:p>
    <w:p w14:paraId="2670A154" w14:textId="6F85011C" w:rsidR="006B113F" w:rsidRDefault="00000000">
      <w:pPr>
        <w:widowControl w:val="0"/>
        <w:numPr>
          <w:ilvl w:val="0"/>
          <w:numId w:val="35"/>
        </w:numPr>
        <w:tabs>
          <w:tab w:val="left" w:pos="461"/>
        </w:tabs>
        <w:spacing w:line="240" w:lineRule="auto"/>
        <w:jc w:val="both"/>
        <w:rPr>
          <w:color w:val="000000"/>
        </w:rPr>
      </w:pPr>
      <w:r>
        <w:rPr>
          <w:rFonts w:ascii="Calibri" w:eastAsia="Calibri" w:hAnsi="Calibri" w:cs="Calibri"/>
        </w:rPr>
        <w:t xml:space="preserve">The UNIC network to which the partners belong will provide further training on the topic of dealing with heterogeneous students and superdiversity, and the </w:t>
      </w:r>
      <w:r w:rsidR="00B270F7">
        <w:rPr>
          <w:rFonts w:ascii="Calibri" w:eastAsia="Calibri" w:hAnsi="Calibri" w:cs="Calibri"/>
        </w:rPr>
        <w:t>XX</w:t>
      </w:r>
      <w:r>
        <w:rPr>
          <w:rFonts w:ascii="Calibri" w:eastAsia="Calibri" w:hAnsi="Calibri" w:cs="Calibri"/>
        </w:rPr>
        <w:t xml:space="preserve"> management will encourage staff to participate in those trainings. </w:t>
      </w:r>
    </w:p>
    <w:p w14:paraId="49E9E88F" w14:textId="77777777" w:rsidR="006B113F" w:rsidRDefault="006B113F">
      <w:pPr>
        <w:widowControl w:val="0"/>
        <w:spacing w:line="240" w:lineRule="auto"/>
        <w:jc w:val="both"/>
        <w:rPr>
          <w:rFonts w:ascii="Calibri" w:eastAsia="Calibri" w:hAnsi="Calibri" w:cs="Calibri"/>
          <w:sz w:val="16"/>
          <w:szCs w:val="16"/>
        </w:rPr>
      </w:pPr>
    </w:p>
    <w:p w14:paraId="2D8B9602" w14:textId="77777777" w:rsidR="006B113F" w:rsidRDefault="00000000">
      <w:pPr>
        <w:pStyle w:val="berschrift2"/>
        <w:keepNext w:val="0"/>
        <w:keepLines w:val="0"/>
        <w:widowControl w:val="0"/>
        <w:numPr>
          <w:ilvl w:val="1"/>
          <w:numId w:val="13"/>
        </w:numPr>
        <w:tabs>
          <w:tab w:val="left" w:pos="677"/>
        </w:tabs>
        <w:spacing w:before="0" w:after="0" w:line="240" w:lineRule="auto"/>
        <w:jc w:val="both"/>
      </w:pPr>
      <w:bookmarkStart w:id="86" w:name="_Toc141279975"/>
      <w:r>
        <w:rPr>
          <w:rFonts w:ascii="Calibri" w:eastAsia="Calibri" w:hAnsi="Calibri" w:cs="Calibri"/>
          <w:b/>
          <w:color w:val="4F81BC"/>
          <w:sz w:val="26"/>
          <w:szCs w:val="26"/>
        </w:rPr>
        <w:t>Staff Mobility</w:t>
      </w:r>
      <w:bookmarkEnd w:id="86"/>
    </w:p>
    <w:p w14:paraId="5F069F52" w14:textId="77777777" w:rsidR="006B113F" w:rsidRDefault="00000000">
      <w:pPr>
        <w:widowControl w:val="0"/>
        <w:numPr>
          <w:ilvl w:val="0"/>
          <w:numId w:val="50"/>
        </w:numPr>
        <w:tabs>
          <w:tab w:val="left" w:pos="461"/>
        </w:tabs>
        <w:spacing w:line="240" w:lineRule="auto"/>
        <w:jc w:val="both"/>
        <w:rPr>
          <w:color w:val="000000"/>
        </w:rPr>
      </w:pPr>
      <w:r>
        <w:rPr>
          <w:rFonts w:ascii="Calibri" w:eastAsia="Calibri" w:hAnsi="Calibri" w:cs="Calibri"/>
        </w:rPr>
        <w:t xml:space="preserve">The Partner Institutions intend to set up a staff exchange scheme, targeting </w:t>
      </w:r>
    </w:p>
    <w:p w14:paraId="4F78DB60" w14:textId="7DF1279E" w:rsidR="006B113F" w:rsidRDefault="00000000">
      <w:pPr>
        <w:widowControl w:val="0"/>
        <w:numPr>
          <w:ilvl w:val="1"/>
          <w:numId w:val="50"/>
        </w:numPr>
        <w:tabs>
          <w:tab w:val="left" w:pos="461"/>
        </w:tabs>
        <w:spacing w:line="240" w:lineRule="auto"/>
        <w:ind w:left="1134" w:hanging="283"/>
        <w:jc w:val="both"/>
        <w:rPr>
          <w:rFonts w:ascii="Calibri" w:eastAsia="Calibri" w:hAnsi="Calibri" w:cs="Calibri"/>
        </w:rPr>
      </w:pPr>
      <w:r>
        <w:rPr>
          <w:rFonts w:ascii="Calibri" w:eastAsia="Calibri" w:hAnsi="Calibri" w:cs="Calibri"/>
        </w:rPr>
        <w:t xml:space="preserve">lecturers, to secure that students are being exposed to lectures from other </w:t>
      </w:r>
      <w:r w:rsidR="00B270F7">
        <w:rPr>
          <w:rFonts w:ascii="Calibri" w:eastAsia="Calibri" w:hAnsi="Calibri" w:cs="Calibri"/>
        </w:rPr>
        <w:t>XX</w:t>
      </w:r>
      <w:r>
        <w:rPr>
          <w:rFonts w:ascii="Calibri" w:eastAsia="Calibri" w:hAnsi="Calibri" w:cs="Calibri"/>
        </w:rPr>
        <w:t xml:space="preserve"> Partner Institutions, </w:t>
      </w:r>
    </w:p>
    <w:p w14:paraId="6A84CC3C" w14:textId="77777777" w:rsidR="006B113F" w:rsidRDefault="00000000">
      <w:pPr>
        <w:widowControl w:val="0"/>
        <w:numPr>
          <w:ilvl w:val="1"/>
          <w:numId w:val="50"/>
        </w:numPr>
        <w:tabs>
          <w:tab w:val="left" w:pos="461"/>
        </w:tabs>
        <w:spacing w:line="240" w:lineRule="auto"/>
        <w:ind w:left="1134" w:hanging="283"/>
        <w:jc w:val="both"/>
        <w:rPr>
          <w:rFonts w:ascii="Calibri" w:eastAsia="Calibri" w:hAnsi="Calibri" w:cs="Calibri"/>
        </w:rPr>
      </w:pPr>
      <w:r>
        <w:rPr>
          <w:rFonts w:ascii="Calibri" w:eastAsia="Calibri" w:hAnsi="Calibri" w:cs="Calibri"/>
        </w:rPr>
        <w:t xml:space="preserve">researchers, to initiate and support joint research activities, but also </w:t>
      </w:r>
    </w:p>
    <w:p w14:paraId="039C1C40" w14:textId="77777777" w:rsidR="006B113F" w:rsidRDefault="00000000">
      <w:pPr>
        <w:widowControl w:val="0"/>
        <w:numPr>
          <w:ilvl w:val="1"/>
          <w:numId w:val="50"/>
        </w:numPr>
        <w:tabs>
          <w:tab w:val="left" w:pos="461"/>
        </w:tabs>
        <w:spacing w:line="240" w:lineRule="auto"/>
        <w:ind w:left="1134" w:hanging="283"/>
        <w:jc w:val="both"/>
        <w:rPr>
          <w:rFonts w:ascii="Calibri" w:eastAsia="Calibri" w:hAnsi="Calibri" w:cs="Calibri"/>
        </w:rPr>
      </w:pPr>
      <w:r>
        <w:rPr>
          <w:rFonts w:ascii="Calibri" w:eastAsia="Calibri" w:hAnsi="Calibri" w:cs="Calibri"/>
        </w:rPr>
        <w:t>administrative staff who are directly involved in the management of the programme, to facilitate a smooth workflow through increased mutual knowledge and awareness of local administrative structures, processes, and traditions,</w:t>
      </w:r>
    </w:p>
    <w:p w14:paraId="16F47FCB" w14:textId="6F417283" w:rsidR="006B113F" w:rsidRDefault="00000000">
      <w:pPr>
        <w:widowControl w:val="0"/>
        <w:numPr>
          <w:ilvl w:val="1"/>
          <w:numId w:val="50"/>
        </w:numPr>
        <w:tabs>
          <w:tab w:val="left" w:pos="461"/>
        </w:tabs>
        <w:spacing w:line="240" w:lineRule="auto"/>
        <w:ind w:left="1134" w:hanging="283"/>
        <w:jc w:val="both"/>
        <w:rPr>
          <w:rFonts w:ascii="Calibri" w:eastAsia="Calibri" w:hAnsi="Calibri" w:cs="Calibri"/>
        </w:rPr>
      </w:pPr>
      <w:r>
        <w:rPr>
          <w:rFonts w:ascii="Calibri" w:eastAsia="Calibri" w:hAnsi="Calibri" w:cs="Calibri"/>
        </w:rPr>
        <w:t xml:space="preserve">invitation of external lecturers and researchers, to promote and facilitate joint </w:t>
      </w:r>
      <w:r w:rsidR="00B270F7">
        <w:rPr>
          <w:rFonts w:ascii="Calibri" w:eastAsia="Calibri" w:hAnsi="Calibri" w:cs="Calibri"/>
        </w:rPr>
        <w:t>XX</w:t>
      </w:r>
      <w:r>
        <w:rPr>
          <w:rFonts w:ascii="Calibri" w:eastAsia="Calibri" w:hAnsi="Calibri" w:cs="Calibri"/>
        </w:rPr>
        <w:t xml:space="preserve"> teaching and research activities with academic entities outside the Consortium.</w:t>
      </w:r>
    </w:p>
    <w:p w14:paraId="3CD75F98" w14:textId="77777777" w:rsidR="006B113F" w:rsidRDefault="00000000">
      <w:pPr>
        <w:widowControl w:val="0"/>
        <w:numPr>
          <w:ilvl w:val="0"/>
          <w:numId w:val="50"/>
        </w:numPr>
        <w:tabs>
          <w:tab w:val="left" w:pos="461"/>
        </w:tabs>
        <w:spacing w:line="240" w:lineRule="auto"/>
        <w:jc w:val="both"/>
        <w:rPr>
          <w:color w:val="000000"/>
        </w:rPr>
      </w:pPr>
      <w:r>
        <w:rPr>
          <w:rFonts w:ascii="Calibri" w:eastAsia="Calibri" w:hAnsi="Calibri" w:cs="Calibri"/>
        </w:rPr>
        <w:t>The Partner Institutions endeavour to involve renowned scholars, experts, and professionals in the field to contribute to and further enhance the quality of the degree programme. The Partner Institutions hereby agree that all financial issues relating to payments due to mobile staff from outside the Consortium shall be negotiated during the delivery of the programme and shall depend on the availability of funds.</w:t>
      </w:r>
    </w:p>
    <w:p w14:paraId="2D7B23AF" w14:textId="77777777" w:rsidR="006B113F" w:rsidRDefault="00000000">
      <w:pPr>
        <w:widowControl w:val="0"/>
        <w:numPr>
          <w:ilvl w:val="0"/>
          <w:numId w:val="50"/>
        </w:numPr>
        <w:tabs>
          <w:tab w:val="left" w:pos="461"/>
        </w:tabs>
        <w:spacing w:line="240" w:lineRule="auto"/>
        <w:jc w:val="both"/>
        <w:rPr>
          <w:color w:val="000000"/>
        </w:rPr>
      </w:pPr>
      <w:r>
        <w:rPr>
          <w:rFonts w:ascii="Calibri" w:eastAsia="Calibri" w:hAnsi="Calibri" w:cs="Calibri"/>
        </w:rPr>
        <w:t>The Partner Institutions shall regulate the reception of teaching, research, and administrative staff intended to participate in mobility under this Agreement in conformity with their regulations and national law, where required and applicable.</w:t>
      </w:r>
    </w:p>
    <w:p w14:paraId="6814C5C4" w14:textId="77777777" w:rsidR="006B113F" w:rsidRDefault="00000000">
      <w:pPr>
        <w:widowControl w:val="0"/>
        <w:numPr>
          <w:ilvl w:val="0"/>
          <w:numId w:val="50"/>
        </w:numPr>
        <w:tabs>
          <w:tab w:val="left" w:pos="461"/>
        </w:tabs>
        <w:spacing w:line="240" w:lineRule="auto"/>
        <w:jc w:val="both"/>
        <w:rPr>
          <w:color w:val="000000"/>
        </w:rPr>
      </w:pPr>
      <w:r>
        <w:rPr>
          <w:rFonts w:ascii="Calibri" w:eastAsia="Calibri" w:hAnsi="Calibri" w:cs="Calibri"/>
        </w:rPr>
        <w:t>Personnel covered by this Agreement shall continue to comply with the contractual obligations of their originating university and shall continue to receive their due remuneration and benefit from the rights that they are entitled to for their legal position, according to the legislative norms existing in the country of the originating university. In each case, the originating university shall consider the duration of the stay as an ordinary service period, for all intents and purposes.</w:t>
      </w:r>
    </w:p>
    <w:p w14:paraId="7FF3DE32" w14:textId="77777777" w:rsidR="006B113F" w:rsidRDefault="006B113F">
      <w:pPr>
        <w:widowControl w:val="0"/>
        <w:spacing w:line="240" w:lineRule="auto"/>
        <w:jc w:val="both"/>
        <w:rPr>
          <w:rFonts w:asciiTheme="majorHAnsi" w:hAnsiTheme="majorHAnsi" w:cstheme="majorHAnsi"/>
          <w:color w:val="000000"/>
          <w:sz w:val="16"/>
          <w:szCs w:val="16"/>
        </w:rPr>
      </w:pPr>
    </w:p>
    <w:p w14:paraId="49A016E1" w14:textId="77777777" w:rsidR="006B113F" w:rsidRDefault="00000000">
      <w:pPr>
        <w:pStyle w:val="berschrift2"/>
        <w:keepNext w:val="0"/>
        <w:keepLines w:val="0"/>
        <w:widowControl w:val="0"/>
        <w:numPr>
          <w:ilvl w:val="1"/>
          <w:numId w:val="13"/>
        </w:numPr>
        <w:tabs>
          <w:tab w:val="left" w:pos="677"/>
        </w:tabs>
        <w:spacing w:before="0" w:after="0" w:line="240" w:lineRule="auto"/>
        <w:jc w:val="both"/>
      </w:pPr>
      <w:bookmarkStart w:id="87" w:name="_Toc141279976"/>
      <w:commentRangeStart w:id="88"/>
      <w:r>
        <w:rPr>
          <w:rFonts w:ascii="Calibri" w:eastAsia="Calibri" w:hAnsi="Calibri" w:cs="Calibri"/>
          <w:b/>
          <w:color w:val="4F81BC"/>
          <w:sz w:val="26"/>
          <w:szCs w:val="26"/>
        </w:rPr>
        <w:t>EMJM scholars</w:t>
      </w:r>
      <w:bookmarkEnd w:id="87"/>
    </w:p>
    <w:p w14:paraId="1D9A932D" w14:textId="77777777" w:rsidR="006B113F" w:rsidRDefault="00000000">
      <w:pPr>
        <w:widowControl w:val="0"/>
        <w:numPr>
          <w:ilvl w:val="0"/>
          <w:numId w:val="6"/>
        </w:numPr>
        <w:tabs>
          <w:tab w:val="left" w:pos="461"/>
        </w:tabs>
        <w:spacing w:line="240" w:lineRule="auto"/>
        <w:jc w:val="both"/>
        <w:rPr>
          <w:color w:val="000000"/>
        </w:rPr>
      </w:pPr>
      <w:r>
        <w:rPr>
          <w:rFonts w:ascii="Calibri" w:eastAsia="Calibri" w:hAnsi="Calibri" w:cs="Calibri"/>
        </w:rPr>
        <w:lastRenderedPageBreak/>
        <w:t>Guest lecturers / scholars shall be selected against a set of minimum criteria, including, but not limited to, the following requirements:</w:t>
      </w:r>
    </w:p>
    <w:p w14:paraId="4E0CEC3B" w14:textId="77777777" w:rsidR="006B113F" w:rsidRDefault="00000000">
      <w:pPr>
        <w:widowControl w:val="0"/>
        <w:numPr>
          <w:ilvl w:val="1"/>
          <w:numId w:val="50"/>
        </w:numPr>
        <w:tabs>
          <w:tab w:val="left" w:pos="461"/>
        </w:tabs>
        <w:spacing w:line="240" w:lineRule="auto"/>
        <w:ind w:left="1134" w:hanging="283"/>
        <w:jc w:val="both"/>
        <w:rPr>
          <w:rFonts w:ascii="Calibri" w:eastAsia="Calibri" w:hAnsi="Calibri" w:cs="Calibri"/>
        </w:rPr>
      </w:pPr>
      <w:r>
        <w:rPr>
          <w:rFonts w:ascii="Calibri" w:eastAsia="Calibri" w:hAnsi="Calibri" w:cs="Calibri"/>
        </w:rPr>
        <w:t>The proposed scholar shall bring concrete added value to the delivery of the degree programme.</w:t>
      </w:r>
    </w:p>
    <w:p w14:paraId="60CF66D4" w14:textId="77777777" w:rsidR="006B113F" w:rsidRDefault="00000000">
      <w:pPr>
        <w:widowControl w:val="0"/>
        <w:numPr>
          <w:ilvl w:val="1"/>
          <w:numId w:val="50"/>
        </w:numPr>
        <w:tabs>
          <w:tab w:val="left" w:pos="461"/>
        </w:tabs>
        <w:spacing w:line="240" w:lineRule="auto"/>
        <w:ind w:left="1134" w:hanging="283"/>
        <w:jc w:val="both"/>
        <w:rPr>
          <w:rFonts w:ascii="Calibri" w:eastAsia="Calibri" w:hAnsi="Calibri" w:cs="Calibri"/>
        </w:rPr>
      </w:pPr>
      <w:r>
        <w:rPr>
          <w:rFonts w:ascii="Calibri" w:eastAsia="Calibri" w:hAnsi="Calibri" w:cs="Calibri"/>
        </w:rPr>
        <w:t>In case of availability of EMJM funding, scholars may receive financial support thereof and are then called “EMJM scholars”. In this case, they must be involved in the activities of the degree programme for at least one week.</w:t>
      </w:r>
    </w:p>
    <w:p w14:paraId="0FA8B33A" w14:textId="77777777" w:rsidR="006B113F" w:rsidRDefault="00000000">
      <w:pPr>
        <w:widowControl w:val="0"/>
        <w:numPr>
          <w:ilvl w:val="1"/>
          <w:numId w:val="50"/>
        </w:numPr>
        <w:tabs>
          <w:tab w:val="left" w:pos="461"/>
        </w:tabs>
        <w:spacing w:line="240" w:lineRule="auto"/>
        <w:ind w:left="1134" w:hanging="283"/>
        <w:jc w:val="both"/>
        <w:rPr>
          <w:rFonts w:ascii="Calibri" w:eastAsia="Calibri" w:hAnsi="Calibri" w:cs="Calibri"/>
        </w:rPr>
      </w:pPr>
      <w:r>
        <w:rPr>
          <w:rFonts w:ascii="Calibri" w:eastAsia="Calibri" w:hAnsi="Calibri" w:cs="Calibri"/>
        </w:rPr>
        <w:t>EMJM scholars shall not be in receipt of payment from other EU funding schemes (including other Erasmus actions) for the same activity or activities covered by the EMJM grant.</w:t>
      </w:r>
    </w:p>
    <w:p w14:paraId="55F0743D" w14:textId="0780DC2F" w:rsidR="006B113F" w:rsidRDefault="00000000">
      <w:pPr>
        <w:widowControl w:val="0"/>
        <w:numPr>
          <w:ilvl w:val="0"/>
          <w:numId w:val="6"/>
        </w:numPr>
        <w:tabs>
          <w:tab w:val="left" w:pos="461"/>
        </w:tabs>
        <w:spacing w:line="240" w:lineRule="auto"/>
        <w:jc w:val="both"/>
        <w:rPr>
          <w:color w:val="000000"/>
        </w:rPr>
      </w:pPr>
      <w:r>
        <w:rPr>
          <w:rFonts w:ascii="Calibri" w:eastAsia="Calibri" w:hAnsi="Calibri" w:cs="Calibri"/>
        </w:rPr>
        <w:t xml:space="preserve">The Academic Study Board may change the above-mentioned criteria following additional and/or new requirements of the European Commission or complement these criteria by adding further requirements in the interest of enhancing the quality and implementation of the </w:t>
      </w:r>
      <w:r w:rsidR="00B270F7">
        <w:rPr>
          <w:rFonts w:ascii="Calibri" w:eastAsia="Calibri" w:hAnsi="Calibri" w:cs="Calibri"/>
        </w:rPr>
        <w:t>XX</w:t>
      </w:r>
      <w:r>
        <w:rPr>
          <w:rFonts w:ascii="Calibri" w:eastAsia="Calibri" w:hAnsi="Calibri" w:cs="Calibri"/>
        </w:rPr>
        <w:t xml:space="preserve"> degree programme.</w:t>
      </w:r>
    </w:p>
    <w:p w14:paraId="04A81C89" w14:textId="77777777" w:rsidR="006B113F" w:rsidRDefault="00000000">
      <w:pPr>
        <w:widowControl w:val="0"/>
        <w:numPr>
          <w:ilvl w:val="0"/>
          <w:numId w:val="6"/>
        </w:numPr>
        <w:tabs>
          <w:tab w:val="left" w:pos="461"/>
        </w:tabs>
        <w:spacing w:line="240" w:lineRule="auto"/>
        <w:jc w:val="both"/>
        <w:rPr>
          <w:color w:val="000000"/>
        </w:rPr>
      </w:pPr>
      <w:r>
        <w:rPr>
          <w:rFonts w:ascii="Calibri" w:eastAsia="Calibri" w:hAnsi="Calibri" w:cs="Calibri"/>
        </w:rPr>
        <w:t>Each Partner Institution bears responsibility for proposing appropriate scholars for mobility.</w:t>
      </w:r>
      <w:commentRangeEnd w:id="88"/>
      <w:r>
        <w:commentReference w:id="88"/>
      </w:r>
    </w:p>
    <w:p w14:paraId="0ADD0CDC" w14:textId="77777777" w:rsidR="006B113F" w:rsidRDefault="006B113F">
      <w:pPr>
        <w:widowControl w:val="0"/>
        <w:spacing w:line="240" w:lineRule="auto"/>
        <w:ind w:left="100"/>
        <w:jc w:val="both"/>
        <w:rPr>
          <w:rFonts w:ascii="Calibri" w:eastAsia="Calibri" w:hAnsi="Calibri" w:cs="Calibri"/>
          <w:sz w:val="16"/>
          <w:szCs w:val="16"/>
        </w:rPr>
      </w:pPr>
    </w:p>
    <w:p w14:paraId="5D4306CC" w14:textId="77777777" w:rsidR="006B113F" w:rsidRDefault="00000000">
      <w:pPr>
        <w:pStyle w:val="berschrift2"/>
        <w:keepNext w:val="0"/>
        <w:keepLines w:val="0"/>
        <w:widowControl w:val="0"/>
        <w:numPr>
          <w:ilvl w:val="1"/>
          <w:numId w:val="13"/>
        </w:numPr>
        <w:tabs>
          <w:tab w:val="left" w:pos="677"/>
        </w:tabs>
        <w:spacing w:before="0" w:after="0" w:line="240" w:lineRule="auto"/>
        <w:jc w:val="both"/>
        <w:rPr>
          <w:rFonts w:ascii="Calibri" w:eastAsia="Calibri" w:hAnsi="Calibri" w:cs="Calibri"/>
        </w:rPr>
      </w:pPr>
      <w:bookmarkStart w:id="89" w:name="_Toc141279977"/>
      <w:commentRangeStart w:id="90"/>
      <w:r>
        <w:rPr>
          <w:rFonts w:ascii="Calibri" w:eastAsia="Calibri" w:hAnsi="Calibri" w:cs="Calibri"/>
          <w:b/>
          <w:color w:val="4F81BC"/>
          <w:sz w:val="26"/>
          <w:szCs w:val="26"/>
        </w:rPr>
        <w:t>Non-Educational Stakeholders</w:t>
      </w:r>
      <w:bookmarkEnd w:id="89"/>
      <w:commentRangeEnd w:id="90"/>
      <w:r>
        <w:commentReference w:id="90"/>
      </w:r>
    </w:p>
    <w:p w14:paraId="1CD25AD6" w14:textId="77777777" w:rsidR="006B113F" w:rsidRDefault="00000000">
      <w:pPr>
        <w:widowControl w:val="0"/>
        <w:numPr>
          <w:ilvl w:val="0"/>
          <w:numId w:val="19"/>
        </w:numPr>
        <w:tabs>
          <w:tab w:val="left" w:pos="461"/>
        </w:tabs>
        <w:spacing w:line="240" w:lineRule="auto"/>
        <w:jc w:val="both"/>
        <w:rPr>
          <w:color w:val="000000"/>
        </w:rPr>
      </w:pPr>
      <w:r>
        <w:rPr>
          <w:rFonts w:ascii="Calibri" w:eastAsia="Calibri" w:hAnsi="Calibri" w:cs="Calibri"/>
        </w:rPr>
        <w:t>The Consortium shall endeavour to engage and closely cooperate with stakeholders from the cities / regions they are located in. This shall be facilitated by the External Advisory Board and the persons serving on it, as well as by local academic staff of the Partner Universities.</w:t>
      </w:r>
    </w:p>
    <w:p w14:paraId="4CF38F0B" w14:textId="0A45D2F5" w:rsidR="006B113F" w:rsidRDefault="00000000">
      <w:pPr>
        <w:widowControl w:val="0"/>
        <w:numPr>
          <w:ilvl w:val="0"/>
          <w:numId w:val="19"/>
        </w:numPr>
        <w:tabs>
          <w:tab w:val="left" w:pos="461"/>
        </w:tabs>
        <w:spacing w:line="240" w:lineRule="auto"/>
        <w:jc w:val="both"/>
        <w:rPr>
          <w:color w:val="000000"/>
        </w:rPr>
      </w:pPr>
      <w:r>
        <w:rPr>
          <w:rFonts w:ascii="Calibri" w:eastAsia="Calibri" w:hAnsi="Calibri" w:cs="Calibri"/>
        </w:rPr>
        <w:t xml:space="preserve">This cooperation shall manifest itself mainly, but not only in the City Labs and in outreach activities in different institutions of the eight post-industrial cities / regions of the </w:t>
      </w:r>
      <w:r w:rsidR="00B270F7">
        <w:rPr>
          <w:rFonts w:ascii="Calibri" w:eastAsia="Calibri" w:hAnsi="Calibri" w:cs="Calibri"/>
        </w:rPr>
        <w:t>XX</w:t>
      </w:r>
      <w:r>
        <w:rPr>
          <w:rFonts w:ascii="Calibri" w:eastAsia="Calibri" w:hAnsi="Calibri" w:cs="Calibri"/>
        </w:rPr>
        <w:t xml:space="preserve"> programme, to</w:t>
      </w:r>
    </w:p>
    <w:p w14:paraId="36C387E4" w14:textId="77777777" w:rsidR="006B113F" w:rsidRDefault="00000000">
      <w:pPr>
        <w:widowControl w:val="0"/>
        <w:numPr>
          <w:ilvl w:val="0"/>
          <w:numId w:val="45"/>
        </w:numPr>
        <w:tabs>
          <w:tab w:val="left" w:pos="461"/>
        </w:tabs>
        <w:spacing w:line="240" w:lineRule="auto"/>
        <w:ind w:left="1134" w:hanging="283"/>
        <w:jc w:val="both"/>
        <w:rPr>
          <w:rFonts w:ascii="Calibri" w:eastAsia="Calibri" w:hAnsi="Calibri" w:cs="Calibri"/>
        </w:rPr>
      </w:pPr>
      <w:r>
        <w:rPr>
          <w:rFonts w:ascii="Calibri" w:eastAsia="Calibri" w:hAnsi="Calibri" w:cs="Calibri"/>
        </w:rPr>
        <w:t>facilitate transfer and knowledge from academia to the cities,</w:t>
      </w:r>
    </w:p>
    <w:p w14:paraId="06410914" w14:textId="77777777" w:rsidR="006B113F" w:rsidRDefault="00000000">
      <w:pPr>
        <w:widowControl w:val="0"/>
        <w:numPr>
          <w:ilvl w:val="0"/>
          <w:numId w:val="45"/>
        </w:numPr>
        <w:tabs>
          <w:tab w:val="left" w:pos="461"/>
        </w:tabs>
        <w:spacing w:line="240" w:lineRule="auto"/>
        <w:ind w:left="1134" w:hanging="283"/>
        <w:jc w:val="both"/>
        <w:rPr>
          <w:rFonts w:ascii="Calibri" w:eastAsia="Calibri" w:hAnsi="Calibri" w:cs="Calibri"/>
        </w:rPr>
      </w:pPr>
      <w:r>
        <w:rPr>
          <w:rFonts w:ascii="Calibri" w:eastAsia="Calibri" w:hAnsi="Calibri" w:cs="Calibri"/>
        </w:rPr>
        <w:t xml:space="preserve">enhance the quality of the content of the programme, </w:t>
      </w:r>
    </w:p>
    <w:p w14:paraId="0805F02D" w14:textId="77777777" w:rsidR="006B113F" w:rsidRDefault="00000000">
      <w:pPr>
        <w:widowControl w:val="0"/>
        <w:numPr>
          <w:ilvl w:val="0"/>
          <w:numId w:val="45"/>
        </w:numPr>
        <w:tabs>
          <w:tab w:val="left" w:pos="461"/>
        </w:tabs>
        <w:spacing w:line="240" w:lineRule="auto"/>
        <w:ind w:left="1134" w:hanging="283"/>
        <w:jc w:val="both"/>
        <w:rPr>
          <w:rFonts w:ascii="Calibri" w:eastAsia="Calibri" w:hAnsi="Calibri" w:cs="Calibri"/>
        </w:rPr>
      </w:pPr>
      <w:r>
        <w:rPr>
          <w:rFonts w:ascii="Calibri" w:eastAsia="Calibri" w:hAnsi="Calibri" w:cs="Calibri"/>
        </w:rPr>
        <w:t xml:space="preserve">link the students and graduates to those cities / regions, </w:t>
      </w:r>
    </w:p>
    <w:p w14:paraId="66DBB2C1" w14:textId="77777777" w:rsidR="006B113F" w:rsidRDefault="00000000">
      <w:pPr>
        <w:widowControl w:val="0"/>
        <w:numPr>
          <w:ilvl w:val="0"/>
          <w:numId w:val="45"/>
        </w:numPr>
        <w:tabs>
          <w:tab w:val="left" w:pos="461"/>
        </w:tabs>
        <w:spacing w:line="240" w:lineRule="auto"/>
        <w:ind w:left="1134" w:hanging="283"/>
        <w:jc w:val="both"/>
        <w:rPr>
          <w:rFonts w:ascii="Calibri" w:eastAsia="Calibri" w:hAnsi="Calibri" w:cs="Calibri"/>
        </w:rPr>
      </w:pPr>
      <w:r>
        <w:rPr>
          <w:rFonts w:ascii="Calibri" w:eastAsia="Calibri" w:hAnsi="Calibri" w:cs="Calibri"/>
        </w:rPr>
        <w:t>maintain a close relationship between the profile of the degree programme and the demands of the cities / regions in terms of knowledge, skills, and competences,</w:t>
      </w:r>
    </w:p>
    <w:p w14:paraId="15659019" w14:textId="77777777" w:rsidR="006B113F" w:rsidRDefault="00000000">
      <w:pPr>
        <w:widowControl w:val="0"/>
        <w:numPr>
          <w:ilvl w:val="0"/>
          <w:numId w:val="45"/>
        </w:numPr>
        <w:tabs>
          <w:tab w:val="left" w:pos="461"/>
        </w:tabs>
        <w:spacing w:line="240" w:lineRule="auto"/>
        <w:ind w:left="1134" w:hanging="283"/>
        <w:jc w:val="both"/>
        <w:rPr>
          <w:rFonts w:ascii="Calibri" w:eastAsia="Calibri" w:hAnsi="Calibri" w:cs="Calibri"/>
        </w:rPr>
      </w:pPr>
      <w:r>
        <w:rPr>
          <w:rFonts w:ascii="Calibri" w:eastAsia="Calibri" w:hAnsi="Calibri" w:cs="Calibri"/>
        </w:rPr>
        <w:t>improve employability possibilities for graduates of the degree programme.</w:t>
      </w:r>
    </w:p>
    <w:p w14:paraId="7455DDD4" w14:textId="77777777" w:rsidR="006B113F" w:rsidRDefault="00000000">
      <w:pPr>
        <w:widowControl w:val="0"/>
        <w:tabs>
          <w:tab w:val="left" w:pos="821"/>
        </w:tabs>
        <w:spacing w:line="240" w:lineRule="auto"/>
        <w:ind w:left="460"/>
        <w:jc w:val="both"/>
        <w:rPr>
          <w:rFonts w:ascii="Calibri" w:eastAsia="Calibri" w:hAnsi="Calibri" w:cs="Calibri"/>
        </w:rPr>
      </w:pPr>
      <w:r>
        <w:rPr>
          <w:rFonts w:ascii="Calibri" w:eastAsia="Calibri" w:hAnsi="Calibri" w:cs="Calibri"/>
        </w:rPr>
        <w:t>The Parties agree that all institutions/ Partners have to maintain academic independence and have to safeguard scientific integrity at all times, and in all dealings under this Agreement. Universities shall at all times be solely responsible for all their teaching and research activities.</w:t>
      </w:r>
    </w:p>
    <w:p w14:paraId="1D2C0A8D" w14:textId="77777777" w:rsidR="006B113F" w:rsidRDefault="00000000">
      <w:pPr>
        <w:widowControl w:val="0"/>
        <w:numPr>
          <w:ilvl w:val="0"/>
          <w:numId w:val="19"/>
        </w:numPr>
        <w:tabs>
          <w:tab w:val="left" w:pos="461"/>
        </w:tabs>
        <w:spacing w:line="240" w:lineRule="auto"/>
        <w:jc w:val="both"/>
        <w:rPr>
          <w:color w:val="000000"/>
        </w:rPr>
      </w:pPr>
      <w:r>
        <w:rPr>
          <w:rFonts w:ascii="Calibri" w:eastAsia="Calibri" w:hAnsi="Calibri" w:cs="Calibri"/>
        </w:rPr>
        <w:t>Such engagement and cooperation may include, but is not limited to the following contributions by the cities / regions, as the case may be:</w:t>
      </w:r>
    </w:p>
    <w:p w14:paraId="3D9D7281" w14:textId="77777777" w:rsidR="006B113F" w:rsidRDefault="00000000">
      <w:pPr>
        <w:widowControl w:val="0"/>
        <w:numPr>
          <w:ilvl w:val="2"/>
          <w:numId w:val="19"/>
        </w:numPr>
        <w:tabs>
          <w:tab w:val="left" w:pos="821"/>
        </w:tabs>
        <w:spacing w:line="240" w:lineRule="auto"/>
        <w:ind w:left="1134" w:hanging="283"/>
        <w:jc w:val="both"/>
        <w:rPr>
          <w:rFonts w:ascii="Calibri" w:eastAsia="Calibri" w:hAnsi="Calibri" w:cs="Calibri"/>
        </w:rPr>
      </w:pPr>
      <w:r>
        <w:rPr>
          <w:rFonts w:ascii="Calibri" w:eastAsia="Calibri" w:hAnsi="Calibri" w:cs="Calibri"/>
        </w:rPr>
        <w:t>input for the development of curriculum content (e.g., resources, simulations, trainings, City Labs),</w:t>
      </w:r>
    </w:p>
    <w:p w14:paraId="5C3E89F1" w14:textId="77777777" w:rsidR="006B113F" w:rsidRDefault="00000000">
      <w:pPr>
        <w:widowControl w:val="0"/>
        <w:numPr>
          <w:ilvl w:val="2"/>
          <w:numId w:val="19"/>
        </w:numPr>
        <w:tabs>
          <w:tab w:val="left" w:pos="821"/>
        </w:tabs>
        <w:spacing w:line="240" w:lineRule="auto"/>
        <w:ind w:left="1134" w:hanging="283"/>
        <w:jc w:val="both"/>
        <w:rPr>
          <w:rFonts w:ascii="Calibri" w:eastAsia="Calibri" w:hAnsi="Calibri" w:cs="Calibri"/>
        </w:rPr>
      </w:pPr>
      <w:r>
        <w:rPr>
          <w:rFonts w:ascii="Calibri" w:eastAsia="Calibri" w:hAnsi="Calibri" w:cs="Calibri"/>
        </w:rPr>
        <w:t>contribution of specific information and expertise for projects and thesis research,</w:t>
      </w:r>
    </w:p>
    <w:p w14:paraId="663EBC8A" w14:textId="77777777" w:rsidR="006B113F" w:rsidRDefault="00000000">
      <w:pPr>
        <w:widowControl w:val="0"/>
        <w:numPr>
          <w:ilvl w:val="2"/>
          <w:numId w:val="19"/>
        </w:numPr>
        <w:tabs>
          <w:tab w:val="left" w:pos="821"/>
        </w:tabs>
        <w:spacing w:line="240" w:lineRule="auto"/>
        <w:ind w:left="1134" w:hanging="283"/>
        <w:jc w:val="both"/>
        <w:rPr>
          <w:rFonts w:ascii="Calibri" w:eastAsia="Calibri" w:hAnsi="Calibri" w:cs="Calibri"/>
        </w:rPr>
      </w:pPr>
      <w:r>
        <w:rPr>
          <w:rFonts w:ascii="Calibri" w:eastAsia="Calibri" w:hAnsi="Calibri" w:cs="Calibri"/>
        </w:rPr>
        <w:t>expert talks / sessions / guest lectures,</w:t>
      </w:r>
    </w:p>
    <w:p w14:paraId="0FD3D9BF" w14:textId="77777777" w:rsidR="006B113F" w:rsidRDefault="00000000">
      <w:pPr>
        <w:widowControl w:val="0"/>
        <w:numPr>
          <w:ilvl w:val="2"/>
          <w:numId w:val="19"/>
        </w:numPr>
        <w:tabs>
          <w:tab w:val="left" w:pos="821"/>
        </w:tabs>
        <w:spacing w:line="240" w:lineRule="auto"/>
        <w:ind w:left="1134" w:hanging="283"/>
        <w:jc w:val="both"/>
        <w:rPr>
          <w:rFonts w:ascii="Calibri" w:eastAsia="Calibri" w:hAnsi="Calibri" w:cs="Calibri"/>
        </w:rPr>
      </w:pPr>
      <w:r>
        <w:rPr>
          <w:rFonts w:ascii="Calibri" w:eastAsia="Calibri" w:hAnsi="Calibri" w:cs="Calibri"/>
        </w:rPr>
        <w:t>suggestions for feasible thesis topics,</w:t>
      </w:r>
    </w:p>
    <w:p w14:paraId="4D551F2C" w14:textId="77777777" w:rsidR="006B113F" w:rsidRDefault="00000000">
      <w:pPr>
        <w:widowControl w:val="0"/>
        <w:numPr>
          <w:ilvl w:val="2"/>
          <w:numId w:val="19"/>
        </w:numPr>
        <w:tabs>
          <w:tab w:val="left" w:pos="821"/>
        </w:tabs>
        <w:spacing w:line="240" w:lineRule="auto"/>
        <w:ind w:left="1134" w:hanging="283"/>
        <w:jc w:val="both"/>
        <w:rPr>
          <w:rFonts w:ascii="Calibri" w:eastAsia="Calibri" w:hAnsi="Calibri" w:cs="Calibri"/>
        </w:rPr>
      </w:pPr>
      <w:r>
        <w:rPr>
          <w:rFonts w:ascii="Calibri" w:eastAsia="Calibri" w:hAnsi="Calibri" w:cs="Calibri"/>
        </w:rPr>
        <w:t>arrangements for outreach activities,</w:t>
      </w:r>
    </w:p>
    <w:p w14:paraId="5599A9F5" w14:textId="77777777" w:rsidR="006B113F" w:rsidRDefault="00000000">
      <w:pPr>
        <w:widowControl w:val="0"/>
        <w:numPr>
          <w:ilvl w:val="2"/>
          <w:numId w:val="19"/>
        </w:numPr>
        <w:tabs>
          <w:tab w:val="left" w:pos="821"/>
        </w:tabs>
        <w:spacing w:line="240" w:lineRule="auto"/>
        <w:ind w:left="1134" w:hanging="283"/>
        <w:jc w:val="both"/>
        <w:rPr>
          <w:rFonts w:ascii="Calibri" w:eastAsia="Calibri" w:hAnsi="Calibri" w:cs="Calibri"/>
        </w:rPr>
      </w:pPr>
      <w:r>
        <w:rPr>
          <w:rFonts w:ascii="Calibri" w:eastAsia="Calibri" w:hAnsi="Calibri" w:cs="Calibri"/>
        </w:rPr>
        <w:t>labour market information.</w:t>
      </w:r>
    </w:p>
    <w:p w14:paraId="031A0715" w14:textId="1ED84B45" w:rsidR="006B113F" w:rsidRDefault="00000000">
      <w:pPr>
        <w:widowControl w:val="0"/>
        <w:numPr>
          <w:ilvl w:val="0"/>
          <w:numId w:val="19"/>
        </w:numPr>
        <w:tabs>
          <w:tab w:val="left" w:pos="461"/>
        </w:tabs>
        <w:spacing w:line="240" w:lineRule="auto"/>
        <w:jc w:val="both"/>
        <w:rPr>
          <w:color w:val="000000"/>
        </w:rPr>
      </w:pPr>
      <w:r>
        <w:rPr>
          <w:rFonts w:ascii="Calibri" w:eastAsia="Calibri" w:hAnsi="Calibri" w:cs="Calibri"/>
        </w:rPr>
        <w:t xml:space="preserve">Depending on the nature of the cooperation with stakeholders and institutions not party to this Partnership Agreement, the Partner Institutions may make formal arrangements that are regulated separately, provided that these remain in conformity with the requirements of this Agreement and the </w:t>
      </w:r>
      <w:r w:rsidR="00B270F7">
        <w:rPr>
          <w:rFonts w:ascii="Calibri" w:eastAsia="Calibri" w:hAnsi="Calibri" w:cs="Calibri"/>
        </w:rPr>
        <w:t>XX</w:t>
      </w:r>
      <w:r>
        <w:rPr>
          <w:rFonts w:ascii="Calibri" w:eastAsia="Calibri" w:hAnsi="Calibri" w:cs="Calibri"/>
        </w:rPr>
        <w:t xml:space="preserve"> Examination Regulations.</w:t>
      </w:r>
    </w:p>
    <w:p w14:paraId="188E5366"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27222E53" w14:textId="77777777" w:rsidR="006B113F" w:rsidRDefault="00000000">
      <w:pPr>
        <w:spacing w:line="240" w:lineRule="auto"/>
        <w:rPr>
          <w:rFonts w:ascii="Calibri" w:eastAsia="Calibri" w:hAnsi="Calibri" w:cs="Calibri"/>
          <w:b/>
          <w:color w:val="365F91"/>
          <w:sz w:val="28"/>
          <w:szCs w:val="28"/>
        </w:rPr>
      </w:pPr>
      <w:r>
        <w:rPr>
          <w:rFonts w:ascii="Calibri" w:eastAsia="Calibri" w:hAnsi="Calibri" w:cs="Calibri"/>
          <w:b/>
          <w:color w:val="365F91"/>
          <w:sz w:val="28"/>
          <w:szCs w:val="28"/>
        </w:rPr>
        <w:br w:type="page" w:clear="all"/>
      </w:r>
    </w:p>
    <w:p w14:paraId="6557EE75" w14:textId="77777777" w:rsidR="006B113F" w:rsidRDefault="00000000">
      <w:pPr>
        <w:pStyle w:val="berschrift1"/>
        <w:keepNext w:val="0"/>
        <w:keepLines w:val="0"/>
        <w:widowControl w:val="0"/>
        <w:tabs>
          <w:tab w:val="left" w:pos="1518"/>
        </w:tabs>
        <w:spacing w:before="0" w:after="0" w:line="240" w:lineRule="auto"/>
        <w:ind w:left="100"/>
        <w:jc w:val="both"/>
        <w:rPr>
          <w:rFonts w:ascii="Cambria" w:eastAsia="Cambria" w:hAnsi="Cambria" w:cs="Cambria"/>
          <w:b/>
          <w:color w:val="365F91"/>
          <w:sz w:val="28"/>
          <w:szCs w:val="28"/>
        </w:rPr>
      </w:pPr>
      <w:bookmarkStart w:id="91" w:name="_Toc141279978"/>
      <w:r>
        <w:rPr>
          <w:rFonts w:ascii="Calibri" w:eastAsia="Calibri" w:hAnsi="Calibri" w:cs="Calibri"/>
          <w:b/>
          <w:color w:val="365F91"/>
          <w:sz w:val="28"/>
          <w:szCs w:val="28"/>
        </w:rPr>
        <w:lastRenderedPageBreak/>
        <w:t>Article 8</w:t>
      </w:r>
      <w:r>
        <w:rPr>
          <w:rFonts w:ascii="Calibri" w:eastAsia="Calibri" w:hAnsi="Calibri" w:cs="Calibri"/>
          <w:b/>
          <w:color w:val="365F91"/>
          <w:sz w:val="28"/>
          <w:szCs w:val="28"/>
        </w:rPr>
        <w:tab/>
        <w:t>Quality Assurance</w:t>
      </w:r>
      <w:bookmarkEnd w:id="91"/>
      <w:r>
        <w:rPr>
          <w:rFonts w:ascii="Calibri" w:eastAsia="Calibri" w:hAnsi="Calibri" w:cs="Calibri"/>
          <w:b/>
          <w:color w:val="365F91"/>
          <w:sz w:val="28"/>
          <w:szCs w:val="28"/>
        </w:rPr>
        <w:t xml:space="preserve"> </w:t>
      </w:r>
    </w:p>
    <w:p w14:paraId="7963E334"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081046E4" w14:textId="3B08A157" w:rsidR="006B113F" w:rsidRDefault="00000000">
      <w:pPr>
        <w:widowControl w:val="0"/>
        <w:numPr>
          <w:ilvl w:val="0"/>
          <w:numId w:val="23"/>
        </w:numPr>
        <w:tabs>
          <w:tab w:val="left" w:pos="461"/>
        </w:tabs>
        <w:spacing w:line="240" w:lineRule="auto"/>
        <w:ind w:left="459" w:hanging="357"/>
        <w:jc w:val="both"/>
        <w:rPr>
          <w:color w:val="000000"/>
        </w:rPr>
      </w:pPr>
      <w:bookmarkStart w:id="92" w:name="_19c6y18"/>
      <w:bookmarkEnd w:id="92"/>
      <w:r>
        <w:rPr>
          <w:rFonts w:ascii="Calibri" w:eastAsia="Calibri" w:hAnsi="Calibri" w:cs="Calibri"/>
        </w:rPr>
        <w:t xml:space="preserve">The Academic Study Board is responsible for managing the overall quality and standards of the </w:t>
      </w:r>
      <w:r w:rsidR="00B270F7">
        <w:rPr>
          <w:rFonts w:ascii="Calibri" w:eastAsia="Calibri" w:hAnsi="Calibri" w:cs="Calibri"/>
        </w:rPr>
        <w:t>XX</w:t>
      </w:r>
      <w:r>
        <w:rPr>
          <w:rFonts w:ascii="Calibri" w:eastAsia="Calibri" w:hAnsi="Calibri" w:cs="Calibri"/>
        </w:rPr>
        <w:t xml:space="preserve"> programme. It shall monitor compliance of Partner Institutions with this Agreement and it shall be responsible for ensuring that the degree programme is delivered to the highest academic standards. </w:t>
      </w:r>
      <w:r>
        <w:rPr>
          <w:rFonts w:ascii="Calibri" w:eastAsia="Calibri" w:hAnsi="Calibri" w:cs="Calibri"/>
          <w:lang w:val="eu-ES"/>
        </w:rPr>
        <w:t>It shall provide an annual report on quality assurance to the main academic governance entities of the partner institutions.</w:t>
      </w:r>
    </w:p>
    <w:p w14:paraId="737C5C30" w14:textId="21DDD278" w:rsidR="006B113F" w:rsidRDefault="00000000">
      <w:pPr>
        <w:widowControl w:val="0"/>
        <w:numPr>
          <w:ilvl w:val="0"/>
          <w:numId w:val="23"/>
        </w:numPr>
        <w:tabs>
          <w:tab w:val="left" w:pos="461"/>
        </w:tabs>
        <w:spacing w:line="240" w:lineRule="auto"/>
        <w:ind w:left="459" w:hanging="357"/>
        <w:jc w:val="both"/>
        <w:rPr>
          <w:color w:val="000000"/>
        </w:rPr>
      </w:pPr>
      <w:r>
        <w:rPr>
          <w:rFonts w:ascii="Calibri" w:eastAsia="Calibri" w:hAnsi="Calibri" w:cs="Calibri"/>
        </w:rPr>
        <w:t xml:space="preserve">The </w:t>
      </w:r>
      <w:r w:rsidR="00B270F7">
        <w:rPr>
          <w:rFonts w:ascii="Calibri" w:eastAsia="Calibri" w:hAnsi="Calibri" w:cs="Calibri"/>
          <w:lang w:val="en-GB"/>
        </w:rPr>
        <w:t>XX</w:t>
      </w:r>
      <w:r>
        <w:rPr>
          <w:rFonts w:ascii="Calibri" w:eastAsia="Calibri" w:hAnsi="Calibri" w:cs="Calibri"/>
          <w:lang w:val="en-GB"/>
        </w:rPr>
        <w:t xml:space="preserve"> Student Management Department </w:t>
      </w:r>
      <w:r>
        <w:rPr>
          <w:rFonts w:ascii="Calibri" w:eastAsia="Calibri" w:hAnsi="Calibri" w:cs="Calibri"/>
        </w:rPr>
        <w:t>assists the Academic Study Board in its quality assurance tasks and responsibilities including, but not limited to, the implementation of quality enhancement and curriculum development measures throughout the Consortium.</w:t>
      </w:r>
    </w:p>
    <w:p w14:paraId="04E98298" w14:textId="0EEC9BFD" w:rsidR="006B113F" w:rsidRDefault="00000000">
      <w:pPr>
        <w:widowControl w:val="0"/>
        <w:numPr>
          <w:ilvl w:val="0"/>
          <w:numId w:val="23"/>
        </w:numPr>
        <w:tabs>
          <w:tab w:val="left" w:pos="461"/>
        </w:tabs>
        <w:spacing w:line="240" w:lineRule="auto"/>
        <w:jc w:val="both"/>
        <w:rPr>
          <w:color w:val="000000"/>
        </w:rPr>
      </w:pPr>
      <w:r>
        <w:rPr>
          <w:rFonts w:ascii="Calibri" w:eastAsia="Calibri" w:hAnsi="Calibri" w:cs="Calibri"/>
        </w:rPr>
        <w:t xml:space="preserve">Quality assurance in the </w:t>
      </w:r>
      <w:r w:rsidR="00B270F7">
        <w:rPr>
          <w:rFonts w:ascii="Calibri" w:eastAsia="Calibri" w:hAnsi="Calibri" w:cs="Calibri"/>
        </w:rPr>
        <w:t>XX</w:t>
      </w:r>
      <w:r>
        <w:rPr>
          <w:rFonts w:ascii="Calibri" w:eastAsia="Calibri" w:hAnsi="Calibri" w:cs="Calibri"/>
        </w:rPr>
        <w:t xml:space="preserve"> degree programme will follow the Standards and Guidelines for Quality Assurance in the European Higher Education Area (ESG). The European Approach for Quality Assurance of Joint Programmes approved by the EHEA ministers in May 2015 shall serve as a reference.</w:t>
      </w:r>
    </w:p>
    <w:p w14:paraId="0D43BD17" w14:textId="77777777" w:rsidR="006B113F" w:rsidRDefault="00000000">
      <w:pPr>
        <w:widowControl w:val="0"/>
        <w:numPr>
          <w:ilvl w:val="0"/>
          <w:numId w:val="23"/>
        </w:numPr>
        <w:tabs>
          <w:tab w:val="left" w:pos="461"/>
        </w:tabs>
        <w:spacing w:line="240" w:lineRule="auto"/>
        <w:jc w:val="both"/>
        <w:rPr>
          <w:color w:val="000000"/>
        </w:rPr>
      </w:pPr>
      <w:r>
        <w:rPr>
          <w:rFonts w:ascii="Calibri" w:eastAsia="Calibri" w:hAnsi="Calibri" w:cs="Calibri"/>
        </w:rPr>
        <w:t xml:space="preserve">The Consortium will set up a comprehensive Quality Assurance framework for internal and external QA involving the relevant stakeholders, finally leading to a comprehensive integration of the programme and its quality assurance procedures. </w:t>
      </w:r>
    </w:p>
    <w:p w14:paraId="46012A63" w14:textId="0AB5F9BD" w:rsidR="006B113F" w:rsidRDefault="00000000">
      <w:pPr>
        <w:widowControl w:val="0"/>
        <w:numPr>
          <w:ilvl w:val="0"/>
          <w:numId w:val="23"/>
        </w:numPr>
        <w:tabs>
          <w:tab w:val="left" w:pos="461"/>
        </w:tabs>
        <w:spacing w:line="240" w:lineRule="auto"/>
        <w:jc w:val="both"/>
      </w:pPr>
      <w:r>
        <w:rPr>
          <w:rFonts w:ascii="Calibri" w:eastAsia="Calibri" w:hAnsi="Calibri" w:cs="Calibri"/>
        </w:rPr>
        <w:t xml:space="preserve">The Partner Institutions undertook a joint accreditation of the programme, by an external agency, and seek regular re-accreditation, with a strong preference to follow the European Approach, conducted by an accreditation agency listed in the EQAR registry (cp. </w:t>
      </w:r>
      <w:r>
        <w:fldChar w:fldCharType="begin"/>
      </w:r>
      <w:r>
        <w:instrText>HYPERLINK</w:instrText>
      </w:r>
      <w:r>
        <w:fldChar w:fldCharType="separate"/>
      </w:r>
      <w:r>
        <w:rPr>
          <w:rFonts w:ascii="Calibri" w:eastAsia="Calibri" w:hAnsi="Calibri" w:cs="Calibri"/>
          <w:color w:val="0000FF"/>
          <w:u w:val="single"/>
        </w:rPr>
        <w:t>https://www.eqar.eu/</w:t>
      </w:r>
      <w:r>
        <w:rPr>
          <w:rFonts w:ascii="Calibri" w:eastAsia="Calibri" w:hAnsi="Calibri" w:cs="Calibri"/>
          <w:color w:val="0000FF"/>
          <w:u w:val="single"/>
        </w:rPr>
        <w:fldChar w:fldCharType="end"/>
      </w:r>
      <w:r>
        <w:rPr>
          <w:rFonts w:ascii="Calibri" w:eastAsia="Calibri" w:hAnsi="Calibri" w:cs="Calibri"/>
        </w:rPr>
        <w:t>). Costs of joint accreditation will be shared between the Partner Institutions.</w:t>
      </w:r>
    </w:p>
    <w:p w14:paraId="35C3E9DD" w14:textId="1F21D387" w:rsidR="006B113F" w:rsidRDefault="00000000">
      <w:pPr>
        <w:widowControl w:val="0"/>
        <w:numPr>
          <w:ilvl w:val="0"/>
          <w:numId w:val="23"/>
        </w:numPr>
        <w:tabs>
          <w:tab w:val="left" w:pos="461"/>
        </w:tabs>
        <w:spacing w:line="240" w:lineRule="auto"/>
        <w:jc w:val="both"/>
        <w:rPr>
          <w:color w:val="000000"/>
        </w:rPr>
      </w:pPr>
      <w:bookmarkStart w:id="93" w:name="_3tbugp1"/>
      <w:bookmarkEnd w:id="93"/>
      <w:r>
        <w:rPr>
          <w:rFonts w:ascii="Calibri" w:eastAsia="Calibri" w:hAnsi="Calibri" w:cs="Calibri"/>
        </w:rPr>
        <w:t xml:space="preserve">Internal and external evaluation processes with its continuous PDCA-Circle and used evaluation instruments </w:t>
      </w:r>
      <w:commentRangeStart w:id="94"/>
      <w:r>
        <w:rPr>
          <w:rFonts w:ascii="Calibri" w:eastAsia="Calibri" w:hAnsi="Calibri" w:cs="Calibri"/>
        </w:rPr>
        <w:t>shall be</w:t>
      </w:r>
      <w:commentRangeEnd w:id="94"/>
      <w:r>
        <w:commentReference w:id="94"/>
      </w:r>
      <w:r>
        <w:rPr>
          <w:rFonts w:ascii="Calibri" w:eastAsia="Calibri" w:hAnsi="Calibri" w:cs="Calibri"/>
        </w:rPr>
        <w:t xml:space="preserve"> defined and described in detail in an Internal </w:t>
      </w:r>
      <w:r w:rsidR="00B270F7">
        <w:rPr>
          <w:rFonts w:ascii="Calibri" w:eastAsia="Calibri" w:hAnsi="Calibri" w:cs="Calibri"/>
        </w:rPr>
        <w:t>XX</w:t>
      </w:r>
      <w:r>
        <w:rPr>
          <w:rFonts w:ascii="Calibri" w:eastAsia="Calibri" w:hAnsi="Calibri" w:cs="Calibri"/>
        </w:rPr>
        <w:t xml:space="preserve"> Quality Handbook, which will outline the procedures and instruments for evaluating the </w:t>
      </w:r>
      <w:r w:rsidR="00B270F7">
        <w:rPr>
          <w:rFonts w:ascii="Calibri" w:eastAsia="Calibri" w:hAnsi="Calibri" w:cs="Calibri"/>
        </w:rPr>
        <w:t>XX</w:t>
      </w:r>
      <w:r>
        <w:rPr>
          <w:rFonts w:ascii="Calibri" w:eastAsia="Calibri" w:hAnsi="Calibri" w:cs="Calibri"/>
        </w:rPr>
        <w:t xml:space="preserve"> degree programme in terms of modules, mobility, labour market integration, overall student satisfaction, and other quality aspects. The institutional processes of the Partner Institutions apply and shall be integrated wherever possible.</w:t>
      </w:r>
    </w:p>
    <w:p w14:paraId="7BBCA534" w14:textId="77777777" w:rsidR="006B113F" w:rsidRDefault="00000000">
      <w:pPr>
        <w:widowControl w:val="0"/>
        <w:numPr>
          <w:ilvl w:val="0"/>
          <w:numId w:val="23"/>
        </w:numPr>
        <w:tabs>
          <w:tab w:val="left" w:pos="461"/>
        </w:tabs>
        <w:spacing w:line="240" w:lineRule="auto"/>
        <w:jc w:val="both"/>
        <w:rPr>
          <w:color w:val="000000"/>
        </w:rPr>
      </w:pPr>
      <w:r>
        <w:rPr>
          <w:rFonts w:ascii="Calibri" w:eastAsia="Calibri" w:hAnsi="Calibri" w:cs="Calibri"/>
        </w:rPr>
        <w:t>External quality assurance shall also comprise the regular feedbacks of the members of the External Advisory Board</w:t>
      </w:r>
      <w:commentRangeStart w:id="95"/>
      <w:r>
        <w:rPr>
          <w:rFonts w:ascii="Calibri" w:eastAsia="Calibri" w:hAnsi="Calibri" w:cs="Calibri"/>
        </w:rPr>
        <w:t>, expert comments received from participants in the City Labs, and the quality reviews for the European Commission and the EMJM funding scheme</w:t>
      </w:r>
      <w:commentRangeEnd w:id="95"/>
      <w:r>
        <w:commentReference w:id="95"/>
      </w:r>
      <w:r>
        <w:rPr>
          <w:rFonts w:ascii="Calibri" w:eastAsia="Calibri" w:hAnsi="Calibri" w:cs="Calibri"/>
        </w:rPr>
        <w:t>.</w:t>
      </w:r>
    </w:p>
    <w:p w14:paraId="0DBD6CEB" w14:textId="43B3E5A6" w:rsidR="006B113F" w:rsidRDefault="00000000">
      <w:pPr>
        <w:widowControl w:val="0"/>
        <w:numPr>
          <w:ilvl w:val="0"/>
          <w:numId w:val="23"/>
        </w:numPr>
        <w:tabs>
          <w:tab w:val="left" w:pos="461"/>
        </w:tabs>
        <w:spacing w:line="240" w:lineRule="auto"/>
        <w:jc w:val="both"/>
        <w:rPr>
          <w:color w:val="000000"/>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faculty, i.e., each lecturer or professor teaching in the </w:t>
      </w:r>
      <w:r w:rsidR="00B270F7">
        <w:rPr>
          <w:rFonts w:ascii="Calibri" w:eastAsia="Calibri" w:hAnsi="Calibri" w:cs="Calibri"/>
        </w:rPr>
        <w:t>XX</w:t>
      </w:r>
      <w:r>
        <w:rPr>
          <w:rFonts w:ascii="Calibri" w:eastAsia="Calibri" w:hAnsi="Calibri" w:cs="Calibri"/>
        </w:rPr>
        <w:t xml:space="preserve"> degree programme, shall convene once per year to discuss ways to enhance content and cohesion of the curriculum.</w:t>
      </w:r>
    </w:p>
    <w:p w14:paraId="37082460" w14:textId="77777777" w:rsidR="006B113F" w:rsidRDefault="00000000">
      <w:pPr>
        <w:widowControl w:val="0"/>
        <w:numPr>
          <w:ilvl w:val="0"/>
          <w:numId w:val="23"/>
        </w:numPr>
        <w:tabs>
          <w:tab w:val="left" w:pos="461"/>
        </w:tabs>
        <w:spacing w:line="240" w:lineRule="auto"/>
        <w:jc w:val="both"/>
        <w:rPr>
          <w:color w:val="000000"/>
        </w:rPr>
      </w:pPr>
      <w:r>
        <w:rPr>
          <w:rFonts w:ascii="Calibri" w:eastAsia="Calibri" w:hAnsi="Calibri" w:cs="Calibri"/>
        </w:rPr>
        <w:t>External Examiners shall be used in accordance with the internal requirements of each Partner Institution.</w:t>
      </w:r>
    </w:p>
    <w:p w14:paraId="4E6848C5" w14:textId="77777777" w:rsidR="006B113F" w:rsidRDefault="00000000">
      <w:pPr>
        <w:widowControl w:val="0"/>
        <w:numPr>
          <w:ilvl w:val="0"/>
          <w:numId w:val="23"/>
        </w:numPr>
        <w:tabs>
          <w:tab w:val="left" w:pos="461"/>
        </w:tabs>
        <w:spacing w:line="240" w:lineRule="auto"/>
        <w:jc w:val="both"/>
        <w:rPr>
          <w:color w:val="000000"/>
        </w:rPr>
      </w:pPr>
      <w:r>
        <w:rPr>
          <w:rFonts w:ascii="Calibri" w:eastAsia="Calibri" w:hAnsi="Calibri" w:cs="Calibri"/>
        </w:rPr>
        <w:t>Feedback of invited lecturers and researchers from external institutions will be included in the quality assurance process.</w:t>
      </w:r>
    </w:p>
    <w:p w14:paraId="11BC9BDD" w14:textId="657BF30F" w:rsidR="006B113F" w:rsidRDefault="00000000">
      <w:pPr>
        <w:widowControl w:val="0"/>
        <w:numPr>
          <w:ilvl w:val="0"/>
          <w:numId w:val="23"/>
        </w:numPr>
        <w:tabs>
          <w:tab w:val="left" w:pos="461"/>
        </w:tabs>
        <w:spacing w:line="240" w:lineRule="auto"/>
        <w:jc w:val="both"/>
        <w:rPr>
          <w:color w:val="000000"/>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students shall be continuously involved through different formal and informal feedback channels, among them formal course evaluation by </w:t>
      </w:r>
      <w:r>
        <w:rPr>
          <w:rFonts w:ascii="Calibri" w:eastAsia="Calibri" w:hAnsi="Calibri" w:cs="Calibri"/>
          <w:color w:val="222222"/>
        </w:rPr>
        <w:t>student</w:t>
      </w:r>
      <w:r>
        <w:rPr>
          <w:rFonts w:ascii="Calibri" w:eastAsia="Calibri" w:hAnsi="Calibri" w:cs="Calibri"/>
        </w:rPr>
        <w:t xml:space="preserve">s targeting the academic content and its modes of delivery, a specific semestrial Service Quality Satisfaction Questionnaire on the quality of services offered to them at each location during the student journey, and Teaching Analysis Polls (TAP), a moderated interview technique for qualitative evaluation which will be used especially in the four tracks in Semester 2 due to the relatively small number of students in each track. </w:t>
      </w:r>
    </w:p>
    <w:p w14:paraId="0BB42F27" w14:textId="2DB4A985" w:rsidR="006B113F" w:rsidRDefault="00000000">
      <w:pPr>
        <w:widowControl w:val="0"/>
        <w:numPr>
          <w:ilvl w:val="0"/>
          <w:numId w:val="23"/>
        </w:numPr>
        <w:tabs>
          <w:tab w:val="left" w:pos="461"/>
        </w:tabs>
        <w:spacing w:line="240" w:lineRule="auto"/>
        <w:jc w:val="both"/>
        <w:rPr>
          <w:rFonts w:ascii="Calibri" w:eastAsia="Calibri" w:hAnsi="Calibri" w:cs="Calibri"/>
        </w:rPr>
      </w:pPr>
      <w:r>
        <w:rPr>
          <w:rFonts w:ascii="Calibri" w:eastAsia="Calibri" w:hAnsi="Calibri" w:cs="Calibri"/>
        </w:rPr>
        <w:t xml:space="preserve">Findings of the activities mentioned above will be incorporated in an annual </w:t>
      </w:r>
      <w:r w:rsidR="00B270F7">
        <w:rPr>
          <w:rFonts w:ascii="Calibri" w:eastAsia="Calibri" w:hAnsi="Calibri" w:cs="Calibri"/>
        </w:rPr>
        <w:t>XX</w:t>
      </w:r>
      <w:r>
        <w:rPr>
          <w:rFonts w:ascii="Calibri" w:eastAsia="Calibri" w:hAnsi="Calibri" w:cs="Calibri"/>
        </w:rPr>
        <w:t xml:space="preserve"> Quality Report on the operation of the programme, which will be made available to all partners.</w:t>
      </w:r>
    </w:p>
    <w:p w14:paraId="1A8191AF" w14:textId="77777777" w:rsidR="006B113F" w:rsidRDefault="006B113F">
      <w:pPr>
        <w:widowControl w:val="0"/>
        <w:tabs>
          <w:tab w:val="left" w:pos="461"/>
        </w:tabs>
        <w:spacing w:line="240" w:lineRule="auto"/>
        <w:ind w:left="460" w:hanging="360"/>
        <w:jc w:val="both"/>
        <w:rPr>
          <w:rFonts w:ascii="Cambria" w:eastAsia="Cambria" w:hAnsi="Cambria" w:cs="Cambria"/>
          <w:sz w:val="28"/>
          <w:szCs w:val="28"/>
        </w:rPr>
      </w:pPr>
    </w:p>
    <w:p w14:paraId="77BEA7FC" w14:textId="77777777" w:rsidR="006B113F" w:rsidRDefault="006B113F">
      <w:pPr>
        <w:widowControl w:val="0"/>
        <w:tabs>
          <w:tab w:val="left" w:pos="461"/>
        </w:tabs>
        <w:spacing w:line="240" w:lineRule="auto"/>
        <w:ind w:left="100"/>
        <w:jc w:val="both"/>
        <w:rPr>
          <w:rFonts w:ascii="Calibri" w:eastAsia="Calibri" w:hAnsi="Calibri" w:cs="Calibri"/>
          <w:color w:val="000000"/>
        </w:rPr>
      </w:pPr>
    </w:p>
    <w:p w14:paraId="683F5E56" w14:textId="77777777" w:rsidR="006B113F" w:rsidRDefault="006B113F">
      <w:pPr>
        <w:spacing w:line="240" w:lineRule="auto"/>
        <w:rPr>
          <w:rFonts w:ascii="Calibri" w:eastAsia="Calibri" w:hAnsi="Calibri" w:cs="Calibri"/>
          <w:b/>
          <w:color w:val="365F91"/>
          <w:sz w:val="28"/>
          <w:szCs w:val="28"/>
        </w:rPr>
      </w:pPr>
    </w:p>
    <w:p w14:paraId="621309BE" w14:textId="29BA1DB6" w:rsidR="006B113F" w:rsidRDefault="00000000">
      <w:pPr>
        <w:pStyle w:val="berschrift1"/>
        <w:keepNext w:val="0"/>
        <w:keepLines w:val="0"/>
        <w:widowControl w:val="0"/>
        <w:tabs>
          <w:tab w:val="left" w:pos="1518"/>
        </w:tabs>
        <w:spacing w:before="0" w:after="0" w:line="240" w:lineRule="auto"/>
        <w:ind w:left="100"/>
        <w:jc w:val="both"/>
        <w:rPr>
          <w:rFonts w:ascii="Calibri" w:eastAsia="Calibri" w:hAnsi="Calibri" w:cs="Calibri"/>
          <w:b/>
          <w:color w:val="365F91"/>
          <w:sz w:val="28"/>
          <w:szCs w:val="28"/>
        </w:rPr>
      </w:pPr>
      <w:bookmarkStart w:id="96" w:name="_Toc141279979"/>
      <w:r>
        <w:rPr>
          <w:rFonts w:ascii="Calibri" w:eastAsia="Calibri" w:hAnsi="Calibri" w:cs="Calibri"/>
          <w:b/>
          <w:color w:val="365F91"/>
          <w:sz w:val="28"/>
          <w:szCs w:val="28"/>
        </w:rPr>
        <w:t>Article 9</w:t>
      </w:r>
      <w:r>
        <w:rPr>
          <w:rFonts w:ascii="Calibri" w:eastAsia="Calibri" w:hAnsi="Calibri" w:cs="Calibri"/>
          <w:b/>
          <w:color w:val="365F91"/>
          <w:sz w:val="28"/>
          <w:szCs w:val="28"/>
        </w:rPr>
        <w:tab/>
        <w:t xml:space="preserve">Awareness-Raising and Promotion of </w:t>
      </w:r>
      <w:bookmarkEnd w:id="96"/>
      <w:r w:rsidR="00B270F7">
        <w:rPr>
          <w:rFonts w:ascii="Calibri" w:eastAsia="Calibri" w:hAnsi="Calibri" w:cs="Calibri"/>
          <w:b/>
          <w:color w:val="365F91"/>
          <w:sz w:val="28"/>
          <w:szCs w:val="28"/>
        </w:rPr>
        <w:t>XX</w:t>
      </w:r>
    </w:p>
    <w:p w14:paraId="0F69AB92"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63E7C8F1" w14:textId="77777777" w:rsidR="006B113F" w:rsidRDefault="00000000">
      <w:pPr>
        <w:pStyle w:val="berschrift2"/>
        <w:keepNext w:val="0"/>
        <w:keepLines w:val="0"/>
        <w:widowControl w:val="0"/>
        <w:numPr>
          <w:ilvl w:val="1"/>
          <w:numId w:val="25"/>
        </w:numPr>
        <w:tabs>
          <w:tab w:val="left" w:pos="677"/>
        </w:tabs>
        <w:spacing w:before="0" w:after="0" w:line="240" w:lineRule="auto"/>
        <w:ind w:hanging="636"/>
        <w:jc w:val="both"/>
      </w:pPr>
      <w:bookmarkStart w:id="97" w:name="_Toc141279980"/>
      <w:commentRangeStart w:id="98"/>
      <w:r>
        <w:rPr>
          <w:rFonts w:ascii="Calibri" w:eastAsia="Calibri" w:hAnsi="Calibri" w:cs="Calibri"/>
          <w:b/>
          <w:color w:val="4F81BC"/>
          <w:sz w:val="26"/>
          <w:szCs w:val="26"/>
        </w:rPr>
        <w:lastRenderedPageBreak/>
        <w:t xml:space="preserve">Promotion </w:t>
      </w:r>
      <w:commentRangeEnd w:id="98"/>
      <w:r>
        <w:commentReference w:id="98"/>
      </w:r>
      <w:r>
        <w:rPr>
          <w:rFonts w:ascii="Calibri" w:eastAsia="Calibri" w:hAnsi="Calibri" w:cs="Calibri"/>
          <w:b/>
          <w:color w:val="4F81BC"/>
          <w:sz w:val="26"/>
          <w:szCs w:val="26"/>
        </w:rPr>
        <w:t>and Branding</w:t>
      </w:r>
      <w:bookmarkEnd w:id="97"/>
    </w:p>
    <w:p w14:paraId="0C6F403F" w14:textId="19A4C3E4"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programme shall branded the as the unique, innovative and employment-oriented Master degree programme in dealing with </w:t>
      </w:r>
      <w:r w:rsidR="00AC772B">
        <w:rPr>
          <w:rFonts w:ascii="Calibri" w:eastAsia="Calibri" w:hAnsi="Calibri" w:cs="Calibri"/>
          <w:lang w:val="eu-ES"/>
        </w:rPr>
        <w:t>xx</w:t>
      </w:r>
      <w:r>
        <w:rPr>
          <w:rFonts w:ascii="Calibri" w:eastAsia="Calibri" w:hAnsi="Calibri" w:cs="Calibri"/>
        </w:rPr>
        <w:t>.</w:t>
      </w:r>
    </w:p>
    <w:p w14:paraId="2300772C" w14:textId="77777777"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 xml:space="preserve">The promotion of the degree programme and awareness-raising shall be the joint responsibility of all Partner Institutions, coordinated by Koç University. </w:t>
      </w:r>
    </w:p>
    <w:p w14:paraId="6CA8D573" w14:textId="77777777"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The Consortium, in close cooperation with the Communication Departments of each Partner Institution, shall market, advertise and promote the degree programme to ensure worldwide visibility and</w:t>
      </w:r>
      <w:commentRangeStart w:id="99"/>
      <w:r>
        <w:rPr>
          <w:rFonts w:ascii="Calibri" w:eastAsia="Calibri" w:hAnsi="Calibri" w:cs="Calibri"/>
        </w:rPr>
        <w:t>, if awarded, the EMJM scholarship scheme of the European Commission,</w:t>
      </w:r>
      <w:commentRangeEnd w:id="99"/>
      <w:r>
        <w:commentReference w:id="99"/>
      </w:r>
      <w:r>
        <w:rPr>
          <w:rFonts w:ascii="Calibri" w:eastAsia="Calibri" w:hAnsi="Calibri" w:cs="Calibri"/>
        </w:rPr>
        <w:t xml:space="preserve"> using the networks, fairs and different promotion channels of the Partner Institutions.</w:t>
      </w:r>
    </w:p>
    <w:p w14:paraId="4DDAD351" w14:textId="77777777"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The Consortium shall develop a Social Media strategy to approach, in a targeted way and without any concession to quality, as many suitable candidates for the programme as possible.</w:t>
      </w:r>
    </w:p>
    <w:p w14:paraId="5EE9A47D" w14:textId="77777777"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The Partner Institutions shall provide input to any common marketing material on request by the Coordinating Institution.</w:t>
      </w:r>
    </w:p>
    <w:p w14:paraId="445835FD" w14:textId="7BA90705"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 xml:space="preserve">Publicity material developed by the Partner Institutions locally shall be approved by the respective local </w:t>
      </w:r>
      <w:r w:rsidR="00B270F7">
        <w:rPr>
          <w:rFonts w:ascii="Calibri" w:eastAsia="Calibri" w:hAnsi="Calibri" w:cs="Calibri"/>
        </w:rPr>
        <w:t>XX</w:t>
      </w:r>
      <w:r>
        <w:rPr>
          <w:rFonts w:ascii="Calibri" w:eastAsia="Calibri" w:hAnsi="Calibri" w:cs="Calibri"/>
        </w:rPr>
        <w:t xml:space="preserve"> coordinator and shall always include a strong statement on the joint nature of the programme</w:t>
      </w:r>
      <w:commentRangeStart w:id="100"/>
      <w:r>
        <w:rPr>
          <w:rFonts w:ascii="Calibri" w:eastAsia="Calibri" w:hAnsi="Calibri" w:cs="Calibri"/>
        </w:rPr>
        <w:t>, and, if applicable, the EMJM funding awarded by the European Commission</w:t>
      </w:r>
      <w:commentRangeEnd w:id="100"/>
      <w:r>
        <w:commentReference w:id="100"/>
      </w:r>
      <w:r>
        <w:rPr>
          <w:rFonts w:ascii="Calibri" w:eastAsia="Calibri" w:hAnsi="Calibri" w:cs="Calibri"/>
        </w:rPr>
        <w:t>.</w:t>
      </w:r>
    </w:p>
    <w:p w14:paraId="57038189" w14:textId="77777777"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The Consortium shall motivate students and alumni (starting with the graduation of the first intake) to promote the programme in their universities of origin, at their workplaces and in different societal contexts, using social media, information materials provided by the Partner Institutions, and word of mouth.</w:t>
      </w:r>
    </w:p>
    <w:p w14:paraId="3C8D4C52" w14:textId="26E44215"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 xml:space="preserve">To achieve a balanced gender distribution in the Master programme, </w:t>
      </w:r>
      <w:r w:rsidR="00B270F7">
        <w:rPr>
          <w:rFonts w:ascii="Calibri" w:eastAsia="Calibri" w:hAnsi="Calibri" w:cs="Calibri"/>
        </w:rPr>
        <w:t>XX</w:t>
      </w:r>
      <w:r>
        <w:rPr>
          <w:rFonts w:ascii="Calibri" w:eastAsia="Calibri" w:hAnsi="Calibri" w:cs="Calibri"/>
        </w:rPr>
        <w:t xml:space="preserve"> will implement a communication strategy on gender parity in all texts, but even more so visually with pictures on the </w:t>
      </w:r>
      <w:r w:rsidR="00B270F7">
        <w:rPr>
          <w:rFonts w:ascii="Calibri" w:eastAsia="Calibri" w:hAnsi="Calibri" w:cs="Calibri"/>
        </w:rPr>
        <w:t>XX</w:t>
      </w:r>
      <w:r>
        <w:rPr>
          <w:rFonts w:ascii="Calibri" w:eastAsia="Calibri" w:hAnsi="Calibri" w:cs="Calibri"/>
        </w:rPr>
        <w:t xml:space="preserve"> website and in printed information materials, communicate that the programme is equally destined to all.</w:t>
      </w:r>
    </w:p>
    <w:p w14:paraId="13B5C0AE" w14:textId="77777777" w:rsidR="006B113F" w:rsidRDefault="00000000">
      <w:pPr>
        <w:widowControl w:val="0"/>
        <w:numPr>
          <w:ilvl w:val="0"/>
          <w:numId w:val="37"/>
        </w:numPr>
        <w:tabs>
          <w:tab w:val="left" w:pos="461"/>
        </w:tabs>
        <w:spacing w:line="240" w:lineRule="auto"/>
        <w:jc w:val="both"/>
        <w:rPr>
          <w:color w:val="000000"/>
        </w:rPr>
      </w:pPr>
      <w:r>
        <w:rPr>
          <w:rFonts w:ascii="Calibri" w:eastAsia="Calibri" w:hAnsi="Calibri" w:cs="Calibri"/>
        </w:rPr>
        <w:t xml:space="preserve">The Academic Study Board shall hold discussions at least once a year on the communication strategy for promoting the degree programme and the channels to be used, including, but not limited to, </w:t>
      </w:r>
    </w:p>
    <w:p w14:paraId="3EAD935A" w14:textId="77777777" w:rsidR="006B113F" w:rsidRDefault="00000000">
      <w:pPr>
        <w:widowControl w:val="0"/>
        <w:numPr>
          <w:ilvl w:val="1"/>
          <w:numId w:val="37"/>
        </w:numPr>
        <w:tabs>
          <w:tab w:val="left" w:pos="461"/>
        </w:tabs>
        <w:spacing w:line="240" w:lineRule="auto"/>
        <w:ind w:left="993" w:hanging="283"/>
        <w:jc w:val="both"/>
        <w:rPr>
          <w:rFonts w:ascii="Calibri" w:eastAsia="Calibri" w:hAnsi="Calibri" w:cs="Calibri"/>
        </w:rPr>
      </w:pPr>
      <w:r>
        <w:rPr>
          <w:rFonts w:ascii="Calibri" w:eastAsia="Calibri" w:hAnsi="Calibri" w:cs="Calibri"/>
        </w:rPr>
        <w:t xml:space="preserve">the use of the website of the degree programme, of social media, of the websites of the Partner Institutions, and </w:t>
      </w:r>
    </w:p>
    <w:p w14:paraId="23FAA9C1" w14:textId="77777777" w:rsidR="006B113F" w:rsidRDefault="00000000">
      <w:pPr>
        <w:widowControl w:val="0"/>
        <w:numPr>
          <w:ilvl w:val="1"/>
          <w:numId w:val="37"/>
        </w:numPr>
        <w:tabs>
          <w:tab w:val="left" w:pos="461"/>
        </w:tabs>
        <w:spacing w:line="240" w:lineRule="auto"/>
        <w:ind w:left="993" w:hanging="283"/>
        <w:jc w:val="both"/>
        <w:rPr>
          <w:rFonts w:ascii="Calibri" w:eastAsia="Calibri" w:hAnsi="Calibri" w:cs="Calibri"/>
        </w:rPr>
      </w:pPr>
      <w:r>
        <w:rPr>
          <w:rFonts w:ascii="Calibri" w:eastAsia="Calibri" w:hAnsi="Calibri" w:cs="Calibri"/>
        </w:rPr>
        <w:t>interaction with European and international agencies for higher education, cultural services and diplomatic representations of the Partner Institution countries and the European Union, scientific and professional bodies and organisations, and international scientific conferences.</w:t>
      </w:r>
    </w:p>
    <w:p w14:paraId="624F2495" w14:textId="77777777" w:rsidR="006B113F" w:rsidRDefault="006B113F">
      <w:pPr>
        <w:widowControl w:val="0"/>
        <w:spacing w:line="240" w:lineRule="auto"/>
        <w:jc w:val="both"/>
        <w:rPr>
          <w:rFonts w:ascii="Calibri" w:eastAsia="Calibri" w:hAnsi="Calibri" w:cs="Calibri"/>
          <w:sz w:val="16"/>
          <w:szCs w:val="16"/>
        </w:rPr>
      </w:pPr>
    </w:p>
    <w:p w14:paraId="113B4F4F" w14:textId="1A4D32B1" w:rsidR="006B113F" w:rsidRDefault="00B270F7">
      <w:pPr>
        <w:pStyle w:val="berschrift2"/>
        <w:keepNext w:val="0"/>
        <w:keepLines w:val="0"/>
        <w:widowControl w:val="0"/>
        <w:numPr>
          <w:ilvl w:val="1"/>
          <w:numId w:val="25"/>
        </w:numPr>
        <w:tabs>
          <w:tab w:val="left" w:pos="677"/>
        </w:tabs>
        <w:spacing w:before="0" w:after="0" w:line="240" w:lineRule="auto"/>
        <w:ind w:hanging="622"/>
        <w:jc w:val="both"/>
      </w:pPr>
      <w:bookmarkStart w:id="101" w:name="_Toc141279981"/>
      <w:r>
        <w:rPr>
          <w:rFonts w:ascii="Calibri" w:eastAsia="Calibri" w:hAnsi="Calibri" w:cs="Calibri"/>
          <w:b/>
          <w:color w:val="4F81BC"/>
          <w:sz w:val="26"/>
          <w:szCs w:val="26"/>
        </w:rPr>
        <w:t>XX</w:t>
      </w:r>
      <w:r w:rsidR="00000000">
        <w:rPr>
          <w:rFonts w:ascii="Calibri" w:eastAsia="Calibri" w:hAnsi="Calibri" w:cs="Calibri"/>
          <w:b/>
          <w:color w:val="4F81BC"/>
          <w:sz w:val="26"/>
          <w:szCs w:val="26"/>
        </w:rPr>
        <w:t xml:space="preserve"> Website</w:t>
      </w:r>
      <w:bookmarkEnd w:id="101"/>
    </w:p>
    <w:p w14:paraId="2B5E41BF" w14:textId="34FFF3E5" w:rsidR="006B113F" w:rsidRDefault="00000000">
      <w:pPr>
        <w:widowControl w:val="0"/>
        <w:numPr>
          <w:ilvl w:val="0"/>
          <w:numId w:val="11"/>
        </w:numPr>
        <w:tabs>
          <w:tab w:val="left" w:pos="461"/>
        </w:tabs>
        <w:spacing w:line="240" w:lineRule="auto"/>
        <w:jc w:val="both"/>
        <w:rPr>
          <w:color w:val="000000"/>
        </w:rPr>
      </w:pPr>
      <w:r>
        <w:rPr>
          <w:rFonts w:ascii="Calibri" w:eastAsia="Calibri" w:hAnsi="Calibri" w:cs="Calibri"/>
        </w:rPr>
        <w:t xml:space="preserve">The Consortium </w:t>
      </w:r>
      <w:commentRangeStart w:id="102"/>
      <w:r>
        <w:rPr>
          <w:rFonts w:ascii="Calibri" w:eastAsia="Calibri" w:hAnsi="Calibri" w:cs="Calibri"/>
        </w:rPr>
        <w:t>shall jointly set up a single</w:t>
      </w:r>
      <w:commentRangeEnd w:id="102"/>
      <w:r>
        <w:commentReference w:id="102"/>
      </w:r>
      <w:r>
        <w:rPr>
          <w:rFonts w:ascii="Calibri" w:eastAsia="Calibri" w:hAnsi="Calibri" w:cs="Calibri"/>
        </w:rPr>
        <w:t xml:space="preserve">, comprehensive, integrated website for the </w:t>
      </w:r>
      <w:r w:rsidR="00B270F7">
        <w:rPr>
          <w:rFonts w:ascii="Calibri" w:eastAsia="Calibri" w:hAnsi="Calibri" w:cs="Calibri"/>
        </w:rPr>
        <w:t>XX</w:t>
      </w:r>
      <w:r>
        <w:rPr>
          <w:rFonts w:ascii="Calibri" w:eastAsia="Calibri" w:hAnsi="Calibri" w:cs="Calibri"/>
        </w:rPr>
        <w:t xml:space="preserve"> programme, providing all the necessary information on the joint degree programme for students (including a link to the admission portal), future employers, and stakeholders.</w:t>
      </w:r>
    </w:p>
    <w:p w14:paraId="42570989" w14:textId="1D76ED98" w:rsidR="006B113F" w:rsidRDefault="00000000">
      <w:pPr>
        <w:widowControl w:val="0"/>
        <w:numPr>
          <w:ilvl w:val="0"/>
          <w:numId w:val="11"/>
        </w:numPr>
        <w:tabs>
          <w:tab w:val="left" w:pos="461"/>
        </w:tabs>
        <w:spacing w:line="240" w:lineRule="auto"/>
        <w:jc w:val="both"/>
        <w:rPr>
          <w:color w:val="000000"/>
        </w:rPr>
      </w:pPr>
      <w:r>
        <w:rPr>
          <w:rFonts w:ascii="Calibri" w:eastAsia="Calibri" w:hAnsi="Calibri" w:cs="Calibri"/>
        </w:rPr>
        <w:t xml:space="preserve">The Partner Institutions shall provide input for the </w:t>
      </w:r>
      <w:r w:rsidR="00B270F7">
        <w:rPr>
          <w:rFonts w:ascii="Calibri" w:eastAsia="Calibri" w:hAnsi="Calibri" w:cs="Calibri"/>
        </w:rPr>
        <w:t>XX</w:t>
      </w:r>
      <w:r>
        <w:rPr>
          <w:rFonts w:ascii="Calibri" w:eastAsia="Calibri" w:hAnsi="Calibri" w:cs="Calibri"/>
        </w:rPr>
        <w:t xml:space="preserve"> website and shall maintain links to the </w:t>
      </w:r>
      <w:r w:rsidR="00B270F7">
        <w:rPr>
          <w:rFonts w:ascii="Calibri" w:eastAsia="Calibri" w:hAnsi="Calibri" w:cs="Calibri"/>
        </w:rPr>
        <w:t>XX</w:t>
      </w:r>
      <w:r>
        <w:rPr>
          <w:rFonts w:ascii="Calibri" w:eastAsia="Calibri" w:hAnsi="Calibri" w:cs="Calibri"/>
        </w:rPr>
        <w:t xml:space="preserve"> website from their own local websites.</w:t>
      </w:r>
    </w:p>
    <w:p w14:paraId="2015B1DA" w14:textId="77777777" w:rsidR="006B113F" w:rsidRDefault="00000000">
      <w:pPr>
        <w:widowControl w:val="0"/>
        <w:numPr>
          <w:ilvl w:val="0"/>
          <w:numId w:val="11"/>
        </w:numPr>
        <w:spacing w:line="240" w:lineRule="auto"/>
        <w:jc w:val="both"/>
        <w:rPr>
          <w:color w:val="000000"/>
        </w:rPr>
      </w:pPr>
      <w:r>
        <w:rPr>
          <w:rFonts w:ascii="Calibri" w:eastAsia="Calibri" w:hAnsi="Calibri" w:cs="Calibri"/>
        </w:rPr>
        <w:t>The Partner Institutions shall include details of the programme in their local websites, as well as in their social media channels, printed information materials and other promotional tools, and include the programme as part of their entries in compendia and other information media.</w:t>
      </w:r>
    </w:p>
    <w:p w14:paraId="7B54ACF1" w14:textId="77777777" w:rsidR="006B113F" w:rsidRDefault="006B113F">
      <w:pPr>
        <w:widowControl w:val="0"/>
        <w:spacing w:line="240" w:lineRule="auto"/>
        <w:jc w:val="both"/>
        <w:rPr>
          <w:rFonts w:ascii="Calibri" w:eastAsia="Calibri" w:hAnsi="Calibri" w:cs="Calibri"/>
          <w:sz w:val="16"/>
          <w:szCs w:val="16"/>
        </w:rPr>
      </w:pPr>
    </w:p>
    <w:p w14:paraId="7A7B94F4" w14:textId="77777777" w:rsidR="006B113F" w:rsidRDefault="00000000">
      <w:pPr>
        <w:pStyle w:val="berschrift2"/>
        <w:keepNext w:val="0"/>
        <w:keepLines w:val="0"/>
        <w:widowControl w:val="0"/>
        <w:numPr>
          <w:ilvl w:val="1"/>
          <w:numId w:val="25"/>
        </w:numPr>
        <w:tabs>
          <w:tab w:val="left" w:pos="677"/>
        </w:tabs>
        <w:spacing w:before="0" w:after="0" w:line="240" w:lineRule="auto"/>
        <w:ind w:hanging="650"/>
        <w:jc w:val="both"/>
      </w:pPr>
      <w:bookmarkStart w:id="103" w:name="_Toc141279982"/>
      <w:r>
        <w:rPr>
          <w:rFonts w:ascii="Calibri" w:eastAsia="Calibri" w:hAnsi="Calibri" w:cs="Calibri"/>
          <w:b/>
          <w:color w:val="4F81BC"/>
          <w:sz w:val="26"/>
          <w:szCs w:val="26"/>
        </w:rPr>
        <w:t>Use of Crests and Logos</w:t>
      </w:r>
      <w:bookmarkEnd w:id="103"/>
    </w:p>
    <w:p w14:paraId="720E5B22" w14:textId="7DD90153" w:rsidR="006B113F" w:rsidRDefault="00000000">
      <w:pPr>
        <w:widowControl w:val="0"/>
        <w:numPr>
          <w:ilvl w:val="0"/>
          <w:numId w:val="34"/>
        </w:numPr>
        <w:tabs>
          <w:tab w:val="left" w:pos="461"/>
        </w:tabs>
        <w:spacing w:line="240" w:lineRule="auto"/>
        <w:jc w:val="both"/>
        <w:rPr>
          <w:color w:val="000000"/>
        </w:rPr>
      </w:pPr>
      <w:r>
        <w:rPr>
          <w:rFonts w:ascii="Calibri" w:eastAsia="Calibri" w:hAnsi="Calibri" w:cs="Calibri"/>
        </w:rPr>
        <w:t xml:space="preserve">Each Partner Institution agrees that the Consortium may use and display its name and logo for the purposes of the provision of the degree programme and the development of promotional materials, degree programme literature and other documentation as well as in advertisements, prospectuses, and other publicity materials of the </w:t>
      </w:r>
      <w:r w:rsidR="00B270F7">
        <w:rPr>
          <w:rFonts w:ascii="Calibri" w:eastAsia="Calibri" w:hAnsi="Calibri" w:cs="Calibri"/>
        </w:rPr>
        <w:t>XX</w:t>
      </w:r>
      <w:r>
        <w:rPr>
          <w:rFonts w:ascii="Calibri" w:eastAsia="Calibri" w:hAnsi="Calibri" w:cs="Calibri"/>
        </w:rPr>
        <w:t xml:space="preserve"> degree programme. In all cases, the wording should be in accordance with the guidelines of each Partner Institution.</w:t>
      </w:r>
    </w:p>
    <w:p w14:paraId="2BCB295B" w14:textId="77777777" w:rsidR="006B113F" w:rsidRDefault="00000000">
      <w:pPr>
        <w:widowControl w:val="0"/>
        <w:numPr>
          <w:ilvl w:val="0"/>
          <w:numId w:val="34"/>
        </w:numPr>
        <w:tabs>
          <w:tab w:val="left" w:pos="461"/>
        </w:tabs>
        <w:spacing w:line="240" w:lineRule="auto"/>
        <w:jc w:val="both"/>
        <w:rPr>
          <w:color w:val="000000"/>
        </w:rPr>
      </w:pPr>
      <w:r>
        <w:rPr>
          <w:rFonts w:ascii="Calibri" w:eastAsia="Calibri" w:hAnsi="Calibri" w:cs="Calibri"/>
        </w:rPr>
        <w:t xml:space="preserve">The degree-awarding Partner Institutions hereby allow each other to use their crests and logos on </w:t>
      </w:r>
      <w:r>
        <w:rPr>
          <w:rFonts w:ascii="Calibri" w:eastAsia="Calibri" w:hAnsi="Calibri" w:cs="Calibri"/>
        </w:rPr>
        <w:lastRenderedPageBreak/>
        <w:t>the joint degree award and on the Diploma Supplement issued under this Partnership Agreement. Through appropriate use of all Partner Institutions' logos, names and design identities, promotional material shall indicate that the degree programme is delivered by the Consortium partners and that it shall lead to the award of a joint degree.</w:t>
      </w:r>
      <w:r>
        <w:rPr>
          <w:rFonts w:ascii="Calibri" w:eastAsia="Calibri" w:hAnsi="Calibri" w:cs="Calibri"/>
          <w:lang w:val="eu-ES"/>
        </w:rPr>
        <w:t xml:space="preserve"> It is noted that UCC is a member of the federal National University of Ireland (NUI) and the NUI crest and logo may be used on the diploma parchments. </w:t>
      </w:r>
      <w:r>
        <w:rPr>
          <w:rFonts w:ascii="Calibri" w:eastAsia="Calibri" w:hAnsi="Calibri" w:cs="Calibri"/>
        </w:rPr>
        <w:t xml:space="preserve"> </w:t>
      </w:r>
    </w:p>
    <w:p w14:paraId="2BFE413B" w14:textId="77777777" w:rsidR="006B113F" w:rsidRDefault="00000000">
      <w:pPr>
        <w:widowControl w:val="0"/>
        <w:numPr>
          <w:ilvl w:val="0"/>
          <w:numId w:val="34"/>
        </w:numPr>
        <w:tabs>
          <w:tab w:val="left" w:pos="461"/>
        </w:tabs>
        <w:spacing w:line="240" w:lineRule="auto"/>
        <w:jc w:val="both"/>
        <w:rPr>
          <w:color w:val="000000"/>
        </w:rPr>
      </w:pPr>
      <w:r>
        <w:rPr>
          <w:rFonts w:ascii="Calibri" w:eastAsia="Calibri" w:hAnsi="Calibri" w:cs="Calibri"/>
        </w:rPr>
        <w:t>Each Partner Institution hereby undertakes that it shall not at any time, use, or permit to be used by third parties, the name, insignia, logo, or other distinctive identifying features of the other Partner Institutions, except where such use is authorised under this Agreement or another agreement between the Partner Institutions involved.</w:t>
      </w:r>
    </w:p>
    <w:p w14:paraId="54193E9D" w14:textId="7C22C44E" w:rsidR="006B113F" w:rsidRDefault="00000000">
      <w:pPr>
        <w:widowControl w:val="0"/>
        <w:numPr>
          <w:ilvl w:val="0"/>
          <w:numId w:val="34"/>
        </w:numPr>
        <w:tabs>
          <w:tab w:val="left" w:pos="461"/>
        </w:tabs>
        <w:spacing w:line="240" w:lineRule="auto"/>
        <w:jc w:val="both"/>
        <w:rPr>
          <w:color w:val="000000"/>
        </w:rPr>
      </w:pPr>
      <w:commentRangeStart w:id="104"/>
      <w:r>
        <w:rPr>
          <w:rFonts w:ascii="Calibri" w:eastAsia="Calibri" w:hAnsi="Calibri" w:cs="Calibri"/>
        </w:rPr>
        <w:t xml:space="preserve">Should the European Commission award the programme Erasmus Mundus Joint Master Degree status within the framework of the EMJM scheme, the Consortium and its Partner Institutions shall use the EU flag in conjunction with the name “funded by Erasmus+” in all promotional material regarding the degree programme, on the joint </w:t>
      </w:r>
      <w:r w:rsidR="00B270F7">
        <w:rPr>
          <w:rFonts w:ascii="Calibri" w:eastAsia="Calibri" w:hAnsi="Calibri" w:cs="Calibri"/>
        </w:rPr>
        <w:t>XX</w:t>
      </w:r>
      <w:r>
        <w:rPr>
          <w:rFonts w:ascii="Calibri" w:eastAsia="Calibri" w:hAnsi="Calibri" w:cs="Calibri"/>
        </w:rPr>
        <w:t xml:space="preserve"> website, in printed material, and at student fairs, in accordance with the stipulations of the grant agreement concluded between the Consortium and the European Commission.</w:t>
      </w:r>
      <w:commentRangeEnd w:id="104"/>
      <w:r>
        <w:commentReference w:id="104"/>
      </w:r>
    </w:p>
    <w:p w14:paraId="493A3CB0"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5A36F896"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09EB8BBB" w14:textId="77777777" w:rsidR="006B113F" w:rsidRDefault="00000000">
      <w:pPr>
        <w:pStyle w:val="berschrift1"/>
        <w:keepNext w:val="0"/>
        <w:keepLines w:val="0"/>
        <w:widowControl w:val="0"/>
        <w:tabs>
          <w:tab w:val="left" w:pos="1518"/>
        </w:tabs>
        <w:spacing w:before="0" w:after="0" w:line="240" w:lineRule="auto"/>
        <w:ind w:left="100"/>
        <w:jc w:val="both"/>
        <w:rPr>
          <w:rFonts w:ascii="Calibri" w:eastAsia="Calibri" w:hAnsi="Calibri" w:cs="Calibri"/>
          <w:b/>
          <w:color w:val="365F91"/>
          <w:sz w:val="28"/>
          <w:szCs w:val="28"/>
        </w:rPr>
      </w:pPr>
      <w:bookmarkStart w:id="105" w:name="_Toc141279983"/>
      <w:r>
        <w:rPr>
          <w:rFonts w:ascii="Calibri" w:eastAsia="Calibri" w:hAnsi="Calibri" w:cs="Calibri"/>
          <w:b/>
          <w:color w:val="365F91"/>
          <w:sz w:val="28"/>
          <w:szCs w:val="28"/>
        </w:rPr>
        <w:t>Article 10</w:t>
      </w:r>
      <w:r>
        <w:rPr>
          <w:rFonts w:ascii="Calibri" w:eastAsia="Calibri" w:hAnsi="Calibri" w:cs="Calibri"/>
          <w:b/>
          <w:color w:val="365F91"/>
          <w:sz w:val="28"/>
          <w:szCs w:val="28"/>
        </w:rPr>
        <w:tab/>
      </w:r>
      <w:commentRangeStart w:id="106"/>
      <w:r>
        <w:rPr>
          <w:rFonts w:ascii="Calibri" w:eastAsia="Calibri" w:hAnsi="Calibri" w:cs="Calibri"/>
          <w:b/>
          <w:color w:val="365F91"/>
          <w:sz w:val="28"/>
          <w:szCs w:val="28"/>
        </w:rPr>
        <w:t>Financial Management</w:t>
      </w:r>
      <w:bookmarkEnd w:id="105"/>
      <w:r>
        <w:rPr>
          <w:rFonts w:ascii="Calibri" w:eastAsia="Calibri" w:hAnsi="Calibri" w:cs="Calibri"/>
          <w:b/>
          <w:color w:val="365F91"/>
          <w:sz w:val="28"/>
          <w:szCs w:val="28"/>
        </w:rPr>
        <w:t xml:space="preserve"> </w:t>
      </w:r>
      <w:commentRangeEnd w:id="106"/>
      <w:r>
        <w:commentReference w:id="106"/>
      </w:r>
    </w:p>
    <w:p w14:paraId="6851ACCC" w14:textId="77777777" w:rsidR="006B113F" w:rsidRDefault="006B113F">
      <w:pPr>
        <w:spacing w:line="240" w:lineRule="auto"/>
      </w:pPr>
    </w:p>
    <w:p w14:paraId="205F0639" w14:textId="77777777" w:rsidR="006B113F" w:rsidRDefault="00000000">
      <w:pPr>
        <w:pStyle w:val="berschrift1"/>
        <w:keepNext w:val="0"/>
        <w:keepLines w:val="0"/>
        <w:widowControl w:val="0"/>
        <w:numPr>
          <w:ilvl w:val="0"/>
          <w:numId w:val="71"/>
        </w:numPr>
        <w:tabs>
          <w:tab w:val="left" w:pos="1518"/>
        </w:tabs>
        <w:spacing w:before="0" w:after="0" w:line="240" w:lineRule="auto"/>
        <w:ind w:hanging="708"/>
        <w:jc w:val="both"/>
        <w:rPr>
          <w:rFonts w:ascii="Calibri" w:eastAsia="Calibri" w:hAnsi="Calibri" w:cs="Calibri"/>
          <w:b/>
          <w:color w:val="365F91"/>
          <w:sz w:val="28"/>
          <w:szCs w:val="28"/>
        </w:rPr>
      </w:pPr>
      <w:bookmarkStart w:id="107" w:name="_Toc141279984"/>
      <w:r>
        <w:rPr>
          <w:rFonts w:ascii="Calibri" w:eastAsia="Calibri" w:hAnsi="Calibri" w:cs="Calibri"/>
          <w:b/>
          <w:color w:val="4F81BC"/>
          <w:sz w:val="26"/>
          <w:szCs w:val="26"/>
        </w:rPr>
        <w:t>Financial Arrangements</w:t>
      </w:r>
      <w:bookmarkEnd w:id="107"/>
    </w:p>
    <w:p w14:paraId="787E72B3" w14:textId="7A6D3CFC" w:rsidR="006B113F" w:rsidRDefault="00000000">
      <w:pPr>
        <w:widowControl w:val="0"/>
        <w:numPr>
          <w:ilvl w:val="0"/>
          <w:numId w:val="38"/>
        </w:numPr>
        <w:tabs>
          <w:tab w:val="left" w:pos="461"/>
        </w:tabs>
        <w:spacing w:line="240" w:lineRule="auto"/>
        <w:jc w:val="both"/>
        <w:rPr>
          <w:rFonts w:ascii="Calibri" w:eastAsia="Calibri" w:hAnsi="Calibri" w:cs="Calibri"/>
        </w:rPr>
      </w:pPr>
      <w:r>
        <w:rPr>
          <w:rFonts w:ascii="Calibri" w:eastAsia="Calibri" w:hAnsi="Calibri" w:cs="Calibri"/>
        </w:rPr>
        <w:t xml:space="preserve">The Partner Institutions agreed on a cost calculation and income distribution model (cp annex financial management) </w:t>
      </w:r>
      <w:r>
        <w:rPr>
          <w:rFonts w:ascii="Calibri" w:eastAsia="Times New Roman" w:hAnsi="Calibri" w:cs="Calibri"/>
          <w:color w:val="000000"/>
          <w:lang w:val="en-GB"/>
        </w:rPr>
        <w:t xml:space="preserve">for </w:t>
      </w:r>
      <w:r w:rsidR="00B270F7">
        <w:rPr>
          <w:rFonts w:ascii="Calibri" w:eastAsia="Times New Roman" w:hAnsi="Calibri" w:cs="Calibri"/>
          <w:color w:val="000000"/>
          <w:lang w:val="en-GB"/>
        </w:rPr>
        <w:t>XX</w:t>
      </w:r>
      <w:r>
        <w:rPr>
          <w:rFonts w:ascii="Calibri" w:eastAsia="Times New Roman" w:hAnsi="Calibri" w:cs="Calibri"/>
          <w:color w:val="000000"/>
          <w:lang w:val="en-GB"/>
        </w:rPr>
        <w:t xml:space="preserve"> as a framework to determine the student participation fees which cover the expenses incurred by the study programme. </w:t>
      </w:r>
    </w:p>
    <w:p w14:paraId="26032D7F" w14:textId="0C66440D" w:rsidR="006B113F" w:rsidRDefault="00000000">
      <w:pPr>
        <w:widowControl w:val="0"/>
        <w:numPr>
          <w:ilvl w:val="0"/>
          <w:numId w:val="38"/>
        </w:numPr>
        <w:tabs>
          <w:tab w:val="left" w:pos="461"/>
        </w:tabs>
        <w:spacing w:line="240"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This </w:t>
      </w:r>
      <w:r>
        <w:rPr>
          <w:rFonts w:ascii="Calibri" w:eastAsia="Calibri" w:hAnsi="Calibri" w:cs="Calibri"/>
        </w:rPr>
        <w:t>cost calculation and income distribution model,</w:t>
      </w:r>
      <w:r>
        <w:rPr>
          <w:rFonts w:ascii="Calibri" w:eastAsia="Times New Roman" w:hAnsi="Calibri" w:cs="Calibri"/>
          <w:color w:val="000000"/>
          <w:lang w:val="en-GB"/>
        </w:rPr>
        <w:t xml:space="preserve"> and the student participation fees can only be amended by joint decision of the senior management of the </w:t>
      </w:r>
      <w:r w:rsidR="00B270F7">
        <w:rPr>
          <w:rFonts w:ascii="Calibri" w:eastAsia="Times New Roman" w:hAnsi="Calibri" w:cs="Calibri"/>
          <w:color w:val="000000"/>
          <w:lang w:val="en-GB"/>
        </w:rPr>
        <w:t>XX</w:t>
      </w:r>
      <w:r>
        <w:rPr>
          <w:rFonts w:ascii="Calibri" w:eastAsia="Times New Roman" w:hAnsi="Calibri" w:cs="Calibri"/>
          <w:color w:val="000000"/>
          <w:lang w:val="en-GB"/>
        </w:rPr>
        <w:t xml:space="preserve"> Partner Universities.</w:t>
      </w:r>
    </w:p>
    <w:p w14:paraId="62F52D56" w14:textId="77777777" w:rsidR="006B113F" w:rsidRDefault="00000000">
      <w:pPr>
        <w:widowControl w:val="0"/>
        <w:numPr>
          <w:ilvl w:val="0"/>
          <w:numId w:val="38"/>
        </w:numPr>
        <w:tabs>
          <w:tab w:val="left" w:pos="461"/>
        </w:tabs>
        <w:spacing w:line="240" w:lineRule="auto"/>
        <w:jc w:val="both"/>
        <w:rPr>
          <w:color w:val="000000"/>
        </w:rPr>
      </w:pPr>
      <w:r>
        <w:rPr>
          <w:rFonts w:ascii="Calibri" w:eastAsia="Times New Roman" w:hAnsi="Calibri" w:cs="Calibri"/>
          <w:color w:val="000000"/>
          <w:lang w:val="en-GB"/>
        </w:rPr>
        <w:t xml:space="preserve">The Partner Institutions receive financial compensation </w:t>
      </w:r>
      <w:r>
        <w:rPr>
          <w:rFonts w:ascii="Calibri" w:eastAsia="Calibri" w:hAnsi="Calibri" w:cs="Calibri"/>
        </w:rPr>
        <w:t>in regular intervals</w:t>
      </w:r>
      <w:r>
        <w:rPr>
          <w:rFonts w:ascii="Calibri" w:eastAsia="Times New Roman" w:hAnsi="Calibri" w:cs="Calibri"/>
          <w:color w:val="000000"/>
          <w:lang w:val="en-GB"/>
        </w:rPr>
        <w:t xml:space="preserve"> as set out in the financial annex from the student participation fees for their teaching and managerial input and</w:t>
      </w:r>
      <w:r>
        <w:rPr>
          <w:rFonts w:ascii="Calibri" w:eastAsia="Times New Roman" w:hAnsi="Calibri" w:cs="Calibri"/>
          <w:color w:val="000000"/>
        </w:rPr>
        <w:t xml:space="preserve"> other programme-related expenditures</w:t>
      </w:r>
      <w:r>
        <w:rPr>
          <w:rFonts w:ascii="Calibri" w:eastAsia="Times New Roman" w:hAnsi="Calibri" w:cs="Calibri"/>
          <w:color w:val="000000"/>
          <w:lang w:val="en-GB"/>
        </w:rPr>
        <w:t xml:space="preserve">. </w:t>
      </w:r>
    </w:p>
    <w:p w14:paraId="72D93207" w14:textId="177E2630" w:rsidR="006B113F" w:rsidRDefault="00000000">
      <w:pPr>
        <w:widowControl w:val="0"/>
        <w:numPr>
          <w:ilvl w:val="0"/>
          <w:numId w:val="38"/>
        </w:numPr>
        <w:tabs>
          <w:tab w:val="left" w:pos="461"/>
        </w:tabs>
        <w:spacing w:line="240" w:lineRule="auto"/>
        <w:jc w:val="both"/>
        <w:rPr>
          <w:color w:val="000000"/>
        </w:rPr>
      </w:pPr>
      <w:r>
        <w:rPr>
          <w:rFonts w:ascii="Calibri" w:eastAsia="Calibri" w:hAnsi="Calibri" w:cs="Calibri"/>
        </w:rPr>
        <w:t xml:space="preserve">The Partner Institutions further agree to run the </w:t>
      </w:r>
      <w:r w:rsidR="00B270F7">
        <w:rPr>
          <w:rFonts w:ascii="Calibri" w:eastAsia="Calibri" w:hAnsi="Calibri" w:cs="Calibri"/>
        </w:rPr>
        <w:t>XX</w:t>
      </w:r>
      <w:r>
        <w:rPr>
          <w:rFonts w:ascii="Calibri" w:eastAsia="Calibri" w:hAnsi="Calibri" w:cs="Calibri"/>
        </w:rPr>
        <w:t xml:space="preserve"> programme with or without external EMJM funding and developed a financial management plan to serve this end. </w:t>
      </w:r>
    </w:p>
    <w:p w14:paraId="11612511" w14:textId="77777777" w:rsidR="006B113F" w:rsidRDefault="00000000">
      <w:pPr>
        <w:widowControl w:val="0"/>
        <w:numPr>
          <w:ilvl w:val="0"/>
          <w:numId w:val="38"/>
        </w:numPr>
        <w:tabs>
          <w:tab w:val="left" w:pos="461"/>
        </w:tabs>
        <w:spacing w:line="240" w:lineRule="auto"/>
        <w:jc w:val="both"/>
        <w:rPr>
          <w:rFonts w:ascii="Calibri" w:eastAsia="Calibri" w:hAnsi="Calibri" w:cs="Calibri"/>
        </w:rPr>
      </w:pPr>
      <w:r>
        <w:rPr>
          <w:rFonts w:ascii="Calibri" w:eastAsia="Calibri" w:hAnsi="Calibri" w:cs="Calibri"/>
        </w:rPr>
        <w:t xml:space="preserve">To the extent legally possible for the Partner Institutions, the Coordinating Institution is hereby authorized to collect </w:t>
      </w:r>
      <w:r>
        <w:rPr>
          <w:rFonts w:ascii="Calibri" w:eastAsia="Times New Roman" w:hAnsi="Calibri" w:cs="Calibri"/>
          <w:color w:val="000000"/>
          <w:lang w:val="en-GB"/>
        </w:rPr>
        <w:t>participation fees</w:t>
      </w:r>
      <w:r>
        <w:rPr>
          <w:rFonts w:ascii="Calibri" w:eastAsia="Calibri" w:hAnsi="Calibri" w:cs="Calibri"/>
        </w:rPr>
        <w:t xml:space="preserve"> from students on behalf and in the name of the Partner Institutions.</w:t>
      </w:r>
    </w:p>
    <w:p w14:paraId="56D7ADA7" w14:textId="57973BEC" w:rsidR="006B113F" w:rsidRDefault="00000000">
      <w:pPr>
        <w:widowControl w:val="0"/>
        <w:numPr>
          <w:ilvl w:val="0"/>
          <w:numId w:val="38"/>
        </w:numPr>
        <w:tabs>
          <w:tab w:val="left" w:pos="461"/>
        </w:tabs>
        <w:spacing w:line="240" w:lineRule="auto"/>
        <w:jc w:val="both"/>
        <w:rPr>
          <w:color w:val="000000"/>
        </w:rPr>
      </w:pPr>
      <w:r>
        <w:rPr>
          <w:rFonts w:ascii="Calibri" w:eastAsia="Calibri" w:hAnsi="Calibri" w:cs="Calibri"/>
        </w:rPr>
        <w:t xml:space="preserve">The Partner Institutions authorize the Coordinating Institution to handle the financial management of the </w:t>
      </w:r>
      <w:r w:rsidR="00B270F7">
        <w:rPr>
          <w:rFonts w:ascii="Calibri" w:eastAsia="Calibri" w:hAnsi="Calibri" w:cs="Calibri"/>
        </w:rPr>
        <w:t>XX</w:t>
      </w:r>
      <w:r>
        <w:rPr>
          <w:rFonts w:ascii="Calibri" w:eastAsia="Calibri" w:hAnsi="Calibri" w:cs="Calibri"/>
        </w:rPr>
        <w:t xml:space="preserve"> programme on their behalf and to have overall responsibility for the financial management of the degree programme, including management of income and general expenditures in relation to the Consortium</w:t>
      </w:r>
      <w:commentRangeStart w:id="108"/>
      <w:r>
        <w:rPr>
          <w:rFonts w:ascii="Calibri" w:eastAsia="Calibri" w:hAnsi="Calibri" w:cs="Calibri"/>
        </w:rPr>
        <w:t>, as well as, in case of EMJM status, the administration and intake of the EMJM unit costs per student, and the management and distribution of EMJM scholarships</w:t>
      </w:r>
      <w:commentRangeEnd w:id="108"/>
      <w:r>
        <w:commentReference w:id="108"/>
      </w:r>
      <w:r>
        <w:rPr>
          <w:rFonts w:ascii="Calibri" w:eastAsia="Calibri" w:hAnsi="Calibri" w:cs="Calibri"/>
        </w:rPr>
        <w:t>.</w:t>
      </w:r>
    </w:p>
    <w:p w14:paraId="1731FF5F" w14:textId="77777777" w:rsidR="006B113F" w:rsidRDefault="00000000">
      <w:pPr>
        <w:widowControl w:val="0"/>
        <w:numPr>
          <w:ilvl w:val="0"/>
          <w:numId w:val="38"/>
        </w:numPr>
        <w:tabs>
          <w:tab w:val="left" w:pos="461"/>
        </w:tabs>
        <w:spacing w:line="240" w:lineRule="auto"/>
        <w:jc w:val="both"/>
        <w:rPr>
          <w:color w:val="000000"/>
        </w:rPr>
      </w:pPr>
      <w:r>
        <w:rPr>
          <w:rFonts w:ascii="Calibri" w:eastAsia="Calibri" w:hAnsi="Calibri" w:cs="Calibri"/>
        </w:rPr>
        <w:t>The Partner Institutions agree to the allocation of funds to the Coordinating Institution for general coordination tasks and for other partner institutions that may assume general consortium tasks previously agreed, and they agree that the Coordinating Institution establishes a re-distribution scheme of centrally collected tuition fees</w:t>
      </w:r>
      <w:commentRangeStart w:id="109"/>
      <w:r>
        <w:rPr>
          <w:rFonts w:ascii="Calibri" w:eastAsia="Calibri" w:hAnsi="Calibri" w:cs="Calibri"/>
        </w:rPr>
        <w:t>, and, in case of EMJM status, EU unit costs,</w:t>
      </w:r>
      <w:commentRangeEnd w:id="109"/>
      <w:r>
        <w:commentReference w:id="109"/>
      </w:r>
      <w:r>
        <w:rPr>
          <w:rFonts w:ascii="Calibri" w:eastAsia="Calibri" w:hAnsi="Calibri" w:cs="Calibri"/>
        </w:rPr>
        <w:t xml:space="preserve"> to the Partner Institutions, in relation to their teaching load and their administrative, technical, and educational contributions to the degree programme. </w:t>
      </w:r>
    </w:p>
    <w:p w14:paraId="55BD1147" w14:textId="77777777" w:rsidR="006B113F" w:rsidRDefault="00000000">
      <w:pPr>
        <w:widowControl w:val="0"/>
        <w:numPr>
          <w:ilvl w:val="0"/>
          <w:numId w:val="38"/>
        </w:numPr>
        <w:tabs>
          <w:tab w:val="left" w:pos="461"/>
        </w:tabs>
        <w:spacing w:line="240" w:lineRule="auto"/>
        <w:jc w:val="both"/>
        <w:rPr>
          <w:rFonts w:ascii="Calibri" w:eastAsia="Calibri" w:hAnsi="Calibri" w:cs="Calibri"/>
        </w:rPr>
      </w:pPr>
      <w:r>
        <w:rPr>
          <w:rFonts w:ascii="Calibri" w:eastAsia="Calibri" w:hAnsi="Calibri" w:cs="Calibri"/>
        </w:rPr>
        <w:t xml:space="preserve">The Academic Study Board establishes the annual and multi-annual budget of the study programme within the framework of the available programme income, </w:t>
      </w:r>
      <w:r>
        <w:rPr>
          <w:rFonts w:ascii="Calibri" w:eastAsia="Times New Roman" w:hAnsi="Calibri" w:cs="Calibri"/>
          <w:color w:val="000000"/>
          <w:lang w:val="en-GB"/>
        </w:rPr>
        <w:t xml:space="preserve">supported by financial expertise from the administration of the Partner Universities. </w:t>
      </w:r>
      <w:r>
        <w:rPr>
          <w:rFonts w:ascii="Calibri" w:eastAsia="Calibri" w:hAnsi="Calibri" w:cs="Calibri"/>
          <w:lang w:val="en-GB"/>
        </w:rPr>
        <w:t>W</w:t>
      </w:r>
      <w:r>
        <w:rPr>
          <w:rFonts w:ascii="Calibri" w:eastAsia="Calibri" w:hAnsi="Calibri" w:cs="Calibri"/>
        </w:rPr>
        <w:t>hen decisions related to finances have to be taken, the ASB should always be supported by financial expertise from the administration of the Partner Universities.</w:t>
      </w:r>
    </w:p>
    <w:p w14:paraId="514CAF6D" w14:textId="77777777" w:rsidR="006B113F" w:rsidRDefault="006B113F">
      <w:pPr>
        <w:pStyle w:val="berschrift1"/>
        <w:keepNext w:val="0"/>
        <w:keepLines w:val="0"/>
        <w:widowControl w:val="0"/>
        <w:tabs>
          <w:tab w:val="left" w:pos="1518"/>
        </w:tabs>
        <w:spacing w:before="0" w:after="0" w:line="240" w:lineRule="auto"/>
        <w:ind w:left="820"/>
        <w:jc w:val="both"/>
        <w:rPr>
          <w:rFonts w:ascii="Calibri" w:eastAsia="Calibri" w:hAnsi="Calibri" w:cs="Calibri"/>
          <w:b/>
          <w:color w:val="4F81BC"/>
          <w:sz w:val="26"/>
          <w:szCs w:val="26"/>
        </w:rPr>
      </w:pPr>
    </w:p>
    <w:p w14:paraId="05F2D240" w14:textId="77777777" w:rsidR="006B113F" w:rsidRDefault="00000000">
      <w:pPr>
        <w:pStyle w:val="berschrift1"/>
        <w:keepNext w:val="0"/>
        <w:keepLines w:val="0"/>
        <w:widowControl w:val="0"/>
        <w:numPr>
          <w:ilvl w:val="0"/>
          <w:numId w:val="72"/>
        </w:numPr>
        <w:tabs>
          <w:tab w:val="left" w:pos="1518"/>
        </w:tabs>
        <w:spacing w:before="0" w:after="0" w:line="240" w:lineRule="auto"/>
        <w:ind w:hanging="736"/>
        <w:jc w:val="both"/>
        <w:rPr>
          <w:rFonts w:ascii="Calibri" w:eastAsia="Calibri" w:hAnsi="Calibri" w:cs="Calibri"/>
          <w:b/>
          <w:color w:val="4F81BC"/>
          <w:sz w:val="26"/>
          <w:szCs w:val="26"/>
        </w:rPr>
      </w:pPr>
      <w:bookmarkStart w:id="110" w:name="_Toc141279985"/>
      <w:r>
        <w:rPr>
          <w:rFonts w:ascii="Calibri" w:eastAsia="Calibri" w:hAnsi="Calibri" w:cs="Calibri"/>
          <w:b/>
          <w:color w:val="4F81BC"/>
          <w:sz w:val="26"/>
          <w:szCs w:val="26"/>
        </w:rPr>
        <w:t>Programme Budget</w:t>
      </w:r>
      <w:bookmarkEnd w:id="110"/>
      <w:r>
        <w:rPr>
          <w:rFonts w:ascii="Calibri" w:eastAsia="Calibri" w:hAnsi="Calibri" w:cs="Calibri"/>
          <w:b/>
          <w:color w:val="4F81BC"/>
          <w:sz w:val="26"/>
          <w:szCs w:val="26"/>
        </w:rPr>
        <w:t xml:space="preserve"> </w:t>
      </w:r>
    </w:p>
    <w:p w14:paraId="4F789912" w14:textId="17EEA69E" w:rsidR="006B113F" w:rsidRDefault="00000000">
      <w:pPr>
        <w:widowControl w:val="0"/>
        <w:numPr>
          <w:ilvl w:val="0"/>
          <w:numId w:val="27"/>
        </w:numPr>
        <w:tabs>
          <w:tab w:val="left" w:pos="461"/>
        </w:tabs>
        <w:spacing w:line="240" w:lineRule="auto"/>
        <w:jc w:val="both"/>
        <w:rPr>
          <w:color w:val="000000"/>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joint income is administered by the Coordinating Institution. It is composed of the self-funded students’ participation fees (including tuition)</w:t>
      </w:r>
      <w:commentRangeStart w:id="111"/>
      <w:r>
        <w:rPr>
          <w:rFonts w:ascii="Calibri" w:eastAsia="Calibri" w:hAnsi="Calibri" w:cs="Calibri"/>
        </w:rPr>
        <w:t>, EMJM unit costs (if awarded),</w:t>
      </w:r>
      <w:commentRangeEnd w:id="111"/>
      <w:r>
        <w:commentReference w:id="111"/>
      </w:r>
      <w:r>
        <w:rPr>
          <w:rFonts w:ascii="Calibri" w:eastAsia="Calibri" w:hAnsi="Calibri" w:cs="Calibri"/>
        </w:rPr>
        <w:t xml:space="preserve"> and possible additional income, together named “programme income”. </w:t>
      </w:r>
    </w:p>
    <w:p w14:paraId="5608A292" w14:textId="32B8F75E" w:rsidR="006B113F" w:rsidRDefault="00B270F7">
      <w:pPr>
        <w:widowControl w:val="0"/>
        <w:numPr>
          <w:ilvl w:val="0"/>
          <w:numId w:val="27"/>
        </w:numPr>
        <w:tabs>
          <w:tab w:val="left" w:pos="461"/>
        </w:tabs>
        <w:spacing w:line="240" w:lineRule="auto"/>
        <w:jc w:val="both"/>
        <w:rPr>
          <w:rFonts w:ascii="Calibri" w:eastAsia="Calibri" w:hAnsi="Calibri" w:cs="Calibri"/>
        </w:rPr>
      </w:pPr>
      <w:r>
        <w:rPr>
          <w:rFonts w:ascii="Calibri" w:eastAsia="Calibri" w:hAnsi="Calibri" w:cs="Calibri"/>
        </w:rPr>
        <w:t>XX</w:t>
      </w:r>
      <w:r w:rsidR="00000000">
        <w:rPr>
          <w:rFonts w:ascii="Calibri" w:eastAsia="Calibri" w:hAnsi="Calibri" w:cs="Calibri"/>
        </w:rPr>
        <w:t xml:space="preserve"> student participation fees include fees for tuition and cost of various student services. These services may differ from institution to institution. </w:t>
      </w:r>
    </w:p>
    <w:p w14:paraId="24519EFF" w14:textId="15D0A009" w:rsidR="006B113F" w:rsidRDefault="00000000">
      <w:pPr>
        <w:numPr>
          <w:ilvl w:val="0"/>
          <w:numId w:val="27"/>
        </w:numPr>
        <w:spacing w:line="240" w:lineRule="auto"/>
        <w:jc w:val="both"/>
        <w:rPr>
          <w:color w:val="000000"/>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joint income is used for general programme expenditures, including, but not limited to, quality assurance, programme accreditation / evaluation, website maintenance, production of </w:t>
      </w:r>
      <w:r w:rsidR="00B270F7">
        <w:rPr>
          <w:rFonts w:ascii="Calibri" w:eastAsia="Calibri" w:hAnsi="Calibri" w:cs="Calibri"/>
        </w:rPr>
        <w:t>XX</w:t>
      </w:r>
      <w:r>
        <w:rPr>
          <w:rFonts w:ascii="Calibri" w:eastAsia="Calibri" w:hAnsi="Calibri" w:cs="Calibri"/>
        </w:rPr>
        <w:t xml:space="preserve"> publications and other </w:t>
      </w:r>
      <w:r>
        <w:rPr>
          <w:rFonts w:ascii="Calibri" w:eastAsia="Times New Roman" w:hAnsi="Calibri" w:cs="Calibri"/>
          <w:color w:val="000000"/>
          <w:lang w:val="en-GB"/>
        </w:rPr>
        <w:t>dissemination activities</w:t>
      </w:r>
      <w:r>
        <w:rPr>
          <w:rFonts w:ascii="Calibri" w:eastAsia="Calibri" w:hAnsi="Calibri" w:cs="Calibri"/>
        </w:rPr>
        <w:t xml:space="preserve">, other central expenditures as agreed by all parties, contingency. </w:t>
      </w:r>
    </w:p>
    <w:p w14:paraId="6A4D5BF3" w14:textId="100FBDFD" w:rsidR="006B113F" w:rsidRDefault="00000000">
      <w:pPr>
        <w:numPr>
          <w:ilvl w:val="0"/>
          <w:numId w:val="27"/>
        </w:numPr>
        <w:spacing w:line="240" w:lineRule="auto"/>
        <w:jc w:val="both"/>
        <w:rPr>
          <w:rFonts w:ascii="Calibri" w:eastAsia="Calibri" w:hAnsi="Calibri" w:cs="Calibri"/>
        </w:rPr>
      </w:pPr>
      <w:r>
        <w:rPr>
          <w:rFonts w:ascii="Calibri" w:eastAsia="Calibri" w:hAnsi="Calibri" w:cs="Calibri"/>
        </w:rPr>
        <w:t xml:space="preserve">The </w:t>
      </w:r>
      <w:r w:rsidR="00B270F7">
        <w:rPr>
          <w:rFonts w:ascii="Calibri" w:eastAsia="Calibri" w:hAnsi="Calibri" w:cs="Calibri"/>
        </w:rPr>
        <w:t>XX</w:t>
      </w:r>
      <w:r>
        <w:rPr>
          <w:rFonts w:ascii="Calibri" w:eastAsia="Calibri" w:hAnsi="Calibri" w:cs="Calibri"/>
        </w:rPr>
        <w:t xml:space="preserve"> Consortium will strive to make additional sources of income accessible, to expand the number of services and the quality of the education, and to secure financial sustainability.</w:t>
      </w:r>
    </w:p>
    <w:p w14:paraId="34CD65C6" w14:textId="1EEB682E" w:rsidR="006B113F" w:rsidRDefault="00000000">
      <w:pPr>
        <w:numPr>
          <w:ilvl w:val="0"/>
          <w:numId w:val="27"/>
        </w:numPr>
        <w:spacing w:line="240" w:lineRule="auto"/>
        <w:jc w:val="both"/>
        <w:rPr>
          <w:color w:val="000000"/>
        </w:rPr>
      </w:pPr>
      <w:r>
        <w:rPr>
          <w:rFonts w:ascii="Calibri" w:eastAsia="Calibri" w:hAnsi="Calibri" w:cs="Calibri"/>
        </w:rPr>
        <w:t xml:space="preserve">Depending on the availability of such additional income, </w:t>
      </w:r>
      <w:r w:rsidR="00B270F7">
        <w:rPr>
          <w:rFonts w:ascii="Calibri" w:eastAsia="Calibri" w:hAnsi="Calibri" w:cs="Calibri"/>
        </w:rPr>
        <w:t>XX</w:t>
      </w:r>
      <w:r>
        <w:rPr>
          <w:rFonts w:ascii="Calibri" w:eastAsia="Calibri" w:hAnsi="Calibri" w:cs="Calibri"/>
        </w:rPr>
        <w:t xml:space="preserve"> would take into account options for green travel top ups </w:t>
      </w:r>
      <w:commentRangeStart w:id="112"/>
      <w:r>
        <w:rPr>
          <w:rFonts w:ascii="Calibri" w:eastAsia="Calibri" w:hAnsi="Calibri" w:cs="Calibri"/>
        </w:rPr>
        <w:t xml:space="preserve">may be granted to students without an EMJM scholarship </w:t>
      </w:r>
      <w:commentRangeEnd w:id="112"/>
      <w:r>
        <w:commentReference w:id="112"/>
      </w:r>
      <w:r>
        <w:rPr>
          <w:rFonts w:ascii="Calibri" w:eastAsia="Calibri" w:hAnsi="Calibri" w:cs="Calibri"/>
        </w:rPr>
        <w:t xml:space="preserve">to support green semester mobility travel within the </w:t>
      </w:r>
      <w:r w:rsidR="00B270F7">
        <w:rPr>
          <w:rFonts w:ascii="Calibri" w:eastAsia="Calibri" w:hAnsi="Calibri" w:cs="Calibri"/>
        </w:rPr>
        <w:t>XX</w:t>
      </w:r>
      <w:r>
        <w:rPr>
          <w:rFonts w:ascii="Calibri" w:eastAsia="Calibri" w:hAnsi="Calibri" w:cs="Calibri"/>
        </w:rPr>
        <w:t xml:space="preserve"> programme (excluding arrival for Semester 1 and departure after Semester 4), and would be paid after reception of the used transportation tickets. The amounts would be decided annually by the Academic Study Board, depending on the means available.</w:t>
      </w:r>
    </w:p>
    <w:p w14:paraId="3D46F434" w14:textId="77777777" w:rsidR="006B113F" w:rsidRDefault="00000000">
      <w:pPr>
        <w:widowControl w:val="0"/>
        <w:numPr>
          <w:ilvl w:val="0"/>
          <w:numId w:val="27"/>
        </w:numPr>
        <w:tabs>
          <w:tab w:val="left" w:pos="461"/>
        </w:tabs>
        <w:spacing w:line="240" w:lineRule="auto"/>
        <w:jc w:val="both"/>
        <w:rPr>
          <w:color w:val="000000"/>
        </w:rPr>
      </w:pPr>
      <w:r>
        <w:rPr>
          <w:rFonts w:ascii="Calibri" w:eastAsia="Calibri" w:hAnsi="Calibri" w:cs="Calibri"/>
        </w:rPr>
        <w:t xml:space="preserve">While the financial breakdown is based on the number of students, which may differ from intake to intake, there are fixed costs (e.g., for teaching activities, staff costs, invited lecturers, etc.) which will remain fixed no matter the number of students enrolled. If under unpredictable circumstances the programme income should be insufficient to cover running costs, the Partner Institutions will jointly look into options to mitigate risks, consider ways to reduce costs and possibly modify parts of the programme, and, based on such general agreements, each Partner Institution will do its best to cover its remaining costs, to the extent possible, from domestic resources under its power of disposal, and to deal with local risks locally. As a last resort, the ASB may take a decision not to run the respective edition of the programme. </w:t>
      </w:r>
    </w:p>
    <w:p w14:paraId="66134DAC" w14:textId="77777777" w:rsidR="006B113F" w:rsidRDefault="00000000">
      <w:pPr>
        <w:widowControl w:val="0"/>
        <w:numPr>
          <w:ilvl w:val="0"/>
          <w:numId w:val="27"/>
        </w:numPr>
        <w:tabs>
          <w:tab w:val="left" w:pos="461"/>
        </w:tabs>
        <w:spacing w:line="240" w:lineRule="auto"/>
        <w:jc w:val="both"/>
        <w:rPr>
          <w:color w:val="000000"/>
        </w:rPr>
      </w:pPr>
      <w:r>
        <w:rPr>
          <w:rFonts w:ascii="Calibri" w:eastAsia="Calibri" w:hAnsi="Calibri" w:cs="Calibri"/>
        </w:rPr>
        <w:t>The Academic Study Board decides on any additional activity that shall receive money from the joint income, if sufficient resources are available.</w:t>
      </w:r>
    </w:p>
    <w:p w14:paraId="0D97B713" w14:textId="08D12FE6" w:rsidR="006B113F" w:rsidRDefault="00000000">
      <w:pPr>
        <w:numPr>
          <w:ilvl w:val="0"/>
          <w:numId w:val="27"/>
        </w:numPr>
        <w:spacing w:line="240" w:lineRule="auto"/>
        <w:jc w:val="both"/>
        <w:rPr>
          <w:rFonts w:ascii="Calibri" w:eastAsia="Calibri" w:hAnsi="Calibri" w:cs="Calibri"/>
        </w:rPr>
      </w:pPr>
      <w:r>
        <w:rPr>
          <w:rFonts w:ascii="Calibri" w:eastAsia="Calibri" w:hAnsi="Calibri" w:cs="Calibri"/>
        </w:rPr>
        <w:t xml:space="preserve">In case that there is money still available at the end of each financial year, it shall be used to establish a Reserve for unforeseen expenditures (general risk management and sustainability in case the number of students drops in one or more intakes). The Academic Study Board, supported by financial expertise from the administration of the Partner Universities, decides annually on the amount to be transferred into the Reserve. Money from this Reserve can be used for urgent purposes by unanimous decision of the Academic Study Board only. If the Board unanimously agrees that the amount accumulated in the Reserve exceeds a reasonable extent, parts of this money may be distributed in equal shares among the partners, under the condition that this money is used for the purpose of the </w:t>
      </w:r>
      <w:r w:rsidR="00B270F7">
        <w:rPr>
          <w:rFonts w:ascii="Calibri" w:eastAsia="Calibri" w:hAnsi="Calibri" w:cs="Calibri"/>
        </w:rPr>
        <w:t>XX</w:t>
      </w:r>
      <w:r>
        <w:rPr>
          <w:rFonts w:ascii="Calibri" w:eastAsia="Calibri" w:hAnsi="Calibri" w:cs="Calibri"/>
        </w:rPr>
        <w:t xml:space="preserve"> programme.</w:t>
      </w:r>
    </w:p>
    <w:p w14:paraId="1057037C" w14:textId="428FC078" w:rsidR="006B113F" w:rsidRDefault="00000000">
      <w:pPr>
        <w:widowControl w:val="0"/>
        <w:numPr>
          <w:ilvl w:val="0"/>
          <w:numId w:val="27"/>
        </w:numPr>
        <w:tabs>
          <w:tab w:val="left" w:pos="461"/>
        </w:tabs>
        <w:spacing w:line="240" w:lineRule="auto"/>
        <w:jc w:val="both"/>
        <w:rPr>
          <w:rFonts w:ascii="Calibri" w:eastAsia="Calibri" w:hAnsi="Calibri" w:cs="Calibri"/>
          <w:color w:val="000000"/>
        </w:rPr>
      </w:pPr>
      <w:r>
        <w:rPr>
          <w:rFonts w:ascii="Calibri" w:eastAsia="Calibri" w:hAnsi="Calibri" w:cs="Calibri"/>
        </w:rPr>
        <w:t xml:space="preserve">The Partner Institutions shall use their allocations to accomplish the tasks assigned to them, to cover costs for travel and subsistence of </w:t>
      </w:r>
      <w:commentRangeStart w:id="113"/>
      <w:r>
        <w:rPr>
          <w:rFonts w:ascii="Calibri" w:eastAsia="Calibri" w:hAnsi="Calibri" w:cs="Calibri"/>
        </w:rPr>
        <w:t xml:space="preserve">EMJM </w:t>
      </w:r>
      <w:commentRangeEnd w:id="113"/>
      <w:r>
        <w:commentReference w:id="113"/>
      </w:r>
      <w:r>
        <w:rPr>
          <w:rFonts w:ascii="Calibri" w:eastAsia="Calibri" w:hAnsi="Calibri" w:cs="Calibri"/>
        </w:rPr>
        <w:t>guest lecturers / scholars, for remuneration of each Partner Institution’s teaching load,</w:t>
      </w:r>
      <w:r>
        <w:rPr>
          <w:rFonts w:ascii="Calibri" w:eastAsia="Times New Roman" w:hAnsi="Calibri" w:cs="Calibri"/>
          <w:color w:val="000000"/>
        </w:rPr>
        <w:t xml:space="preserve"> to cover national tuition fees (if applicable), </w:t>
      </w:r>
      <w:r>
        <w:rPr>
          <w:rFonts w:ascii="Calibri" w:eastAsia="Calibri" w:hAnsi="Calibri" w:cs="Calibri"/>
        </w:rPr>
        <w:t xml:space="preserve">for its services offered to the </w:t>
      </w:r>
      <w:r w:rsidR="00B270F7">
        <w:rPr>
          <w:rFonts w:ascii="Calibri" w:eastAsia="Calibri" w:hAnsi="Calibri" w:cs="Calibri"/>
        </w:rPr>
        <w:t>XX</w:t>
      </w:r>
      <w:r>
        <w:rPr>
          <w:rFonts w:ascii="Calibri" w:eastAsia="Calibri" w:hAnsi="Calibri" w:cs="Calibri"/>
        </w:rPr>
        <w:t xml:space="preserve"> students during their learning path through the programme, for local marketing and promotion actions and for other activities for the benefit of the </w:t>
      </w:r>
      <w:r w:rsidR="00B270F7">
        <w:rPr>
          <w:rFonts w:ascii="Calibri" w:eastAsia="Calibri" w:hAnsi="Calibri" w:cs="Calibri"/>
        </w:rPr>
        <w:t>XX</w:t>
      </w:r>
      <w:r>
        <w:rPr>
          <w:rFonts w:ascii="Calibri" w:eastAsia="Calibri" w:hAnsi="Calibri" w:cs="Calibri"/>
        </w:rPr>
        <w:t xml:space="preserve"> programme.</w:t>
      </w:r>
    </w:p>
    <w:p w14:paraId="6AAD72B8" w14:textId="77777777" w:rsidR="006B113F" w:rsidRDefault="00000000">
      <w:pPr>
        <w:widowControl w:val="0"/>
        <w:numPr>
          <w:ilvl w:val="0"/>
          <w:numId w:val="27"/>
        </w:numPr>
        <w:tabs>
          <w:tab w:val="left" w:pos="461"/>
        </w:tabs>
        <w:spacing w:line="240" w:lineRule="auto"/>
        <w:jc w:val="both"/>
        <w:rPr>
          <w:color w:val="000000"/>
        </w:rPr>
      </w:pPr>
      <w:r>
        <w:rPr>
          <w:rFonts w:ascii="Calibri" w:eastAsia="Calibri" w:hAnsi="Calibri" w:cs="Calibri"/>
        </w:rPr>
        <w:t>In case of student withdrawal during the semester, the corresponding funds remain in the Consortium, unless such money must be reimbursed to the EU or other donors / funding bodies.</w:t>
      </w:r>
    </w:p>
    <w:p w14:paraId="1B16DE07" w14:textId="2AD4C8C9" w:rsidR="006B113F" w:rsidRDefault="00B270F7">
      <w:pPr>
        <w:widowControl w:val="0"/>
        <w:numPr>
          <w:ilvl w:val="0"/>
          <w:numId w:val="27"/>
        </w:numPr>
        <w:tabs>
          <w:tab w:val="left" w:pos="461"/>
        </w:tabs>
        <w:spacing w:line="240" w:lineRule="auto"/>
        <w:jc w:val="both"/>
        <w:rPr>
          <w:rFonts w:ascii="Calibri" w:eastAsia="Calibri" w:hAnsi="Calibri" w:cs="Calibri"/>
        </w:rPr>
      </w:pPr>
      <w:r>
        <w:rPr>
          <w:rFonts w:ascii="Calibri" w:eastAsia="Calibri" w:hAnsi="Calibri" w:cs="Calibri"/>
        </w:rPr>
        <w:t>XX</w:t>
      </w:r>
      <w:r w:rsidR="00000000">
        <w:rPr>
          <w:rFonts w:ascii="Calibri" w:eastAsia="Calibri" w:hAnsi="Calibri" w:cs="Calibri"/>
        </w:rPr>
        <w:t xml:space="preserve"> Quality Assurance foresees an annual report provided by the Academic Study Board, in which </w:t>
      </w:r>
      <w:r w:rsidR="00000000">
        <w:rPr>
          <w:rFonts w:ascii="Calibri" w:eastAsia="Calibri" w:hAnsi="Calibri" w:cs="Calibri"/>
          <w:color w:val="000000"/>
        </w:rPr>
        <w:t>financial expertise from the administrations of the Partner Universities</w:t>
      </w:r>
      <w:r w:rsidR="00000000">
        <w:rPr>
          <w:rFonts w:ascii="Calibri" w:eastAsia="Calibri" w:hAnsi="Calibri" w:cs="Calibri"/>
        </w:rPr>
        <w:t xml:space="preserve"> will be involved. Following the finalisation of actual student enrolments, available participation fee income and their use and distribution may be re-calculated based on actual student enrolments, in line with </w:t>
      </w:r>
      <w:commentRangeStart w:id="114"/>
      <w:r w:rsidR="00000000">
        <w:rPr>
          <w:rFonts w:ascii="Calibri" w:eastAsia="Calibri" w:hAnsi="Calibri" w:cs="Calibri"/>
        </w:rPr>
        <w:t xml:space="preserve">EACEA </w:t>
      </w:r>
      <w:commentRangeEnd w:id="114"/>
      <w:r w:rsidR="00000000">
        <w:commentReference w:id="114"/>
      </w:r>
      <w:r w:rsidR="00000000">
        <w:rPr>
          <w:rFonts w:ascii="Calibri" w:eastAsia="Calibri" w:hAnsi="Calibri" w:cs="Calibri"/>
        </w:rPr>
        <w:t>regulations, and for the benefit of the programme only.</w:t>
      </w:r>
    </w:p>
    <w:p w14:paraId="45C7D890" w14:textId="77777777" w:rsidR="006B113F" w:rsidRDefault="006B113F">
      <w:pPr>
        <w:widowControl w:val="0"/>
        <w:spacing w:line="240" w:lineRule="auto"/>
        <w:jc w:val="both"/>
        <w:rPr>
          <w:rFonts w:ascii="Calibri" w:eastAsia="Calibri" w:hAnsi="Calibri" w:cs="Calibri"/>
          <w:sz w:val="16"/>
          <w:szCs w:val="16"/>
        </w:rPr>
      </w:pPr>
    </w:p>
    <w:p w14:paraId="1ECBD8E4" w14:textId="77777777" w:rsidR="006B113F" w:rsidRDefault="00000000">
      <w:pPr>
        <w:pStyle w:val="berschrift2"/>
        <w:keepNext w:val="0"/>
        <w:keepLines w:val="0"/>
        <w:widowControl w:val="0"/>
        <w:numPr>
          <w:ilvl w:val="1"/>
          <w:numId w:val="31"/>
        </w:numPr>
        <w:tabs>
          <w:tab w:val="left" w:pos="677"/>
        </w:tabs>
        <w:spacing w:before="0" w:after="0" w:line="240" w:lineRule="auto"/>
        <w:ind w:hanging="736"/>
        <w:jc w:val="both"/>
      </w:pPr>
      <w:bookmarkStart w:id="115" w:name="_Toc141279986"/>
      <w:commentRangeStart w:id="116"/>
      <w:commentRangeStart w:id="117"/>
      <w:r>
        <w:rPr>
          <w:rFonts w:ascii="Calibri" w:eastAsia="Calibri" w:hAnsi="Calibri" w:cs="Calibri"/>
          <w:b/>
          <w:color w:val="4F81BC"/>
          <w:sz w:val="26"/>
          <w:szCs w:val="26"/>
        </w:rPr>
        <w:t>Student Participation Fees</w:t>
      </w:r>
      <w:bookmarkEnd w:id="115"/>
      <w:r>
        <w:rPr>
          <w:rFonts w:ascii="Calibri" w:eastAsia="Calibri" w:hAnsi="Calibri" w:cs="Calibri"/>
          <w:b/>
          <w:color w:val="4F81BC"/>
          <w:sz w:val="26"/>
          <w:szCs w:val="26"/>
        </w:rPr>
        <w:t xml:space="preserve"> </w:t>
      </w:r>
      <w:commentRangeEnd w:id="116"/>
      <w:commentRangeEnd w:id="117"/>
      <w:r>
        <w:commentReference w:id="116"/>
      </w:r>
      <w:r>
        <w:commentReference w:id="117"/>
      </w:r>
      <w:r>
        <w:rPr>
          <w:rFonts w:ascii="Calibri" w:eastAsia="Calibri" w:hAnsi="Calibri" w:cs="Calibri"/>
          <w:b/>
          <w:color w:val="4F81BC"/>
          <w:sz w:val="26"/>
          <w:szCs w:val="26"/>
        </w:rPr>
        <w:t xml:space="preserve">  </w:t>
      </w:r>
    </w:p>
    <w:p w14:paraId="7A58BE78" w14:textId="4802EFBF" w:rsidR="006B113F" w:rsidRDefault="00000000">
      <w:pPr>
        <w:widowControl w:val="0"/>
        <w:numPr>
          <w:ilvl w:val="0"/>
          <w:numId w:val="41"/>
        </w:numPr>
        <w:tabs>
          <w:tab w:val="left" w:pos="461"/>
        </w:tabs>
        <w:spacing w:line="240" w:lineRule="auto"/>
        <w:jc w:val="both"/>
        <w:rPr>
          <w:rFonts w:ascii="Times New Roman" w:eastAsia="Times New Roman" w:hAnsi="Times New Roman" w:cs="Times New Roman"/>
          <w:color w:val="000000"/>
          <w:sz w:val="20"/>
          <w:szCs w:val="20"/>
        </w:rPr>
      </w:pPr>
      <w:r>
        <w:rPr>
          <w:rFonts w:ascii="Calibri" w:eastAsia="Calibri" w:hAnsi="Calibri" w:cs="Calibri"/>
        </w:rPr>
        <w:t xml:space="preserve">Two different sets of  </w:t>
      </w:r>
      <w:r w:rsidR="00B270F7">
        <w:rPr>
          <w:rFonts w:ascii="Calibri" w:eastAsia="Calibri" w:hAnsi="Calibri" w:cs="Calibri"/>
        </w:rPr>
        <w:t>XX</w:t>
      </w:r>
      <w:r>
        <w:rPr>
          <w:rFonts w:ascii="Calibri" w:eastAsia="Calibri" w:hAnsi="Calibri" w:cs="Calibri"/>
        </w:rPr>
        <w:t xml:space="preserve"> Participation Fee rates are applied, depending on the nationality of the student:</w:t>
      </w:r>
    </w:p>
    <w:p w14:paraId="398FFD3A" w14:textId="2502D415" w:rsidR="006B113F" w:rsidRDefault="00000000">
      <w:pPr>
        <w:widowControl w:val="0"/>
        <w:numPr>
          <w:ilvl w:val="0"/>
          <w:numId w:val="43"/>
        </w:numPr>
        <w:tabs>
          <w:tab w:val="left" w:pos="461"/>
        </w:tabs>
        <w:spacing w:line="240" w:lineRule="auto"/>
        <w:ind w:left="851" w:hanging="284"/>
        <w:jc w:val="both"/>
        <w:rPr>
          <w:rFonts w:ascii="Calibri" w:eastAsia="Calibri" w:hAnsi="Calibri" w:cs="Calibri"/>
        </w:rPr>
      </w:pPr>
      <w:r>
        <w:rPr>
          <w:rFonts w:ascii="Calibri" w:eastAsia="Calibri" w:hAnsi="Calibri" w:cs="Calibri"/>
          <w:b/>
        </w:rPr>
        <w:t>Group A</w:t>
      </w:r>
      <w:r>
        <w:rPr>
          <w:rFonts w:ascii="Calibri" w:eastAsia="Calibri" w:hAnsi="Calibri" w:cs="Calibri"/>
        </w:rPr>
        <w:t xml:space="preserve"> includes students with a nationality of an </w:t>
      </w:r>
      <w:r>
        <w:rPr>
          <w:rFonts w:ascii="Calibri" w:eastAsia="Calibri" w:hAnsi="Calibri" w:cs="Calibri"/>
          <w:b/>
        </w:rPr>
        <w:t>EU Member State</w:t>
      </w:r>
      <w:r>
        <w:rPr>
          <w:rFonts w:ascii="Calibri" w:eastAsia="Calibri" w:hAnsi="Calibri" w:cs="Calibri"/>
        </w:rPr>
        <w:t xml:space="preserve"> (Belgium, Bulgaria, Czech Republic, Denmark, Germany, Estonia, Ireland, Greece, Spain, France, Croatia, Italy, Cyprus, Latvia, Lithuania, Luxembourg, Hungary, Malta, Netherlands, Austria, Poland, Portugal, Romania, Slovenia, Slovakia, Finland, Sweden), students with a nationality of Norway, Iceland, Liechtenstein (member states of the European Free Trade Association </w:t>
      </w:r>
      <w:r>
        <w:rPr>
          <w:rFonts w:ascii="Calibri" w:eastAsia="Calibri" w:hAnsi="Calibri" w:cs="Calibri"/>
          <w:b/>
        </w:rPr>
        <w:t>EFTA</w:t>
      </w:r>
      <w:r>
        <w:rPr>
          <w:rFonts w:ascii="Calibri" w:eastAsia="Calibri" w:hAnsi="Calibri" w:cs="Calibri"/>
        </w:rPr>
        <w:t xml:space="preserve">), and students with a nationality of </w:t>
      </w:r>
      <w:r>
        <w:rPr>
          <w:rFonts w:ascii="Calibri" w:eastAsia="Calibri" w:hAnsi="Calibri" w:cs="Calibri"/>
          <w:b/>
        </w:rPr>
        <w:t>acceding countries</w:t>
      </w:r>
      <w:r>
        <w:rPr>
          <w:rFonts w:ascii="Calibri" w:eastAsia="Calibri" w:hAnsi="Calibri" w:cs="Calibri"/>
        </w:rPr>
        <w:t xml:space="preserve">, </w:t>
      </w:r>
      <w:r>
        <w:rPr>
          <w:rFonts w:ascii="Calibri" w:eastAsia="Calibri" w:hAnsi="Calibri" w:cs="Calibri"/>
          <w:b/>
          <w:bCs/>
        </w:rPr>
        <w:t>candidate countries and potential candidate countries</w:t>
      </w:r>
      <w:r>
        <w:rPr>
          <w:rFonts w:ascii="Calibri" w:eastAsia="Calibri" w:hAnsi="Calibri" w:cs="Calibri"/>
        </w:rPr>
        <w:t xml:space="preserve"> for EU membership (North Macedonia, Republic of Türkiye, Republic of Serbia). These countries are hereafter called “EU Member States and third countries associated to the </w:t>
      </w:r>
      <w:r w:rsidR="00B270F7">
        <w:rPr>
          <w:rFonts w:ascii="Calibri" w:eastAsia="Calibri" w:hAnsi="Calibri" w:cs="Calibri"/>
        </w:rPr>
        <w:t>XX</w:t>
      </w:r>
      <w:r>
        <w:rPr>
          <w:rFonts w:ascii="Calibri" w:eastAsia="Calibri" w:hAnsi="Calibri" w:cs="Calibri"/>
        </w:rPr>
        <w:t xml:space="preserve"> Programme”, in short: EU+.</w:t>
      </w:r>
    </w:p>
    <w:p w14:paraId="63F268D1" w14:textId="77777777" w:rsidR="006B113F" w:rsidRDefault="00000000">
      <w:pPr>
        <w:widowControl w:val="0"/>
        <w:numPr>
          <w:ilvl w:val="0"/>
          <w:numId w:val="43"/>
        </w:numPr>
        <w:tabs>
          <w:tab w:val="left" w:pos="461"/>
        </w:tabs>
        <w:spacing w:line="240" w:lineRule="auto"/>
        <w:ind w:left="851" w:hanging="284"/>
        <w:jc w:val="both"/>
        <w:rPr>
          <w:rFonts w:ascii="Calibri" w:eastAsia="Calibri" w:hAnsi="Calibri" w:cs="Calibri"/>
        </w:rPr>
      </w:pPr>
      <w:r>
        <w:rPr>
          <w:rFonts w:ascii="Calibri" w:eastAsia="Calibri" w:hAnsi="Calibri" w:cs="Calibri"/>
          <w:b/>
        </w:rPr>
        <w:t>Group B</w:t>
      </w:r>
      <w:r>
        <w:rPr>
          <w:rFonts w:ascii="Calibri" w:eastAsia="Calibri" w:hAnsi="Calibri" w:cs="Calibri"/>
        </w:rPr>
        <w:t xml:space="preserve"> includes students with a nationality of </w:t>
      </w:r>
      <w:r>
        <w:rPr>
          <w:rFonts w:ascii="Calibri" w:eastAsia="Calibri" w:hAnsi="Calibri" w:cs="Calibri"/>
          <w:b/>
        </w:rPr>
        <w:t>all other countries</w:t>
      </w:r>
      <w:r>
        <w:rPr>
          <w:rFonts w:ascii="Calibri" w:eastAsia="Calibri" w:hAnsi="Calibri" w:cs="Calibri"/>
        </w:rPr>
        <w:t>, also called “third countries not associated to the Programme”, in short: third countries.</w:t>
      </w:r>
    </w:p>
    <w:p w14:paraId="65AC1674" w14:textId="77777777" w:rsidR="006B113F" w:rsidRDefault="006B113F">
      <w:pPr>
        <w:widowControl w:val="0"/>
        <w:tabs>
          <w:tab w:val="left" w:pos="461"/>
        </w:tabs>
        <w:spacing w:line="240" w:lineRule="auto"/>
        <w:ind w:left="851"/>
        <w:jc w:val="both"/>
        <w:rPr>
          <w:rFonts w:ascii="Calibri" w:eastAsia="Calibri" w:hAnsi="Calibri" w:cs="Calibri"/>
        </w:rPr>
      </w:pPr>
    </w:p>
    <w:tbl>
      <w:tblPr>
        <w:tblStyle w:val="StGen1"/>
        <w:tblW w:w="809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7"/>
        <w:gridCol w:w="4111"/>
      </w:tblGrid>
      <w:tr w:rsidR="006B113F" w14:paraId="61F8A3BE" w14:textId="77777777">
        <w:tc>
          <w:tcPr>
            <w:tcW w:w="3987" w:type="dxa"/>
            <w:tcBorders>
              <w:top w:val="single" w:sz="4" w:space="0" w:color="000000"/>
              <w:left w:val="single" w:sz="4" w:space="0" w:color="000000"/>
              <w:bottom w:val="single" w:sz="4" w:space="0" w:color="000000"/>
              <w:right w:val="single" w:sz="4" w:space="0" w:color="000000"/>
            </w:tcBorders>
            <w:vAlign w:val="center"/>
          </w:tcPr>
          <w:p w14:paraId="15E65C00" w14:textId="77777777" w:rsidR="006B113F" w:rsidRDefault="00000000">
            <w:pPr>
              <w:spacing w:line="360" w:lineRule="auto"/>
              <w:jc w:val="both"/>
            </w:pPr>
            <w:commentRangeStart w:id="118"/>
            <w:r>
              <w:rPr>
                <w:rFonts w:ascii="Calibri" w:eastAsia="Calibri" w:hAnsi="Calibri" w:cs="Calibri"/>
              </w:rPr>
              <w:t xml:space="preserve">For </w:t>
            </w:r>
            <w:r>
              <w:rPr>
                <w:rFonts w:ascii="Calibri" w:eastAsia="Calibri" w:hAnsi="Calibri" w:cs="Calibri"/>
                <w:b/>
              </w:rPr>
              <w:t>Group A</w:t>
            </w:r>
            <w:r>
              <w:rPr>
                <w:rFonts w:ascii="Calibri" w:eastAsia="Calibri" w:hAnsi="Calibri" w:cs="Calibri"/>
              </w:rPr>
              <w:t xml:space="preserve"> students, </w:t>
            </w:r>
          </w:p>
          <w:p w14:paraId="41642924" w14:textId="1FDE5747" w:rsidR="006B113F" w:rsidRDefault="00B270F7">
            <w:pPr>
              <w:spacing w:line="360" w:lineRule="auto"/>
              <w:jc w:val="both"/>
            </w:pPr>
            <w:r>
              <w:rPr>
                <w:rFonts w:ascii="Calibri" w:eastAsia="Calibri" w:hAnsi="Calibri" w:cs="Calibri"/>
              </w:rPr>
              <w:t>XX</w:t>
            </w:r>
            <w:r w:rsidR="00000000">
              <w:rPr>
                <w:rFonts w:ascii="Calibri" w:eastAsia="Calibri" w:hAnsi="Calibri" w:cs="Calibri"/>
              </w:rPr>
              <w:t xml:space="preserve"> Participation Fees are:</w:t>
            </w:r>
          </w:p>
          <w:p w14:paraId="3A8B2C4F" w14:textId="77777777" w:rsidR="006B113F" w:rsidRDefault="00000000">
            <w:pPr>
              <w:spacing w:line="360" w:lineRule="auto"/>
              <w:ind w:firstLine="142"/>
              <w:jc w:val="both"/>
            </w:pPr>
            <w:r>
              <w:rPr>
                <w:rFonts w:ascii="Calibri" w:eastAsia="Calibri" w:hAnsi="Calibri" w:cs="Calibri"/>
              </w:rPr>
              <w:t>2.250€ per semester,</w:t>
            </w:r>
          </w:p>
          <w:p w14:paraId="082FB190" w14:textId="77777777" w:rsidR="006B113F" w:rsidRDefault="00000000">
            <w:pPr>
              <w:spacing w:line="360" w:lineRule="auto"/>
              <w:ind w:firstLine="142"/>
              <w:jc w:val="both"/>
              <w:rPr>
                <w:rFonts w:ascii="Calibri" w:eastAsia="Calibri" w:hAnsi="Calibri" w:cs="Calibri"/>
              </w:rPr>
            </w:pPr>
            <w:r>
              <w:rPr>
                <w:rFonts w:ascii="Calibri" w:eastAsia="Calibri" w:hAnsi="Calibri" w:cs="Calibri"/>
              </w:rPr>
              <w:t xml:space="preserve">4.500€ per annum, </w:t>
            </w:r>
          </w:p>
          <w:p w14:paraId="28BB9324" w14:textId="77777777" w:rsidR="006B113F" w:rsidRDefault="00000000">
            <w:pPr>
              <w:spacing w:line="360" w:lineRule="auto"/>
              <w:ind w:firstLine="142"/>
              <w:jc w:val="both"/>
              <w:rPr>
                <w:rFonts w:ascii="Calibri" w:eastAsia="Calibri" w:hAnsi="Calibri" w:cs="Calibri"/>
              </w:rPr>
            </w:pPr>
            <w:r>
              <w:rPr>
                <w:rFonts w:ascii="Calibri" w:eastAsia="Calibri" w:hAnsi="Calibri" w:cs="Calibri"/>
              </w:rPr>
              <w:t>9.000€ for 4 semesters (two years)</w:t>
            </w:r>
          </w:p>
        </w:tc>
        <w:tc>
          <w:tcPr>
            <w:tcW w:w="4111" w:type="dxa"/>
            <w:tcBorders>
              <w:top w:val="single" w:sz="4" w:space="0" w:color="000000"/>
              <w:left w:val="single" w:sz="4" w:space="0" w:color="000000"/>
              <w:bottom w:val="single" w:sz="4" w:space="0" w:color="000000"/>
              <w:right w:val="single" w:sz="4" w:space="0" w:color="000000"/>
            </w:tcBorders>
            <w:vAlign w:val="center"/>
          </w:tcPr>
          <w:p w14:paraId="3F089DE6" w14:textId="77777777" w:rsidR="006B113F" w:rsidRDefault="00000000">
            <w:pPr>
              <w:spacing w:line="360" w:lineRule="auto"/>
              <w:jc w:val="both"/>
            </w:pPr>
            <w:r>
              <w:rPr>
                <w:rFonts w:ascii="Calibri" w:eastAsia="Calibri" w:hAnsi="Calibri" w:cs="Calibri"/>
              </w:rPr>
              <w:t xml:space="preserve">For </w:t>
            </w:r>
            <w:r>
              <w:rPr>
                <w:rFonts w:ascii="Calibri" w:eastAsia="Calibri" w:hAnsi="Calibri" w:cs="Calibri"/>
                <w:b/>
              </w:rPr>
              <w:t>Group B</w:t>
            </w:r>
            <w:r>
              <w:rPr>
                <w:rFonts w:ascii="Calibri" w:eastAsia="Calibri" w:hAnsi="Calibri" w:cs="Calibri"/>
              </w:rPr>
              <w:t xml:space="preserve"> students, </w:t>
            </w:r>
          </w:p>
          <w:p w14:paraId="489E67E1" w14:textId="02C6DF03" w:rsidR="006B113F" w:rsidRDefault="00B270F7">
            <w:pPr>
              <w:spacing w:line="360" w:lineRule="auto"/>
              <w:jc w:val="both"/>
            </w:pPr>
            <w:r>
              <w:rPr>
                <w:rFonts w:ascii="Calibri" w:eastAsia="Calibri" w:hAnsi="Calibri" w:cs="Calibri"/>
              </w:rPr>
              <w:t>XX</w:t>
            </w:r>
            <w:r w:rsidR="00000000">
              <w:rPr>
                <w:rFonts w:ascii="Calibri" w:eastAsia="Calibri" w:hAnsi="Calibri" w:cs="Calibri"/>
              </w:rPr>
              <w:t xml:space="preserve"> Participation Fees are: </w:t>
            </w:r>
          </w:p>
          <w:p w14:paraId="00040F17" w14:textId="77777777" w:rsidR="006B113F" w:rsidRDefault="00000000">
            <w:pPr>
              <w:spacing w:line="360" w:lineRule="auto"/>
              <w:ind w:firstLine="142"/>
              <w:jc w:val="both"/>
            </w:pPr>
            <w:r>
              <w:rPr>
                <w:rFonts w:ascii="Calibri" w:eastAsia="Calibri" w:hAnsi="Calibri" w:cs="Calibri"/>
              </w:rPr>
              <w:t>4.500€ per semester,</w:t>
            </w:r>
          </w:p>
          <w:p w14:paraId="36C38B7F" w14:textId="77777777" w:rsidR="006B113F" w:rsidRDefault="00000000">
            <w:pPr>
              <w:spacing w:line="360" w:lineRule="auto"/>
              <w:ind w:firstLine="142"/>
              <w:jc w:val="both"/>
            </w:pPr>
            <w:r>
              <w:rPr>
                <w:rFonts w:ascii="Calibri" w:eastAsia="Calibri" w:hAnsi="Calibri" w:cs="Calibri"/>
              </w:rPr>
              <w:t xml:space="preserve">9.000€ per annum, </w:t>
            </w:r>
          </w:p>
          <w:p w14:paraId="06CB4C13" w14:textId="77777777" w:rsidR="006B113F" w:rsidRDefault="00000000">
            <w:pPr>
              <w:spacing w:line="360" w:lineRule="auto"/>
              <w:ind w:firstLine="142"/>
              <w:jc w:val="both"/>
              <w:rPr>
                <w:rFonts w:ascii="Times New Roman" w:eastAsia="Times New Roman" w:hAnsi="Times New Roman" w:cs="Times New Roman"/>
              </w:rPr>
            </w:pPr>
            <w:r>
              <w:rPr>
                <w:rFonts w:ascii="Calibri" w:eastAsia="Calibri" w:hAnsi="Calibri" w:cs="Calibri"/>
              </w:rPr>
              <w:t>18.000€ for 4 semesters (two years)</w:t>
            </w:r>
            <w:commentRangeEnd w:id="118"/>
            <w:r>
              <w:commentReference w:id="118"/>
            </w:r>
          </w:p>
        </w:tc>
      </w:tr>
    </w:tbl>
    <w:p w14:paraId="1AAE8DB0" w14:textId="77777777" w:rsidR="006B113F" w:rsidRDefault="006B113F">
      <w:pPr>
        <w:widowControl w:val="0"/>
        <w:tabs>
          <w:tab w:val="left" w:pos="461"/>
        </w:tabs>
        <w:spacing w:line="240" w:lineRule="auto"/>
        <w:ind w:left="459"/>
        <w:jc w:val="both"/>
        <w:rPr>
          <w:rFonts w:asciiTheme="majorHAnsi" w:eastAsia="Calibri" w:hAnsiTheme="majorHAnsi" w:cstheme="majorHAnsi"/>
          <w:color w:val="000000"/>
        </w:rPr>
      </w:pPr>
    </w:p>
    <w:p w14:paraId="357E4E5D" w14:textId="77777777" w:rsidR="006B113F" w:rsidRDefault="00000000">
      <w:pPr>
        <w:widowControl w:val="0"/>
        <w:numPr>
          <w:ilvl w:val="0"/>
          <w:numId w:val="41"/>
        </w:numPr>
        <w:tabs>
          <w:tab w:val="left" w:pos="461"/>
        </w:tabs>
        <w:spacing w:line="240" w:lineRule="auto"/>
        <w:ind w:left="459" w:hanging="357"/>
        <w:jc w:val="both"/>
        <w:rPr>
          <w:rFonts w:asciiTheme="majorHAnsi" w:eastAsia="Calibri" w:hAnsiTheme="majorHAnsi" w:cstheme="majorHAnsi"/>
          <w:color w:val="000000"/>
        </w:rPr>
      </w:pPr>
      <w:r>
        <w:rPr>
          <w:rFonts w:ascii="Calibri" w:eastAsia="Calibri" w:hAnsi="Calibri" w:cs="Calibri"/>
        </w:rPr>
        <w:t>The Participation Fees are payable upfront, in semesterly instalments, to the Coordinating Institution</w:t>
      </w:r>
      <w:r>
        <w:rPr>
          <w:rFonts w:asciiTheme="majorHAnsi" w:eastAsia="Calibri" w:hAnsiTheme="majorHAnsi" w:cstheme="majorHAnsi"/>
        </w:rPr>
        <w:t>. S</w:t>
      </w:r>
      <w:r>
        <w:rPr>
          <w:rStyle w:val="cf01"/>
          <w:rFonts w:asciiTheme="majorHAnsi" w:hAnsiTheme="majorHAnsi" w:cstheme="majorHAnsi"/>
          <w:sz w:val="22"/>
          <w:szCs w:val="22"/>
        </w:rPr>
        <w:t>tudents not paying the Participation Fees in time will be exmatriculated.</w:t>
      </w:r>
    </w:p>
    <w:p w14:paraId="49910CD1" w14:textId="77777777" w:rsidR="006B113F" w:rsidRDefault="00000000">
      <w:pPr>
        <w:widowControl w:val="0"/>
        <w:numPr>
          <w:ilvl w:val="0"/>
          <w:numId w:val="41"/>
        </w:numPr>
        <w:tabs>
          <w:tab w:val="left" w:pos="461"/>
        </w:tabs>
        <w:spacing w:line="240" w:lineRule="auto"/>
        <w:ind w:left="459" w:hanging="357"/>
        <w:jc w:val="both"/>
        <w:rPr>
          <w:color w:val="000000"/>
        </w:rPr>
      </w:pPr>
      <w:r>
        <w:rPr>
          <w:rFonts w:ascii="Calibri" w:eastAsia="Calibri" w:hAnsi="Calibri" w:cs="Calibri"/>
        </w:rPr>
        <w:t xml:space="preserve">The Partner Universities reserve the right to adapt the amounts of the Participation Fees. Any adjustment of the participation Fees must be suggested by the Academic Study Board </w:t>
      </w:r>
      <w:r>
        <w:rPr>
          <w:rFonts w:ascii="Calibri" w:eastAsia="Calibri" w:hAnsi="Calibri" w:cs="Calibri"/>
          <w:color w:val="000000"/>
        </w:rPr>
        <w:t xml:space="preserve">supported by financial expertise from the administration of the Partner Universities </w:t>
      </w:r>
      <w:r>
        <w:rPr>
          <w:rFonts w:ascii="Calibri" w:eastAsia="Calibri" w:hAnsi="Calibri" w:cs="Calibri"/>
        </w:rPr>
        <w:t>and unanimously agreed upon by the senior management of each Partner University of the Consortium. New amounts shall not be levied within a cohort, i.e., not during the 4 semesters in which students are expected to complete the programme.</w:t>
      </w:r>
    </w:p>
    <w:p w14:paraId="5CA58F42" w14:textId="4472300F" w:rsidR="006B113F" w:rsidRDefault="00000000">
      <w:pPr>
        <w:widowControl w:val="0"/>
        <w:numPr>
          <w:ilvl w:val="0"/>
          <w:numId w:val="41"/>
        </w:numPr>
        <w:tabs>
          <w:tab w:val="left" w:pos="461"/>
        </w:tabs>
        <w:spacing w:line="240" w:lineRule="auto"/>
        <w:ind w:left="459" w:hanging="357"/>
        <w:jc w:val="both"/>
        <w:rPr>
          <w:color w:val="000000"/>
        </w:rPr>
      </w:pPr>
      <w:r>
        <w:rPr>
          <w:rFonts w:ascii="Calibri" w:eastAsia="Calibri" w:hAnsi="Calibri" w:cs="Calibri"/>
        </w:rPr>
        <w:t xml:space="preserve">The Consortium aims to minimize economic barriers for qualified applicants to participate in the </w:t>
      </w:r>
      <w:r w:rsidR="00B270F7">
        <w:rPr>
          <w:rFonts w:ascii="Calibri" w:eastAsia="Calibri" w:hAnsi="Calibri" w:cs="Calibri"/>
        </w:rPr>
        <w:t>XX</w:t>
      </w:r>
      <w:r>
        <w:rPr>
          <w:rFonts w:ascii="Calibri" w:eastAsia="Calibri" w:hAnsi="Calibri" w:cs="Calibri"/>
        </w:rPr>
        <w:t xml:space="preserve"> programme. In case of availability of EMJM funding from the European Commission (EMJM status), the participation fees of students with an EMJM scholarship will be covered from Erasmus Mundus funds.</w:t>
      </w:r>
    </w:p>
    <w:p w14:paraId="5675AEF1" w14:textId="0595EDC3" w:rsidR="006B113F" w:rsidRDefault="00000000">
      <w:pPr>
        <w:widowControl w:val="0"/>
        <w:numPr>
          <w:ilvl w:val="0"/>
          <w:numId w:val="41"/>
        </w:numPr>
        <w:tabs>
          <w:tab w:val="left" w:pos="461"/>
        </w:tabs>
        <w:spacing w:line="240" w:lineRule="auto"/>
        <w:jc w:val="both"/>
        <w:rPr>
          <w:color w:val="000000"/>
        </w:rPr>
      </w:pPr>
      <w:r>
        <w:rPr>
          <w:rFonts w:ascii="Calibri" w:eastAsia="Calibri" w:hAnsi="Calibri" w:cs="Calibri"/>
        </w:rPr>
        <w:t xml:space="preserve">Financial contributions for participation in the </w:t>
      </w:r>
      <w:r w:rsidR="00B270F7">
        <w:rPr>
          <w:rFonts w:ascii="Calibri" w:eastAsia="Calibri" w:hAnsi="Calibri" w:cs="Calibri"/>
        </w:rPr>
        <w:t>XX</w:t>
      </w:r>
      <w:r>
        <w:rPr>
          <w:rFonts w:ascii="Calibri" w:eastAsia="Calibri" w:hAnsi="Calibri" w:cs="Calibri"/>
        </w:rPr>
        <w:t xml:space="preserve"> programme will be clearly explained to the students. All tuition fees are covered by the participation fee. In case of EMJM status, also all administrative and service fees at the Partner Institutions (such as, e.g., stamp and certification fees, library and laboratory costs, social contribution fees, as well as costs for mandatory health insurance) are covered by the participation fees.</w:t>
      </w:r>
    </w:p>
    <w:p w14:paraId="7BC536D4" w14:textId="77777777" w:rsidR="006B113F" w:rsidRDefault="00000000">
      <w:pPr>
        <w:widowControl w:val="0"/>
        <w:numPr>
          <w:ilvl w:val="0"/>
          <w:numId w:val="41"/>
        </w:numPr>
        <w:tabs>
          <w:tab w:val="left" w:pos="461"/>
        </w:tabs>
        <w:spacing w:line="240" w:lineRule="auto"/>
        <w:jc w:val="both"/>
        <w:rPr>
          <w:color w:val="000000"/>
        </w:rPr>
      </w:pPr>
      <w:r>
        <w:rPr>
          <w:rFonts w:ascii="Calibri" w:eastAsia="Calibri" w:hAnsi="Calibri" w:cs="Calibri"/>
        </w:rPr>
        <w:t>Students must cover subsistence, accommodation, travel to and from partner universities, visa costs, etc. from their own means.</w:t>
      </w:r>
    </w:p>
    <w:p w14:paraId="57D556B4" w14:textId="168A976E" w:rsidR="006B113F" w:rsidRDefault="00000000">
      <w:pPr>
        <w:widowControl w:val="0"/>
        <w:numPr>
          <w:ilvl w:val="0"/>
          <w:numId w:val="41"/>
        </w:numPr>
        <w:tabs>
          <w:tab w:val="left" w:pos="461"/>
        </w:tabs>
        <w:spacing w:line="240" w:lineRule="auto"/>
        <w:jc w:val="both"/>
        <w:rPr>
          <w:color w:val="000000"/>
        </w:rPr>
      </w:pPr>
      <w:r>
        <w:rPr>
          <w:rFonts w:ascii="Calibri" w:eastAsia="Calibri" w:hAnsi="Calibri" w:cs="Calibri"/>
        </w:rPr>
        <w:t xml:space="preserve">Any costs arising from prolongation of studies beyond the standard duration of the programme (four semesters) shall be charged by the Consortium at the publicly published actual standard </w:t>
      </w:r>
      <w:r w:rsidR="00B270F7">
        <w:rPr>
          <w:rFonts w:ascii="Calibri" w:eastAsia="Calibri" w:hAnsi="Calibri" w:cs="Calibri"/>
        </w:rPr>
        <w:t>XX</w:t>
      </w:r>
      <w:r>
        <w:rPr>
          <w:rFonts w:ascii="Calibri" w:eastAsia="Calibri" w:hAnsi="Calibri" w:cs="Calibri"/>
        </w:rPr>
        <w:t xml:space="preserve"> rates for the cohort in which the student started. </w:t>
      </w:r>
    </w:p>
    <w:p w14:paraId="2E6C229D"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0578B81B" w14:textId="77777777" w:rsidR="006B113F" w:rsidRDefault="00000000">
      <w:pPr>
        <w:pStyle w:val="berschrift1"/>
        <w:keepNext w:val="0"/>
        <w:keepLines w:val="0"/>
        <w:widowControl w:val="0"/>
        <w:tabs>
          <w:tab w:val="left" w:pos="1701"/>
        </w:tabs>
        <w:spacing w:before="0" w:after="0" w:line="240" w:lineRule="auto"/>
        <w:ind w:left="100"/>
        <w:jc w:val="both"/>
        <w:rPr>
          <w:rFonts w:ascii="Cambria" w:eastAsia="Cambria" w:hAnsi="Cambria" w:cs="Cambria"/>
          <w:b/>
          <w:color w:val="365F91"/>
          <w:sz w:val="28"/>
          <w:szCs w:val="28"/>
        </w:rPr>
      </w:pPr>
      <w:bookmarkStart w:id="119" w:name="_Toc141279987"/>
      <w:r>
        <w:rPr>
          <w:rFonts w:ascii="Calibri" w:eastAsia="Calibri" w:hAnsi="Calibri" w:cs="Calibri"/>
          <w:b/>
          <w:color w:val="365F91"/>
          <w:sz w:val="28"/>
          <w:szCs w:val="28"/>
        </w:rPr>
        <w:t>Article 11</w:t>
      </w:r>
      <w:r>
        <w:rPr>
          <w:rFonts w:ascii="Calibri" w:eastAsia="Calibri" w:hAnsi="Calibri" w:cs="Calibri"/>
          <w:b/>
          <w:color w:val="365F91"/>
          <w:sz w:val="28"/>
          <w:szCs w:val="28"/>
        </w:rPr>
        <w:tab/>
        <w:t>Sustainability of the Programme</w:t>
      </w:r>
      <w:bookmarkEnd w:id="119"/>
      <w:r>
        <w:rPr>
          <w:rFonts w:ascii="Calibri" w:eastAsia="Calibri" w:hAnsi="Calibri" w:cs="Calibri"/>
          <w:b/>
          <w:color w:val="365F91"/>
          <w:sz w:val="28"/>
          <w:szCs w:val="28"/>
        </w:rPr>
        <w:t xml:space="preserve"> </w:t>
      </w:r>
    </w:p>
    <w:p w14:paraId="033B99D6"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208958CC" w14:textId="7930A302" w:rsidR="006B113F" w:rsidRDefault="00000000">
      <w:pPr>
        <w:widowControl w:val="0"/>
        <w:numPr>
          <w:ilvl w:val="0"/>
          <w:numId w:val="4"/>
        </w:numPr>
        <w:tabs>
          <w:tab w:val="left" w:pos="461"/>
        </w:tabs>
        <w:spacing w:line="240" w:lineRule="auto"/>
        <w:jc w:val="both"/>
        <w:rPr>
          <w:color w:val="000000"/>
        </w:rPr>
      </w:pPr>
      <w:r>
        <w:rPr>
          <w:rFonts w:ascii="Calibri" w:eastAsia="Calibri" w:hAnsi="Calibri" w:cs="Calibri"/>
        </w:rPr>
        <w:t xml:space="preserve">In terms of excellence, course integration, the joint nature of the endeavour under this Agreement </w:t>
      </w:r>
      <w:r>
        <w:rPr>
          <w:rFonts w:ascii="Calibri" w:eastAsia="Calibri" w:hAnsi="Calibri" w:cs="Calibri"/>
        </w:rPr>
        <w:lastRenderedPageBreak/>
        <w:t xml:space="preserve">and financial viability, the Partner Institutions strive to develop and implement the </w:t>
      </w:r>
      <w:r w:rsidR="00B270F7">
        <w:rPr>
          <w:rFonts w:ascii="Calibri" w:eastAsia="Calibri" w:hAnsi="Calibri" w:cs="Calibri"/>
        </w:rPr>
        <w:t>XX</w:t>
      </w:r>
      <w:r>
        <w:rPr>
          <w:rFonts w:ascii="Calibri" w:eastAsia="Calibri" w:hAnsi="Calibri" w:cs="Calibri"/>
        </w:rPr>
        <w:t xml:space="preserve"> degree programme </w:t>
      </w:r>
      <w:commentRangeStart w:id="120"/>
      <w:r>
        <w:rPr>
          <w:rFonts w:ascii="Calibri" w:eastAsia="Calibri" w:hAnsi="Calibri" w:cs="Calibri"/>
        </w:rPr>
        <w:t>whereby the programme can also be started in a modified form in case that no EU funding should become available, and that it can exist beyond the EU funding period</w:t>
      </w:r>
      <w:commentRangeEnd w:id="120"/>
      <w:r>
        <w:commentReference w:id="120"/>
      </w:r>
      <w:r>
        <w:rPr>
          <w:rFonts w:ascii="Calibri" w:eastAsia="Calibri" w:hAnsi="Calibri" w:cs="Calibri"/>
        </w:rPr>
        <w:t>.</w:t>
      </w:r>
    </w:p>
    <w:p w14:paraId="01D5F5ED" w14:textId="77777777" w:rsidR="006B113F" w:rsidRDefault="00000000">
      <w:pPr>
        <w:widowControl w:val="0"/>
        <w:numPr>
          <w:ilvl w:val="0"/>
          <w:numId w:val="4"/>
        </w:numPr>
        <w:tabs>
          <w:tab w:val="left" w:pos="461"/>
        </w:tabs>
        <w:spacing w:line="240" w:lineRule="auto"/>
        <w:jc w:val="both"/>
        <w:rPr>
          <w:color w:val="000000"/>
        </w:rPr>
      </w:pPr>
      <w:r>
        <w:rPr>
          <w:rFonts w:ascii="Calibri" w:eastAsia="Calibri" w:hAnsi="Calibri" w:cs="Calibri"/>
        </w:rPr>
        <w:t>Partner Institutions shall be responsible for the delivery of all courses they provide, and for appropriate progression, while considering joint agreements on learning outcomes, teaching and assessment methods, literature, textbooks, and other learning materials.</w:t>
      </w:r>
    </w:p>
    <w:p w14:paraId="08484324" w14:textId="77777777" w:rsidR="006B113F" w:rsidRDefault="00000000">
      <w:pPr>
        <w:widowControl w:val="0"/>
        <w:numPr>
          <w:ilvl w:val="0"/>
          <w:numId w:val="4"/>
        </w:numPr>
        <w:tabs>
          <w:tab w:val="left" w:pos="461"/>
        </w:tabs>
        <w:spacing w:line="240" w:lineRule="auto"/>
        <w:jc w:val="both"/>
        <w:rPr>
          <w:color w:val="000000"/>
        </w:rPr>
      </w:pPr>
      <w:r>
        <w:rPr>
          <w:rFonts w:ascii="Calibri" w:eastAsia="Calibri" w:hAnsi="Calibri" w:cs="Calibri"/>
        </w:rPr>
        <w:t>A Partner Institution can only implement variations and changes to the structure and content of the degree programme within the limits specified by the Academic Study Board or after approval by the Board</w:t>
      </w:r>
      <w:commentRangeStart w:id="121"/>
      <w:r>
        <w:rPr>
          <w:rFonts w:ascii="Calibri" w:eastAsia="Calibri" w:hAnsi="Calibri" w:cs="Calibri"/>
        </w:rPr>
        <w:t>, and in line with the EMJM framework as established by the European Commission, if selected for EMJM funding</w:t>
      </w:r>
      <w:commentRangeEnd w:id="121"/>
      <w:r>
        <w:commentReference w:id="121"/>
      </w:r>
      <w:r>
        <w:rPr>
          <w:rFonts w:ascii="Calibri" w:eastAsia="Calibri" w:hAnsi="Calibri" w:cs="Calibri"/>
        </w:rPr>
        <w:t>.</w:t>
      </w:r>
    </w:p>
    <w:p w14:paraId="79C2E8DE" w14:textId="77777777" w:rsidR="006B113F" w:rsidRDefault="00000000">
      <w:pPr>
        <w:widowControl w:val="0"/>
        <w:numPr>
          <w:ilvl w:val="0"/>
          <w:numId w:val="4"/>
        </w:numPr>
        <w:tabs>
          <w:tab w:val="left" w:pos="461"/>
        </w:tabs>
        <w:spacing w:line="240" w:lineRule="auto"/>
        <w:jc w:val="both"/>
        <w:rPr>
          <w:color w:val="000000"/>
        </w:rPr>
      </w:pPr>
      <w:r>
        <w:rPr>
          <w:rFonts w:ascii="Calibri" w:eastAsia="Calibri" w:hAnsi="Calibri" w:cs="Calibri"/>
        </w:rPr>
        <w:t>The Partner Institutions follow a comprehensive approach to secure the sustainability of the programme and distinguish different levels to work for sustainability, namely finance, structure, society, ecology, and quality.</w:t>
      </w:r>
    </w:p>
    <w:p w14:paraId="456C7759" w14:textId="77777777" w:rsidR="006B113F" w:rsidRDefault="006B113F">
      <w:pPr>
        <w:widowControl w:val="0"/>
        <w:tabs>
          <w:tab w:val="left" w:pos="461"/>
        </w:tabs>
        <w:spacing w:line="240" w:lineRule="auto"/>
        <w:ind w:left="100"/>
        <w:jc w:val="both"/>
        <w:rPr>
          <w:rFonts w:ascii="Calibri" w:eastAsia="Calibri" w:hAnsi="Calibri" w:cs="Calibri"/>
        </w:rPr>
      </w:pPr>
    </w:p>
    <w:p w14:paraId="6D2B5DFB"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33C15F6B" w14:textId="77777777" w:rsidR="006B113F" w:rsidRDefault="00000000">
      <w:pPr>
        <w:pStyle w:val="berschrift1"/>
        <w:keepNext w:val="0"/>
        <w:keepLines w:val="0"/>
        <w:widowControl w:val="0"/>
        <w:tabs>
          <w:tab w:val="left" w:pos="1701"/>
        </w:tabs>
        <w:spacing w:before="0" w:after="0" w:line="240" w:lineRule="auto"/>
        <w:ind w:left="100"/>
        <w:jc w:val="both"/>
        <w:rPr>
          <w:rFonts w:ascii="Cambria" w:eastAsia="Cambria" w:hAnsi="Cambria" w:cs="Cambria"/>
          <w:b/>
          <w:color w:val="365F91"/>
          <w:sz w:val="28"/>
          <w:szCs w:val="28"/>
        </w:rPr>
      </w:pPr>
      <w:bookmarkStart w:id="122" w:name="_Toc141279988"/>
      <w:r>
        <w:rPr>
          <w:rFonts w:ascii="Calibri" w:eastAsia="Calibri" w:hAnsi="Calibri" w:cs="Calibri"/>
          <w:b/>
          <w:color w:val="365F91"/>
          <w:sz w:val="28"/>
          <w:szCs w:val="28"/>
        </w:rPr>
        <w:t>Article 12</w:t>
      </w:r>
      <w:r>
        <w:rPr>
          <w:rFonts w:ascii="Calibri" w:eastAsia="Calibri" w:hAnsi="Calibri" w:cs="Calibri"/>
          <w:b/>
          <w:color w:val="365F91"/>
          <w:sz w:val="28"/>
          <w:szCs w:val="28"/>
        </w:rPr>
        <w:tab/>
        <w:t>Intellectual Property Rights</w:t>
      </w:r>
      <w:bookmarkEnd w:id="122"/>
    </w:p>
    <w:p w14:paraId="1C7661D1"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04934F85" w14:textId="77777777" w:rsidR="006B113F" w:rsidRDefault="00000000">
      <w:pPr>
        <w:widowControl w:val="0"/>
        <w:numPr>
          <w:ilvl w:val="0"/>
          <w:numId w:val="24"/>
        </w:numPr>
        <w:tabs>
          <w:tab w:val="left" w:pos="461"/>
        </w:tabs>
        <w:spacing w:line="240" w:lineRule="auto"/>
        <w:jc w:val="both"/>
        <w:rPr>
          <w:color w:val="000000"/>
        </w:rPr>
      </w:pPr>
      <w:r>
        <w:rPr>
          <w:rFonts w:ascii="Calibri" w:eastAsia="Calibri" w:hAnsi="Calibri" w:cs="Calibri"/>
        </w:rPr>
        <w:t>Results (all Intellectual Property Rights including, but not limited to Inventions, Designs, Copyrights or Know-How generated during and within the Joint Master) are owned by the Party that generates them.</w:t>
      </w:r>
    </w:p>
    <w:p w14:paraId="225E4476" w14:textId="77777777" w:rsidR="006B113F" w:rsidRDefault="00000000">
      <w:pPr>
        <w:widowControl w:val="0"/>
        <w:numPr>
          <w:ilvl w:val="0"/>
          <w:numId w:val="24"/>
        </w:numPr>
        <w:tabs>
          <w:tab w:val="left" w:pos="461"/>
        </w:tabs>
        <w:spacing w:line="240" w:lineRule="auto"/>
        <w:jc w:val="both"/>
        <w:rPr>
          <w:color w:val="000000"/>
        </w:rPr>
      </w:pPr>
      <w:r>
        <w:rPr>
          <w:rFonts w:ascii="Calibri" w:eastAsia="Calibri" w:hAnsi="Calibri" w:cs="Calibri"/>
        </w:rPr>
        <w:t>The consortium is committed to promoting and supporting the UNESCO recommendation on Open Education Resources (OER). Where possible and appropriate, results like educational materials will be published under the Creative Commons licence types CC BY-SA, CC BY or CC 0, as these licence types allow straightforward reuse.</w:t>
      </w:r>
    </w:p>
    <w:p w14:paraId="15751D9D" w14:textId="77777777" w:rsidR="006B113F" w:rsidRDefault="00000000">
      <w:pPr>
        <w:widowControl w:val="0"/>
        <w:numPr>
          <w:ilvl w:val="0"/>
          <w:numId w:val="24"/>
        </w:numPr>
        <w:tabs>
          <w:tab w:val="left" w:pos="461"/>
        </w:tabs>
        <w:spacing w:line="240" w:lineRule="auto"/>
        <w:jc w:val="both"/>
        <w:rPr>
          <w:color w:val="000000"/>
        </w:rPr>
      </w:pPr>
      <w:r>
        <w:rPr>
          <w:rFonts w:ascii="Calibri" w:eastAsia="Calibri" w:hAnsi="Calibri" w:cs="Calibri"/>
        </w:rPr>
        <w:t>Each Partner Institution shall promptly and fully notify the other Partner Institution of any actual, threatened, or suspected infringement of the other Partner Institution’s Intellectual Property Rights which comes to the first Partner Institution’s notice, including any claim by any third party that the marketing and/or offering of the degree programme infringes any rights of any third party.</w:t>
      </w:r>
    </w:p>
    <w:p w14:paraId="48FDD319" w14:textId="77777777" w:rsidR="006B113F" w:rsidRDefault="00000000">
      <w:pPr>
        <w:widowControl w:val="0"/>
        <w:numPr>
          <w:ilvl w:val="0"/>
          <w:numId w:val="24"/>
        </w:numPr>
        <w:tabs>
          <w:tab w:val="left" w:pos="461"/>
        </w:tabs>
        <w:spacing w:line="240" w:lineRule="auto"/>
        <w:jc w:val="both"/>
        <w:rPr>
          <w:rFonts w:ascii="Calibri" w:eastAsia="Calibri" w:hAnsi="Calibri" w:cs="Calibri"/>
        </w:rPr>
      </w:pPr>
      <w:r>
        <w:rPr>
          <w:rFonts w:ascii="Calibri" w:eastAsia="Calibri" w:hAnsi="Calibri" w:cs="Calibri"/>
        </w:rPr>
        <w:t>In case of joint ownership of Results (which occours when Results can not be seperated), each of the joint owners shall be entitled to use their jointly owned Results for non-commercial research and teaching activities on a royalty-free basis, and without requiring the prior consent of the other joint owner(s). Each of the joint owners shall be entitled to otherwise exploit the jointly owned Results if the other joint owners are given: (a) at least 45 calendar days advance notice; and (b) fair and reasonable compensation. The joint owners shall agree on all protection measures and the division of related cost in advance.</w:t>
      </w:r>
      <w:r>
        <w:t xml:space="preserve"> </w:t>
      </w:r>
    </w:p>
    <w:p w14:paraId="4C982F5D" w14:textId="77777777" w:rsidR="006B113F" w:rsidRDefault="006B113F">
      <w:pPr>
        <w:widowControl w:val="0"/>
        <w:tabs>
          <w:tab w:val="left" w:pos="821"/>
        </w:tabs>
        <w:spacing w:line="240" w:lineRule="auto"/>
        <w:ind w:left="460" w:hanging="360"/>
        <w:jc w:val="both"/>
        <w:rPr>
          <w:rFonts w:ascii="Calibri" w:eastAsia="Calibri" w:hAnsi="Calibri" w:cs="Calibri"/>
        </w:rPr>
      </w:pPr>
    </w:p>
    <w:p w14:paraId="055DCEFE" w14:textId="77777777" w:rsidR="006B113F" w:rsidRDefault="006B113F">
      <w:pPr>
        <w:widowControl w:val="0"/>
        <w:tabs>
          <w:tab w:val="left" w:pos="821"/>
        </w:tabs>
        <w:spacing w:line="240" w:lineRule="auto"/>
        <w:ind w:left="460" w:hanging="360"/>
        <w:jc w:val="both"/>
        <w:rPr>
          <w:rFonts w:ascii="Calibri" w:eastAsia="Calibri" w:hAnsi="Calibri" w:cs="Calibri"/>
        </w:rPr>
      </w:pPr>
    </w:p>
    <w:p w14:paraId="7ADA8F55" w14:textId="77777777" w:rsidR="006B113F" w:rsidRDefault="00000000">
      <w:pPr>
        <w:pStyle w:val="berschrift1"/>
        <w:keepNext w:val="0"/>
        <w:keepLines w:val="0"/>
        <w:widowControl w:val="0"/>
        <w:tabs>
          <w:tab w:val="left" w:pos="1701"/>
        </w:tabs>
        <w:spacing w:before="0" w:after="0" w:line="240" w:lineRule="auto"/>
        <w:ind w:left="100"/>
        <w:jc w:val="both"/>
        <w:rPr>
          <w:rFonts w:ascii="Cambria" w:eastAsia="Cambria" w:hAnsi="Cambria" w:cs="Cambria"/>
          <w:b/>
          <w:color w:val="365F91"/>
          <w:sz w:val="28"/>
          <w:szCs w:val="28"/>
        </w:rPr>
      </w:pPr>
      <w:bookmarkStart w:id="123" w:name="_Toc141279989"/>
      <w:r>
        <w:rPr>
          <w:rFonts w:ascii="Calibri" w:eastAsia="Calibri" w:hAnsi="Calibri" w:cs="Calibri"/>
          <w:b/>
          <w:color w:val="365F91"/>
          <w:sz w:val="28"/>
          <w:szCs w:val="28"/>
        </w:rPr>
        <w:t>Article 13</w:t>
      </w:r>
      <w:r>
        <w:rPr>
          <w:rFonts w:ascii="Calibri" w:eastAsia="Calibri" w:hAnsi="Calibri" w:cs="Calibri"/>
          <w:b/>
          <w:color w:val="365F91"/>
          <w:sz w:val="28"/>
          <w:szCs w:val="28"/>
        </w:rPr>
        <w:tab/>
        <w:t>Confidentiality</w:t>
      </w:r>
      <w:bookmarkEnd w:id="123"/>
    </w:p>
    <w:p w14:paraId="2DB99E66" w14:textId="77777777" w:rsidR="006B113F" w:rsidRDefault="006B113F">
      <w:pPr>
        <w:widowControl w:val="0"/>
        <w:tabs>
          <w:tab w:val="left" w:pos="821"/>
        </w:tabs>
        <w:spacing w:line="240" w:lineRule="auto"/>
        <w:ind w:left="460" w:hanging="360"/>
        <w:jc w:val="both"/>
        <w:rPr>
          <w:rFonts w:ascii="Calibri" w:eastAsia="Calibri" w:hAnsi="Calibri" w:cs="Calibri"/>
        </w:rPr>
      </w:pPr>
    </w:p>
    <w:p w14:paraId="44FE85E6" w14:textId="77777777" w:rsidR="006B113F" w:rsidRDefault="00000000">
      <w:pPr>
        <w:widowControl w:val="0"/>
        <w:numPr>
          <w:ilvl w:val="0"/>
          <w:numId w:val="20"/>
        </w:numPr>
        <w:tabs>
          <w:tab w:val="left" w:pos="461"/>
        </w:tabs>
        <w:spacing w:line="240" w:lineRule="auto"/>
        <w:jc w:val="both"/>
        <w:rPr>
          <w:color w:val="000000"/>
        </w:rPr>
      </w:pPr>
      <w:r>
        <w:rPr>
          <w:rFonts w:ascii="Calibri" w:eastAsia="Calibri" w:hAnsi="Calibri" w:cs="Calibri"/>
        </w:rPr>
        <w:t>All data and other documents and information (other than promotional material) supplied in writing (“Supplied Material”) by any Partner Institution (the “Supplying Partner Institution”) to another Partner Institution (the “Receiving Partner Institution”) under this Agreement and exhibiting an appropriate “Confidential” or “Proprietary” legend shall be treated as confidential, both during the performance of this Agreement and for an indefinite period thereafter.</w:t>
      </w:r>
    </w:p>
    <w:p w14:paraId="73639009" w14:textId="77777777" w:rsidR="006B113F" w:rsidRDefault="00000000">
      <w:pPr>
        <w:widowControl w:val="0"/>
        <w:numPr>
          <w:ilvl w:val="0"/>
          <w:numId w:val="20"/>
        </w:numPr>
        <w:tabs>
          <w:tab w:val="left" w:pos="461"/>
        </w:tabs>
        <w:spacing w:line="240" w:lineRule="auto"/>
        <w:jc w:val="both"/>
        <w:rPr>
          <w:rFonts w:ascii="Calibri" w:eastAsia="Calibri" w:hAnsi="Calibri" w:cs="Calibri"/>
        </w:rPr>
      </w:pPr>
      <w:r>
        <w:rPr>
          <w:rFonts w:ascii="Calibri" w:eastAsia="Calibri" w:hAnsi="Calibri" w:cs="Calibri"/>
        </w:rPr>
        <w:t>The Receiving Partner Institution shall not during the term of this Agreement or at any time thereafter use any confidential Supplied Material or disclose any confidential Supplied Material to any third party save to the extent as may be reasonably necessary for the fulfilment of the Receiving Partner Institution’s duties and obligations under this Agreement and save to the extent required by law. Article 12 remains unaffected.</w:t>
      </w:r>
    </w:p>
    <w:p w14:paraId="4D998E0C" w14:textId="77777777" w:rsidR="006B113F" w:rsidRDefault="00000000">
      <w:pPr>
        <w:widowControl w:val="0"/>
        <w:numPr>
          <w:ilvl w:val="0"/>
          <w:numId w:val="20"/>
        </w:numPr>
        <w:tabs>
          <w:tab w:val="left" w:pos="461"/>
        </w:tabs>
        <w:spacing w:line="240" w:lineRule="auto"/>
        <w:jc w:val="both"/>
        <w:rPr>
          <w:color w:val="000000"/>
        </w:rPr>
      </w:pPr>
      <w:r>
        <w:rPr>
          <w:rFonts w:ascii="Calibri" w:eastAsia="Calibri" w:hAnsi="Calibri" w:cs="Calibri"/>
        </w:rPr>
        <w:t xml:space="preserve">Each Partner Institution shall, as soon as reasonably possible, advise the other Partner Institution </w:t>
      </w:r>
      <w:r>
        <w:rPr>
          <w:rFonts w:ascii="Calibri" w:eastAsia="Calibri" w:hAnsi="Calibri" w:cs="Calibri"/>
        </w:rPr>
        <w:lastRenderedPageBreak/>
        <w:t>in writing of any unauthorised disclosure or misuse of Supplied Material after it becomes aware of such unauthorised disclosure or misuse.</w:t>
      </w:r>
    </w:p>
    <w:p w14:paraId="16EB480A" w14:textId="77777777" w:rsidR="006B113F" w:rsidRDefault="00000000">
      <w:pPr>
        <w:widowControl w:val="0"/>
        <w:numPr>
          <w:ilvl w:val="0"/>
          <w:numId w:val="20"/>
        </w:numPr>
        <w:tabs>
          <w:tab w:val="left" w:pos="461"/>
        </w:tabs>
        <w:spacing w:line="240" w:lineRule="auto"/>
        <w:jc w:val="both"/>
        <w:rPr>
          <w:rFonts w:ascii="Calibri" w:eastAsia="Calibri" w:hAnsi="Calibri" w:cs="Calibri"/>
        </w:rPr>
      </w:pPr>
      <w:r>
        <w:rPr>
          <w:rFonts w:ascii="Calibri" w:eastAsia="Calibri" w:hAnsi="Calibri" w:cs="Calibri"/>
        </w:rPr>
        <w:t xml:space="preserve">The above shall not apply for disclosure or use of Confidential Information, if and in so far as the Recipient can show that: </w:t>
      </w:r>
    </w:p>
    <w:p w14:paraId="5B376DC4" w14:textId="77777777" w:rsidR="006B113F" w:rsidRDefault="00000000">
      <w:pPr>
        <w:widowControl w:val="0"/>
        <w:tabs>
          <w:tab w:val="left" w:pos="461"/>
        </w:tabs>
        <w:spacing w:line="240" w:lineRule="auto"/>
        <w:ind w:left="460"/>
        <w:jc w:val="both"/>
        <w:rPr>
          <w:rFonts w:ascii="Calibri" w:eastAsia="Calibri" w:hAnsi="Calibri" w:cs="Calibri"/>
        </w:rPr>
      </w:pPr>
      <w:r>
        <w:rPr>
          <w:rFonts w:ascii="Symbol" w:eastAsia="Symbol" w:hAnsi="Symbol" w:cs="Symbol"/>
        </w:rPr>
        <w:t>-</w:t>
      </w:r>
      <w:r>
        <w:rPr>
          <w:rFonts w:ascii="Calibri" w:eastAsia="Calibri" w:hAnsi="Calibri" w:cs="Calibri"/>
        </w:rPr>
        <w:t xml:space="preserve"> the Confidential Information has become or becomes publicly available by means other than a breach of the Recipient’s confidentiality obligations; </w:t>
      </w:r>
    </w:p>
    <w:p w14:paraId="787AD2A3" w14:textId="77777777" w:rsidR="006B113F" w:rsidRDefault="00000000">
      <w:pPr>
        <w:widowControl w:val="0"/>
        <w:tabs>
          <w:tab w:val="left" w:pos="461"/>
        </w:tabs>
        <w:spacing w:line="240" w:lineRule="auto"/>
        <w:ind w:left="460"/>
        <w:jc w:val="both"/>
        <w:rPr>
          <w:rFonts w:ascii="Calibri" w:eastAsia="Calibri" w:hAnsi="Calibri" w:cs="Calibri"/>
        </w:rPr>
      </w:pPr>
      <w:r>
        <w:rPr>
          <w:rFonts w:ascii="Symbol" w:eastAsia="Symbol" w:hAnsi="Symbol" w:cs="Symbol"/>
        </w:rPr>
        <w:t>-</w:t>
      </w:r>
      <w:r>
        <w:rPr>
          <w:rFonts w:ascii="Calibri" w:eastAsia="Calibri" w:hAnsi="Calibri" w:cs="Calibri"/>
        </w:rPr>
        <w:t xml:space="preserve"> the Disclosing Party subsequently informs the Recipient that the Confidential Information is no longer confidential; </w:t>
      </w:r>
    </w:p>
    <w:p w14:paraId="1AEFC0A3" w14:textId="77777777" w:rsidR="006B113F" w:rsidRDefault="00000000">
      <w:pPr>
        <w:widowControl w:val="0"/>
        <w:tabs>
          <w:tab w:val="left" w:pos="461"/>
        </w:tabs>
        <w:spacing w:line="240" w:lineRule="auto"/>
        <w:ind w:left="460"/>
        <w:jc w:val="both"/>
        <w:rPr>
          <w:rFonts w:ascii="Calibri" w:eastAsia="Calibri" w:hAnsi="Calibri" w:cs="Calibri"/>
        </w:rPr>
      </w:pPr>
      <w:r>
        <w:rPr>
          <w:rFonts w:ascii="Symbol" w:eastAsia="Symbol" w:hAnsi="Symbol" w:cs="Symbol"/>
        </w:rPr>
        <w:t>-</w:t>
      </w:r>
      <w:r>
        <w:rPr>
          <w:rFonts w:ascii="Calibri" w:eastAsia="Calibri" w:hAnsi="Calibri" w:cs="Calibri"/>
        </w:rPr>
        <w:t xml:space="preserve"> the Confidential Information is communicated to the Recipient without any obligation of confidentiality by a third party who is to the best knowledge of the Recipient in lawful possession thereof and under no obligation of confidentiality to the Disclosing Party; </w:t>
      </w:r>
    </w:p>
    <w:p w14:paraId="7ABDE5C8" w14:textId="77777777" w:rsidR="006B113F" w:rsidRDefault="00000000">
      <w:pPr>
        <w:widowControl w:val="0"/>
        <w:tabs>
          <w:tab w:val="left" w:pos="461"/>
        </w:tabs>
        <w:spacing w:line="240" w:lineRule="auto"/>
        <w:ind w:left="460"/>
        <w:jc w:val="both"/>
        <w:rPr>
          <w:rFonts w:ascii="Calibri" w:eastAsia="Calibri" w:hAnsi="Calibri" w:cs="Calibri"/>
        </w:rPr>
      </w:pPr>
      <w:r>
        <w:rPr>
          <w:rFonts w:ascii="Symbol" w:eastAsia="Symbol" w:hAnsi="Symbol" w:cs="Symbol"/>
        </w:rPr>
        <w:t>-</w:t>
      </w:r>
      <w:r>
        <w:rPr>
          <w:rFonts w:ascii="Calibri" w:eastAsia="Calibri" w:hAnsi="Calibri" w:cs="Calibri"/>
        </w:rPr>
        <w:t xml:space="preserve"> the disclosure or communication of the Confidential Information is foreseen by provisions of the Grant Agreement; </w:t>
      </w:r>
    </w:p>
    <w:p w14:paraId="62252F2D" w14:textId="77777777" w:rsidR="006B113F" w:rsidRDefault="00000000">
      <w:pPr>
        <w:widowControl w:val="0"/>
        <w:tabs>
          <w:tab w:val="left" w:pos="461"/>
        </w:tabs>
        <w:spacing w:line="240" w:lineRule="auto"/>
        <w:ind w:left="460"/>
        <w:jc w:val="both"/>
        <w:rPr>
          <w:rFonts w:ascii="Calibri" w:eastAsia="Calibri" w:hAnsi="Calibri" w:cs="Calibri"/>
        </w:rPr>
      </w:pPr>
      <w:r>
        <w:rPr>
          <w:rFonts w:ascii="Symbol" w:eastAsia="Symbol" w:hAnsi="Symbol" w:cs="Symbol"/>
        </w:rPr>
        <w:t>-</w:t>
      </w:r>
      <w:r>
        <w:rPr>
          <w:rFonts w:ascii="Calibri" w:eastAsia="Calibri" w:hAnsi="Calibri" w:cs="Calibri"/>
        </w:rPr>
        <w:t xml:space="preserve"> the Confidential Information, at any time, was developed by the Recipient completely independently of any such disclosure by the Disclosing Party; </w:t>
      </w:r>
    </w:p>
    <w:p w14:paraId="478FC590" w14:textId="77777777" w:rsidR="006B113F" w:rsidRDefault="00000000">
      <w:pPr>
        <w:widowControl w:val="0"/>
        <w:tabs>
          <w:tab w:val="left" w:pos="461"/>
        </w:tabs>
        <w:spacing w:line="240" w:lineRule="auto"/>
        <w:ind w:left="460"/>
        <w:jc w:val="both"/>
        <w:rPr>
          <w:rFonts w:ascii="Calibri" w:eastAsia="Calibri" w:hAnsi="Calibri" w:cs="Calibri"/>
        </w:rPr>
      </w:pPr>
      <w:r>
        <w:rPr>
          <w:rFonts w:ascii="Symbol" w:eastAsia="Symbol" w:hAnsi="Symbol" w:cs="Symbol"/>
        </w:rPr>
        <w:t>-</w:t>
      </w:r>
      <w:r>
        <w:rPr>
          <w:rFonts w:ascii="Calibri" w:eastAsia="Calibri" w:hAnsi="Calibri" w:cs="Calibri"/>
        </w:rPr>
        <w:t xml:space="preserve"> the Confidential Information was already known to the Recipient prior to disclosure, or </w:t>
      </w:r>
      <w:r>
        <w:rPr>
          <w:rFonts w:ascii="Symbol" w:eastAsia="Symbol" w:hAnsi="Symbol" w:cs="Symbol"/>
        </w:rPr>
        <w:t>-</w:t>
      </w:r>
      <w:r>
        <w:rPr>
          <w:rFonts w:ascii="Calibri" w:eastAsia="Calibri" w:hAnsi="Calibri" w:cs="Calibri"/>
        </w:rPr>
        <w:t xml:space="preserve"> the Recipient is required to disclose the Confidential Information in order to comply with applicable laws or regulations or with a court or administrative order, subject to the provision Section 10.7 hereunder.</w:t>
      </w:r>
    </w:p>
    <w:p w14:paraId="719AF495"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60A5FF13"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5B375AFC" w14:textId="77777777" w:rsidR="006B113F" w:rsidRDefault="00000000">
      <w:pPr>
        <w:pStyle w:val="berschrift1"/>
        <w:keepNext w:val="0"/>
        <w:keepLines w:val="0"/>
        <w:widowControl w:val="0"/>
        <w:tabs>
          <w:tab w:val="left" w:pos="1701"/>
        </w:tabs>
        <w:spacing w:before="0" w:after="0" w:line="240" w:lineRule="auto"/>
        <w:ind w:left="100"/>
        <w:jc w:val="both"/>
        <w:rPr>
          <w:rFonts w:ascii="Cambria" w:eastAsia="Cambria" w:hAnsi="Cambria" w:cs="Cambria"/>
          <w:sz w:val="28"/>
          <w:szCs w:val="28"/>
        </w:rPr>
      </w:pPr>
      <w:bookmarkStart w:id="124" w:name="_Toc141279990"/>
      <w:r>
        <w:rPr>
          <w:rFonts w:ascii="Calibri" w:eastAsia="Calibri" w:hAnsi="Calibri" w:cs="Calibri"/>
          <w:b/>
          <w:color w:val="365F91"/>
          <w:sz w:val="28"/>
          <w:szCs w:val="28"/>
        </w:rPr>
        <w:t>Article 14</w:t>
      </w:r>
      <w:r>
        <w:rPr>
          <w:rFonts w:ascii="Calibri" w:eastAsia="Calibri" w:hAnsi="Calibri" w:cs="Calibri"/>
          <w:b/>
          <w:color w:val="365F91"/>
          <w:sz w:val="28"/>
          <w:szCs w:val="28"/>
        </w:rPr>
        <w:tab/>
        <w:t>Claims</w:t>
      </w:r>
      <w:bookmarkEnd w:id="124"/>
    </w:p>
    <w:p w14:paraId="75AA62A4" w14:textId="77777777" w:rsidR="006B113F" w:rsidRDefault="006B113F">
      <w:pPr>
        <w:widowControl w:val="0"/>
        <w:spacing w:line="240" w:lineRule="auto"/>
        <w:jc w:val="both"/>
        <w:rPr>
          <w:rFonts w:ascii="Cambria" w:eastAsia="Cambria" w:hAnsi="Cambria" w:cs="Cambria"/>
          <w:b/>
          <w:sz w:val="21"/>
          <w:szCs w:val="21"/>
        </w:rPr>
      </w:pPr>
    </w:p>
    <w:p w14:paraId="24971967" w14:textId="77777777" w:rsidR="006B113F" w:rsidRDefault="00000000">
      <w:pPr>
        <w:pStyle w:val="berschrift2"/>
        <w:keepNext w:val="0"/>
        <w:keepLines w:val="0"/>
        <w:widowControl w:val="0"/>
        <w:numPr>
          <w:ilvl w:val="0"/>
          <w:numId w:val="73"/>
        </w:numPr>
        <w:tabs>
          <w:tab w:val="left" w:pos="677"/>
        </w:tabs>
        <w:spacing w:before="0" w:after="0" w:line="240" w:lineRule="auto"/>
        <w:ind w:hanging="864"/>
        <w:jc w:val="both"/>
        <w:rPr>
          <w:rFonts w:ascii="Calibri" w:eastAsia="Calibri" w:hAnsi="Calibri" w:cs="Calibri"/>
          <w:b/>
          <w:color w:val="4F81BC"/>
          <w:sz w:val="26"/>
          <w:szCs w:val="26"/>
        </w:rPr>
      </w:pPr>
      <w:bookmarkStart w:id="125" w:name="_Toc141279991"/>
      <w:r>
        <w:rPr>
          <w:rFonts w:ascii="Calibri" w:eastAsia="Calibri" w:hAnsi="Calibri" w:cs="Calibri"/>
          <w:b/>
          <w:color w:val="4F81BC"/>
          <w:sz w:val="26"/>
          <w:szCs w:val="26"/>
        </w:rPr>
        <w:t>Indemnity</w:t>
      </w:r>
      <w:bookmarkEnd w:id="125"/>
    </w:p>
    <w:p w14:paraId="53B64694" w14:textId="77777777" w:rsidR="006B113F" w:rsidRDefault="00000000">
      <w:pPr>
        <w:widowControl w:val="0"/>
        <w:numPr>
          <w:ilvl w:val="0"/>
          <w:numId w:val="51"/>
        </w:numPr>
        <w:tabs>
          <w:tab w:val="left" w:pos="461"/>
        </w:tabs>
        <w:spacing w:line="240" w:lineRule="auto"/>
        <w:jc w:val="both"/>
        <w:rPr>
          <w:color w:val="000000"/>
        </w:rPr>
      </w:pPr>
      <w:r>
        <w:rPr>
          <w:rFonts w:ascii="Calibri" w:eastAsia="Calibri" w:hAnsi="Calibri" w:cs="Calibri"/>
        </w:rPr>
        <w:t>Each Partner Institution generally undertakes to perform its scope of work relating to this Agreement, at its own risk and under its own sole liability and shall bear all consequences in compliance with the provisions hereunder.</w:t>
      </w:r>
    </w:p>
    <w:p w14:paraId="12BE8485" w14:textId="77777777" w:rsidR="006B113F" w:rsidRDefault="00000000">
      <w:pPr>
        <w:widowControl w:val="0"/>
        <w:numPr>
          <w:ilvl w:val="0"/>
          <w:numId w:val="51"/>
        </w:numPr>
        <w:tabs>
          <w:tab w:val="left" w:pos="461"/>
        </w:tabs>
        <w:spacing w:line="240" w:lineRule="auto"/>
        <w:jc w:val="both"/>
        <w:rPr>
          <w:color w:val="000000"/>
        </w:rPr>
      </w:pPr>
      <w:commentRangeStart w:id="126"/>
      <w:r>
        <w:rPr>
          <w:rFonts w:ascii="Calibri" w:eastAsia="Calibri" w:hAnsi="Calibri" w:cs="Calibri"/>
        </w:rPr>
        <w:t>Should it occur that the degree programme fails to be funded by the European Commission within the EMJM Joint Master Degree scheme, no Partner Institution,which cannot be held responsible for it shall under any circumstances be liable to any other Partner Institution for any damage caused thereby.</w:t>
      </w:r>
      <w:commentRangeEnd w:id="126"/>
      <w:r>
        <w:commentReference w:id="126"/>
      </w:r>
    </w:p>
    <w:p w14:paraId="2893A2D1" w14:textId="77777777" w:rsidR="006B113F" w:rsidRDefault="00000000">
      <w:pPr>
        <w:widowControl w:val="0"/>
        <w:numPr>
          <w:ilvl w:val="0"/>
          <w:numId w:val="51"/>
        </w:numPr>
        <w:tabs>
          <w:tab w:val="left" w:pos="461"/>
        </w:tabs>
        <w:spacing w:line="240" w:lineRule="auto"/>
        <w:jc w:val="both"/>
        <w:rPr>
          <w:color w:val="000000"/>
        </w:rPr>
      </w:pPr>
      <w:r>
        <w:rPr>
          <w:rFonts w:ascii="Calibri" w:eastAsia="Calibri" w:hAnsi="Calibri" w:cs="Calibri"/>
        </w:rPr>
        <w:t xml:space="preserve">A Partner Institution (“Accountable Party”) shall indemnify any other Partner Institution and its employees, agents and contractors, against any and all expenses, liabilities, losses, claims, damages, costs, litigation attorney fees (including legal costs) and proceedings, arising from complaints about modules or the degree programme as a whole, arising directly as a result of the negligence, act or omission, breach of contract, breach of duty, insolvency, recklessness, bad faith, wilful default or fraud of the Accountable Party, its employees, subcontractors or agents or any of them or as a result of the Accountable Party’s failure to exercise skill, care and diligence, or any other complaint of professional negligence arising in connection with the Accountable Party’s </w:t>
      </w:r>
      <w:bookmarkStart w:id="127" w:name="_Hlk114232950"/>
      <w:r>
        <w:rPr>
          <w:rFonts w:ascii="Calibri" w:eastAsia="Calibri" w:hAnsi="Calibri" w:cs="Calibri"/>
        </w:rPr>
        <w:t xml:space="preserve">or Parties’ </w:t>
      </w:r>
      <w:bookmarkEnd w:id="127"/>
      <w:r>
        <w:rPr>
          <w:rFonts w:ascii="Calibri" w:eastAsia="Calibri" w:hAnsi="Calibri" w:cs="Calibri"/>
        </w:rPr>
        <w:t>performance of this Agreement, provided that the complaints are not due to the gross negligence or deliberate omission or wilful misconduct of the other Partner Institution, its employees, agents or contractors.</w:t>
      </w:r>
    </w:p>
    <w:p w14:paraId="42D9F7FA" w14:textId="77777777" w:rsidR="006B113F" w:rsidRDefault="00000000">
      <w:pPr>
        <w:widowControl w:val="0"/>
        <w:numPr>
          <w:ilvl w:val="0"/>
          <w:numId w:val="51"/>
        </w:numPr>
        <w:tabs>
          <w:tab w:val="left" w:pos="461"/>
        </w:tabs>
        <w:spacing w:line="240" w:lineRule="auto"/>
        <w:jc w:val="both"/>
        <w:rPr>
          <w:rFonts w:ascii="Calibri" w:eastAsia="Calibri" w:hAnsi="Calibri" w:cs="Calibri"/>
        </w:rPr>
      </w:pPr>
      <w:r>
        <w:rPr>
          <w:rFonts w:ascii="Calibri" w:eastAsia="Calibri" w:hAnsi="Calibri" w:cs="Calibri"/>
        </w:rPr>
        <w:t xml:space="preserve">Each Partner Institution </w:t>
      </w:r>
      <w:bookmarkStart w:id="128" w:name="_Hlk114233347"/>
      <w:r>
        <w:rPr>
          <w:rFonts w:ascii="Calibri" w:eastAsia="Calibri" w:hAnsi="Calibri" w:cs="Calibri"/>
        </w:rPr>
        <w:t>has or will put in place appropriate insurance in accordance with the insurance norms prevailing in its country of establishment.</w:t>
      </w:r>
    </w:p>
    <w:p w14:paraId="3F0B19AC" w14:textId="77777777" w:rsidR="006B113F" w:rsidRDefault="00000000">
      <w:pPr>
        <w:widowControl w:val="0"/>
        <w:numPr>
          <w:ilvl w:val="0"/>
          <w:numId w:val="51"/>
        </w:numPr>
        <w:tabs>
          <w:tab w:val="left" w:pos="461"/>
        </w:tabs>
        <w:spacing w:line="240" w:lineRule="auto"/>
        <w:jc w:val="both"/>
        <w:rPr>
          <w:rFonts w:ascii="Calibri" w:eastAsia="Calibri" w:hAnsi="Calibri" w:cs="Calibri"/>
        </w:rPr>
      </w:pPr>
      <w:r>
        <w:rPr>
          <w:rFonts w:ascii="Calibri" w:eastAsia="Calibri" w:hAnsi="Calibri" w:cs="Calibri"/>
          <w:color w:val="000000"/>
        </w:rPr>
        <w:t>Notwithstanding anything to the contrary</w:t>
      </w:r>
      <w:r>
        <w:rPr>
          <w:rFonts w:ascii="Calibri" w:eastAsia="Calibri" w:hAnsi="Calibri" w:cs="Calibri"/>
        </w:rPr>
        <w:t>, neither Partner Institution shall be responsible towards the other Partner Institution for any indirect, incidental or consequential damages including without limitation loss of profits, loss of use, loss of data, loss of revenue and the like. Party’s total liability shall in no case exceed twenty thousand (20.000) euros. This limitation of liability shall not apply if and to the extent the damage has been caused by a wilful act or gross negligence.</w:t>
      </w:r>
    </w:p>
    <w:p w14:paraId="27E4ABE2" w14:textId="77777777" w:rsidR="006B113F" w:rsidRDefault="00000000">
      <w:pPr>
        <w:widowControl w:val="0"/>
        <w:numPr>
          <w:ilvl w:val="0"/>
          <w:numId w:val="51"/>
        </w:numPr>
        <w:tabs>
          <w:tab w:val="left" w:pos="461"/>
        </w:tabs>
        <w:spacing w:line="240" w:lineRule="auto"/>
        <w:jc w:val="both"/>
        <w:rPr>
          <w:color w:val="000000"/>
        </w:rPr>
      </w:pPr>
      <w:r>
        <w:rPr>
          <w:rFonts w:ascii="Calibri" w:eastAsia="Calibri" w:hAnsi="Calibri" w:cs="Calibri"/>
        </w:rPr>
        <w:t xml:space="preserve">A Partner Institution </w:t>
      </w:r>
      <w:bookmarkEnd w:id="128"/>
      <w:r>
        <w:rPr>
          <w:rFonts w:ascii="Calibri" w:eastAsia="Calibri" w:hAnsi="Calibri" w:cs="Calibri"/>
        </w:rPr>
        <w:t xml:space="preserve">subject to a claim, for which the Partner Institution intends to seek indemnity </w:t>
      </w:r>
      <w:r>
        <w:rPr>
          <w:rFonts w:ascii="Calibri" w:eastAsia="Calibri" w:hAnsi="Calibri" w:cs="Calibri"/>
        </w:rPr>
        <w:lastRenderedPageBreak/>
        <w:t>within the terms of this Agreement from another Partner Institution (“Accountable Party”) shall</w:t>
      </w:r>
    </w:p>
    <w:p w14:paraId="0AA2D31F" w14:textId="77777777" w:rsidR="006B113F" w:rsidRDefault="00000000">
      <w:pPr>
        <w:pStyle w:val="Listenabsatz"/>
        <w:widowControl w:val="0"/>
        <w:numPr>
          <w:ilvl w:val="1"/>
          <w:numId w:val="61"/>
        </w:numPr>
        <w:tabs>
          <w:tab w:val="left" w:pos="1134"/>
        </w:tabs>
        <w:spacing w:line="240" w:lineRule="auto"/>
        <w:ind w:left="850" w:hanging="283"/>
        <w:jc w:val="both"/>
      </w:pPr>
      <w:r>
        <w:rPr>
          <w:rFonts w:ascii="Calibri" w:eastAsia="Calibri" w:hAnsi="Calibri" w:cs="Calibri"/>
        </w:rPr>
        <w:t>as soon as reasonably practicable after becoming aware of the claim, provide the Accountable Party with reasonable details of it and thereafter provide the Accountable Party in a timely manner with such information relating to the claim as may reasonably be requested from time to time by the other,</w:t>
      </w:r>
    </w:p>
    <w:p w14:paraId="238A13D2" w14:textId="77777777" w:rsidR="006B113F" w:rsidRDefault="00000000">
      <w:pPr>
        <w:pStyle w:val="Listenabsatz"/>
        <w:widowControl w:val="0"/>
        <w:numPr>
          <w:ilvl w:val="1"/>
          <w:numId w:val="61"/>
        </w:numPr>
        <w:tabs>
          <w:tab w:val="left" w:pos="1134"/>
        </w:tabs>
        <w:spacing w:line="240" w:lineRule="auto"/>
        <w:ind w:left="850" w:hanging="283"/>
        <w:jc w:val="both"/>
      </w:pPr>
      <w:r>
        <w:rPr>
          <w:rFonts w:ascii="Calibri" w:eastAsia="Calibri" w:hAnsi="Calibri" w:cs="Calibri"/>
        </w:rPr>
        <w:t>not make, and use its reasonable endeavours to procure that there is not made any admission of liability, except with the prior written consent of the Accountable Party,</w:t>
      </w:r>
    </w:p>
    <w:p w14:paraId="032724AD" w14:textId="77777777" w:rsidR="006B113F" w:rsidRDefault="00000000">
      <w:pPr>
        <w:pStyle w:val="Listenabsatz"/>
        <w:widowControl w:val="0"/>
        <w:numPr>
          <w:ilvl w:val="1"/>
          <w:numId w:val="61"/>
        </w:numPr>
        <w:tabs>
          <w:tab w:val="left" w:pos="1134"/>
        </w:tabs>
        <w:spacing w:line="240" w:lineRule="auto"/>
        <w:ind w:left="850" w:hanging="283"/>
        <w:jc w:val="both"/>
      </w:pPr>
      <w:r>
        <w:rPr>
          <w:rFonts w:ascii="Calibri" w:eastAsia="Calibri" w:hAnsi="Calibri" w:cs="Calibri"/>
        </w:rPr>
        <w:t>keep the Accountable Party reasonably informed of all material developments relating to, and regularly informed of the progress of the claim,</w:t>
      </w:r>
    </w:p>
    <w:p w14:paraId="0FB6BBF8" w14:textId="77777777" w:rsidR="006B113F" w:rsidRDefault="00000000">
      <w:pPr>
        <w:pStyle w:val="Listenabsatz"/>
        <w:widowControl w:val="0"/>
        <w:numPr>
          <w:ilvl w:val="1"/>
          <w:numId w:val="61"/>
        </w:numPr>
        <w:tabs>
          <w:tab w:val="left" w:pos="1134"/>
        </w:tabs>
        <w:spacing w:line="240" w:lineRule="auto"/>
        <w:ind w:left="850" w:hanging="283"/>
        <w:jc w:val="both"/>
        <w:rPr>
          <w:rFonts w:ascii="Calibri" w:eastAsia="Calibri" w:hAnsi="Calibri" w:cs="Calibri"/>
        </w:rPr>
      </w:pPr>
      <w:r>
        <w:rPr>
          <w:rFonts w:ascii="Calibri" w:eastAsia="Calibri" w:hAnsi="Calibri" w:cs="Calibri"/>
        </w:rPr>
        <w:t>use its reasonable endeavours to procure that the handling of the claim, including, without limitation, any resistance to or defence of it, is carried out and conducted in all material respects in accordance with such reasonable written directions as may be given by the Accountable Party, and</w:t>
      </w:r>
    </w:p>
    <w:p w14:paraId="7055D8A2" w14:textId="77777777" w:rsidR="006B113F" w:rsidRDefault="00000000">
      <w:pPr>
        <w:pStyle w:val="Listenabsatz"/>
        <w:widowControl w:val="0"/>
        <w:numPr>
          <w:ilvl w:val="1"/>
          <w:numId w:val="61"/>
        </w:numPr>
        <w:tabs>
          <w:tab w:val="left" w:pos="1134"/>
        </w:tabs>
        <w:spacing w:line="240" w:lineRule="auto"/>
        <w:ind w:left="850" w:hanging="283"/>
        <w:jc w:val="both"/>
        <w:rPr>
          <w:rFonts w:ascii="Calibri" w:eastAsia="Calibri" w:hAnsi="Calibri" w:cs="Calibri"/>
        </w:rPr>
      </w:pPr>
      <w:r>
        <w:rPr>
          <w:rFonts w:ascii="Calibri" w:eastAsia="Calibri" w:hAnsi="Calibri" w:cs="Calibri"/>
        </w:rPr>
        <w:t>not settle or compromise the claim and procure that the claim is not settled or compromised, except with the prior written consent of the Accountable Party, which consent shall not be unreasonably withheld or delayed.</w:t>
      </w:r>
    </w:p>
    <w:p w14:paraId="2864B0E5" w14:textId="77777777" w:rsidR="006B113F" w:rsidRDefault="006B113F">
      <w:pPr>
        <w:widowControl w:val="0"/>
        <w:spacing w:line="240" w:lineRule="auto"/>
        <w:jc w:val="both"/>
        <w:rPr>
          <w:rFonts w:ascii="Calibri" w:eastAsia="Calibri" w:hAnsi="Calibri" w:cs="Calibri"/>
          <w:sz w:val="14"/>
          <w:szCs w:val="14"/>
        </w:rPr>
      </w:pPr>
    </w:p>
    <w:p w14:paraId="39E3065A" w14:textId="77777777" w:rsidR="006B113F" w:rsidRDefault="00000000">
      <w:pPr>
        <w:pStyle w:val="berschrift2"/>
        <w:keepNext w:val="0"/>
        <w:keepLines w:val="0"/>
        <w:widowControl w:val="0"/>
        <w:numPr>
          <w:ilvl w:val="0"/>
          <w:numId w:val="74"/>
        </w:numPr>
        <w:tabs>
          <w:tab w:val="left" w:pos="677"/>
        </w:tabs>
        <w:spacing w:before="0" w:after="0" w:line="240" w:lineRule="auto"/>
        <w:ind w:hanging="822"/>
        <w:jc w:val="both"/>
        <w:rPr>
          <w:rFonts w:ascii="Calibri" w:eastAsia="Calibri" w:hAnsi="Calibri" w:cs="Calibri"/>
          <w:b/>
          <w:color w:val="4F81BC"/>
          <w:sz w:val="26"/>
          <w:szCs w:val="26"/>
        </w:rPr>
      </w:pPr>
      <w:bookmarkStart w:id="129" w:name="_Toc141279992"/>
      <w:r>
        <w:rPr>
          <w:rFonts w:ascii="Calibri" w:eastAsia="Calibri" w:hAnsi="Calibri" w:cs="Calibri"/>
          <w:b/>
          <w:color w:val="4F81BC"/>
          <w:sz w:val="26"/>
          <w:szCs w:val="26"/>
        </w:rPr>
        <w:t>Warning of other Partner Institutions</w:t>
      </w:r>
      <w:bookmarkEnd w:id="129"/>
    </w:p>
    <w:p w14:paraId="55777745" w14:textId="77777777" w:rsidR="006B113F" w:rsidRDefault="00000000">
      <w:pPr>
        <w:widowControl w:val="0"/>
        <w:spacing w:line="240" w:lineRule="auto"/>
        <w:ind w:left="142"/>
        <w:jc w:val="both"/>
        <w:rPr>
          <w:rFonts w:ascii="Calibri" w:eastAsia="Calibri" w:hAnsi="Calibri" w:cs="Calibri"/>
        </w:rPr>
      </w:pPr>
      <w:r>
        <w:rPr>
          <w:rFonts w:ascii="Calibri" w:eastAsia="Calibri" w:hAnsi="Calibri" w:cs="Calibri"/>
        </w:rPr>
        <w:t>With respect to defaults or difficulties in the performance of this Agreement and obligations that may give rise to a claim or to the application of liquidated damages for default or delay, the Partner Institutions agree to inform each other of foreseeable delays or failures in the performance of their works, so that any action likely to mitigate the expected delay or failure, or of avoiding the application of liquidated damages or any other indemnity, herein provided, may be taken forthwith.</w:t>
      </w:r>
    </w:p>
    <w:p w14:paraId="63278455" w14:textId="77777777" w:rsidR="006B113F" w:rsidRDefault="006B113F">
      <w:pPr>
        <w:widowControl w:val="0"/>
        <w:spacing w:line="240" w:lineRule="auto"/>
        <w:jc w:val="both"/>
        <w:rPr>
          <w:rFonts w:ascii="Calibri" w:eastAsia="Calibri" w:hAnsi="Calibri" w:cs="Calibri"/>
          <w:sz w:val="14"/>
          <w:szCs w:val="14"/>
        </w:rPr>
      </w:pPr>
    </w:p>
    <w:p w14:paraId="7E0C8ACA" w14:textId="77777777" w:rsidR="006B113F" w:rsidRDefault="00000000">
      <w:pPr>
        <w:pStyle w:val="berschrift2"/>
        <w:keepNext w:val="0"/>
        <w:keepLines w:val="0"/>
        <w:widowControl w:val="0"/>
        <w:numPr>
          <w:ilvl w:val="0"/>
          <w:numId w:val="75"/>
        </w:numPr>
        <w:tabs>
          <w:tab w:val="left" w:pos="677"/>
        </w:tabs>
        <w:spacing w:before="0" w:after="0" w:line="240" w:lineRule="auto"/>
        <w:ind w:hanging="850"/>
        <w:jc w:val="both"/>
        <w:rPr>
          <w:rFonts w:ascii="Calibri" w:eastAsia="Calibri" w:hAnsi="Calibri" w:cs="Calibri"/>
          <w:b/>
          <w:color w:val="4F81BC"/>
          <w:sz w:val="26"/>
          <w:szCs w:val="26"/>
        </w:rPr>
      </w:pPr>
      <w:bookmarkStart w:id="130" w:name="_Toc141279993"/>
      <w:r>
        <w:rPr>
          <w:rFonts w:ascii="Calibri" w:eastAsia="Calibri" w:hAnsi="Calibri" w:cs="Calibri"/>
          <w:b/>
          <w:color w:val="4F81BC"/>
          <w:sz w:val="26"/>
          <w:szCs w:val="26"/>
        </w:rPr>
        <w:t>Force Majeure</w:t>
      </w:r>
      <w:bookmarkEnd w:id="130"/>
    </w:p>
    <w:p w14:paraId="42356663" w14:textId="77777777" w:rsidR="006B113F" w:rsidRDefault="00000000">
      <w:pPr>
        <w:widowControl w:val="0"/>
        <w:numPr>
          <w:ilvl w:val="0"/>
          <w:numId w:val="39"/>
        </w:numPr>
        <w:tabs>
          <w:tab w:val="left" w:pos="461"/>
        </w:tabs>
        <w:spacing w:line="240" w:lineRule="auto"/>
        <w:jc w:val="both"/>
        <w:rPr>
          <w:color w:val="000000"/>
        </w:rPr>
      </w:pPr>
      <w:r>
        <w:rPr>
          <w:rFonts w:ascii="Calibri" w:eastAsia="Calibri" w:hAnsi="Calibri" w:cs="Calibri"/>
        </w:rPr>
        <w:t>Force Majeure, for the purpose of this Agreement, is defined as any cause preventing any Partner Institution from performing any or all of its obligations which arise from or are attributable to the acts, events, omissions or accidents beyond the reasonable control of the Partner Institution so prevented, including without limitation, any strike, lock-out or other form of industrial action, war, riot, civil commotion, terrorism, malicious damage, accident, breakdown of plant or machinery, pandemic, fire, flood, storm or other natural disasters).</w:t>
      </w:r>
    </w:p>
    <w:p w14:paraId="15A5B950" w14:textId="77777777" w:rsidR="006B113F" w:rsidRDefault="00000000">
      <w:pPr>
        <w:widowControl w:val="0"/>
        <w:numPr>
          <w:ilvl w:val="0"/>
          <w:numId w:val="39"/>
        </w:numPr>
        <w:tabs>
          <w:tab w:val="left" w:pos="461"/>
        </w:tabs>
        <w:spacing w:line="240" w:lineRule="auto"/>
        <w:jc w:val="both"/>
        <w:rPr>
          <w:rFonts w:ascii="Calibri" w:eastAsia="Calibri" w:hAnsi="Calibri" w:cs="Calibri"/>
        </w:rPr>
      </w:pPr>
      <w:r>
        <w:rPr>
          <w:rFonts w:ascii="Calibri" w:eastAsia="Calibri" w:hAnsi="Calibri" w:cs="Calibri"/>
        </w:rPr>
        <w:t>If there is a change in the law that prevents a Partner Institution in the fulfilment of any of its obligations towards the Consortium, the institution concerned will immediately notify it, and an amicable solution will be sought.</w:t>
      </w:r>
    </w:p>
    <w:p w14:paraId="11C2E145" w14:textId="77777777" w:rsidR="006B113F" w:rsidRDefault="00000000">
      <w:pPr>
        <w:widowControl w:val="0"/>
        <w:numPr>
          <w:ilvl w:val="0"/>
          <w:numId w:val="39"/>
        </w:numPr>
        <w:tabs>
          <w:tab w:val="left" w:pos="461"/>
        </w:tabs>
        <w:spacing w:line="240" w:lineRule="auto"/>
        <w:jc w:val="both"/>
        <w:rPr>
          <w:color w:val="000000"/>
        </w:rPr>
      </w:pPr>
      <w:r>
        <w:rPr>
          <w:rFonts w:ascii="Calibri" w:eastAsia="Calibri" w:hAnsi="Calibri" w:cs="Calibri"/>
        </w:rPr>
        <w:t>None of the Parties to this Agreement shall be responsible to another Partner Institution for any failure or delay in performance or non-performance due to Force Majeure.</w:t>
      </w:r>
    </w:p>
    <w:p w14:paraId="7C48D82C" w14:textId="3221823F" w:rsidR="006B113F" w:rsidRDefault="00000000">
      <w:pPr>
        <w:widowControl w:val="0"/>
        <w:numPr>
          <w:ilvl w:val="0"/>
          <w:numId w:val="39"/>
        </w:numPr>
        <w:tabs>
          <w:tab w:val="left" w:pos="461"/>
        </w:tabs>
        <w:spacing w:line="240" w:lineRule="auto"/>
        <w:jc w:val="both"/>
        <w:rPr>
          <w:color w:val="000000"/>
        </w:rPr>
      </w:pPr>
      <w:r>
        <w:rPr>
          <w:rFonts w:ascii="Calibri" w:eastAsia="Calibri" w:hAnsi="Calibri" w:cs="Calibri"/>
        </w:rPr>
        <w:t xml:space="preserve">Throughout the duration of the Force Majeure event(s), the affected Partner Institution shall use its reasonable efforts to cure or reduce the effect thereof and needs to secure students can continue to study in the </w:t>
      </w:r>
      <w:r w:rsidR="00B270F7">
        <w:rPr>
          <w:rFonts w:ascii="Calibri" w:eastAsia="Calibri" w:hAnsi="Calibri" w:cs="Calibri"/>
        </w:rPr>
        <w:t>XX</w:t>
      </w:r>
      <w:r>
        <w:rPr>
          <w:rFonts w:ascii="Calibri" w:eastAsia="Calibri" w:hAnsi="Calibri" w:cs="Calibri"/>
        </w:rPr>
        <w:t xml:space="preserve"> Master programme, where required through arrangements involving other </w:t>
      </w:r>
      <w:r w:rsidR="00B270F7">
        <w:rPr>
          <w:rFonts w:ascii="Calibri" w:eastAsia="Calibri" w:hAnsi="Calibri" w:cs="Calibri"/>
        </w:rPr>
        <w:t>XX</w:t>
      </w:r>
      <w:r>
        <w:rPr>
          <w:rFonts w:ascii="Calibri" w:eastAsia="Calibri" w:hAnsi="Calibri" w:cs="Calibri"/>
        </w:rPr>
        <w:t xml:space="preserve"> Partner Universities.</w:t>
      </w:r>
    </w:p>
    <w:p w14:paraId="119A1476" w14:textId="77777777" w:rsidR="006B113F" w:rsidRDefault="00000000">
      <w:pPr>
        <w:widowControl w:val="0"/>
        <w:numPr>
          <w:ilvl w:val="0"/>
          <w:numId w:val="39"/>
        </w:numPr>
        <w:tabs>
          <w:tab w:val="left" w:pos="461"/>
        </w:tabs>
        <w:spacing w:line="240" w:lineRule="auto"/>
        <w:jc w:val="both"/>
        <w:rPr>
          <w:color w:val="000000"/>
        </w:rPr>
      </w:pPr>
      <w:r>
        <w:rPr>
          <w:rFonts w:ascii="Calibri" w:eastAsia="Calibri" w:hAnsi="Calibri" w:cs="Calibri"/>
        </w:rPr>
        <w:t xml:space="preserve">The affected Partner Institution shall promptly upon occurrence of any such causes inform the other Partner Institutions, stating that such cause has delayed or prevented its performance hereunder, and thereafter the affected Partner Institution shall take all action within its power to comply with the terms of this Agreement as fully and promptly as possible. </w:t>
      </w:r>
    </w:p>
    <w:p w14:paraId="5F0FABBC" w14:textId="77777777" w:rsidR="006B113F" w:rsidRDefault="00000000">
      <w:pPr>
        <w:widowControl w:val="0"/>
        <w:numPr>
          <w:ilvl w:val="0"/>
          <w:numId w:val="39"/>
        </w:numPr>
        <w:tabs>
          <w:tab w:val="left" w:pos="461"/>
        </w:tabs>
        <w:spacing w:line="240" w:lineRule="auto"/>
        <w:jc w:val="both"/>
        <w:rPr>
          <w:color w:val="000000"/>
        </w:rPr>
      </w:pPr>
      <w:r>
        <w:rPr>
          <w:rFonts w:ascii="Calibri" w:eastAsia="Calibri" w:hAnsi="Calibri" w:cs="Calibri"/>
        </w:rPr>
        <w:t xml:space="preserve">Should the Force Majeure in question prevail for a continuous period, more than one (1) month, the Partner Institutions shall enter into discussion with a view to alleviating its effects or to agreeing upon such alternative arrangements as may be fair and reasonable. </w:t>
      </w:r>
    </w:p>
    <w:p w14:paraId="773C4653" w14:textId="77777777" w:rsidR="006B113F" w:rsidRDefault="006B113F">
      <w:pPr>
        <w:widowControl w:val="0"/>
        <w:tabs>
          <w:tab w:val="left" w:pos="461"/>
        </w:tabs>
        <w:spacing w:line="240" w:lineRule="auto"/>
        <w:jc w:val="both"/>
        <w:rPr>
          <w:rFonts w:ascii="Calibri" w:eastAsia="Calibri" w:hAnsi="Calibri" w:cs="Calibri"/>
        </w:rPr>
      </w:pPr>
    </w:p>
    <w:p w14:paraId="5E62E818" w14:textId="77777777" w:rsidR="006B113F" w:rsidRDefault="006B113F">
      <w:pPr>
        <w:widowControl w:val="0"/>
        <w:tabs>
          <w:tab w:val="left" w:pos="461"/>
        </w:tabs>
        <w:spacing w:line="240" w:lineRule="auto"/>
        <w:jc w:val="both"/>
        <w:rPr>
          <w:color w:val="000000"/>
        </w:rPr>
      </w:pPr>
    </w:p>
    <w:p w14:paraId="136EC9FF" w14:textId="77777777" w:rsidR="006B113F" w:rsidRDefault="00000000">
      <w:pPr>
        <w:pStyle w:val="berschrift1"/>
        <w:keepNext w:val="0"/>
        <w:keepLines w:val="0"/>
        <w:widowControl w:val="0"/>
        <w:tabs>
          <w:tab w:val="left" w:pos="1701"/>
        </w:tabs>
        <w:spacing w:before="0" w:after="0" w:line="240" w:lineRule="auto"/>
        <w:jc w:val="both"/>
        <w:rPr>
          <w:rFonts w:ascii="Cambria" w:eastAsia="Cambria" w:hAnsi="Cambria" w:cs="Cambria"/>
          <w:b/>
          <w:color w:val="365F91"/>
          <w:sz w:val="28"/>
          <w:szCs w:val="28"/>
        </w:rPr>
      </w:pPr>
      <w:bookmarkStart w:id="131" w:name="_Toc141279994"/>
      <w:r>
        <w:rPr>
          <w:rFonts w:ascii="Calibri" w:eastAsia="Calibri" w:hAnsi="Calibri" w:cs="Calibri"/>
          <w:b/>
          <w:color w:val="365F91"/>
          <w:sz w:val="28"/>
          <w:szCs w:val="28"/>
        </w:rPr>
        <w:t>Article 15</w:t>
      </w:r>
      <w:r>
        <w:rPr>
          <w:rFonts w:ascii="Calibri" w:eastAsia="Calibri" w:hAnsi="Calibri" w:cs="Calibri"/>
          <w:b/>
          <w:color w:val="365F91"/>
          <w:sz w:val="28"/>
          <w:szCs w:val="28"/>
        </w:rPr>
        <w:tab/>
        <w:t>This Agreement</w:t>
      </w:r>
      <w:bookmarkEnd w:id="131"/>
      <w:r>
        <w:rPr>
          <w:rFonts w:ascii="Calibri" w:eastAsia="Calibri" w:hAnsi="Calibri" w:cs="Calibri"/>
          <w:b/>
          <w:color w:val="365F91"/>
          <w:sz w:val="28"/>
          <w:szCs w:val="28"/>
        </w:rPr>
        <w:t xml:space="preserve"> </w:t>
      </w:r>
    </w:p>
    <w:p w14:paraId="1C47F6FC" w14:textId="77777777" w:rsidR="006B113F" w:rsidRDefault="006B113F">
      <w:pPr>
        <w:widowControl w:val="0"/>
        <w:tabs>
          <w:tab w:val="left" w:pos="461"/>
        </w:tabs>
        <w:spacing w:line="240" w:lineRule="auto"/>
        <w:ind w:left="460" w:hanging="360"/>
        <w:jc w:val="both"/>
        <w:rPr>
          <w:rFonts w:ascii="Calibri" w:eastAsia="Calibri" w:hAnsi="Calibri" w:cs="Calibri"/>
        </w:rPr>
      </w:pPr>
    </w:p>
    <w:p w14:paraId="0FDACFA2" w14:textId="77777777" w:rsidR="006B113F" w:rsidRDefault="00000000">
      <w:pPr>
        <w:pStyle w:val="berschrift2"/>
        <w:keepNext w:val="0"/>
        <w:keepLines w:val="0"/>
        <w:widowControl w:val="0"/>
        <w:numPr>
          <w:ilvl w:val="1"/>
          <w:numId w:val="26"/>
        </w:numPr>
        <w:tabs>
          <w:tab w:val="left" w:pos="677"/>
        </w:tabs>
        <w:spacing w:before="0" w:after="0" w:line="240" w:lineRule="auto"/>
        <w:ind w:hanging="880"/>
        <w:jc w:val="both"/>
        <w:rPr>
          <w:rFonts w:ascii="Calibri" w:eastAsia="Calibri" w:hAnsi="Calibri" w:cs="Calibri"/>
          <w:color w:val="365F91"/>
          <w:sz w:val="28"/>
          <w:szCs w:val="28"/>
        </w:rPr>
      </w:pPr>
      <w:bookmarkStart w:id="132" w:name="_Toc141279995"/>
      <w:r>
        <w:rPr>
          <w:rFonts w:ascii="Calibri" w:eastAsia="Calibri" w:hAnsi="Calibri" w:cs="Calibri"/>
          <w:b/>
          <w:color w:val="4F81BC"/>
          <w:sz w:val="26"/>
          <w:szCs w:val="26"/>
        </w:rPr>
        <w:lastRenderedPageBreak/>
        <w:t>Contractual Relationship</w:t>
      </w:r>
      <w:bookmarkEnd w:id="132"/>
      <w:r>
        <w:rPr>
          <w:rFonts w:ascii="Calibri" w:eastAsia="Calibri" w:hAnsi="Calibri" w:cs="Calibri"/>
          <w:b/>
          <w:color w:val="365F91"/>
          <w:sz w:val="28"/>
          <w:szCs w:val="28"/>
        </w:rPr>
        <w:t xml:space="preserve"> </w:t>
      </w:r>
    </w:p>
    <w:p w14:paraId="585C2229" w14:textId="77777777" w:rsidR="006B113F" w:rsidRDefault="00000000">
      <w:pPr>
        <w:widowControl w:val="0"/>
        <w:numPr>
          <w:ilvl w:val="0"/>
          <w:numId w:val="14"/>
        </w:numPr>
        <w:tabs>
          <w:tab w:val="left" w:pos="461"/>
        </w:tabs>
        <w:spacing w:line="240" w:lineRule="auto"/>
        <w:jc w:val="both"/>
        <w:rPr>
          <w:color w:val="000000"/>
        </w:rPr>
      </w:pPr>
      <w:r>
        <w:rPr>
          <w:rFonts w:ascii="Calibri" w:eastAsia="Calibri" w:hAnsi="Calibri" w:cs="Calibri"/>
        </w:rPr>
        <w:t>This Partnership Agreement constitutes a contractual relationship between the Partner Institutions which shall exist only for the purposes set out in Article 1 of the present Agreement. The Partner Institutions acknowledge that in entering into this Agreement no Partner Institution relies on, and shall have no remedy in respect of, any statement, representation, warrant or understanding, however made, other than as expressly set out in this Agreement.</w:t>
      </w:r>
    </w:p>
    <w:p w14:paraId="61977475" w14:textId="77777777" w:rsidR="006B113F" w:rsidRDefault="00000000">
      <w:pPr>
        <w:widowControl w:val="0"/>
        <w:numPr>
          <w:ilvl w:val="0"/>
          <w:numId w:val="14"/>
        </w:numPr>
        <w:tabs>
          <w:tab w:val="left" w:pos="461"/>
        </w:tabs>
        <w:spacing w:line="240" w:lineRule="auto"/>
        <w:jc w:val="both"/>
        <w:rPr>
          <w:color w:val="000000"/>
        </w:rPr>
      </w:pPr>
      <w:r>
        <w:rPr>
          <w:rFonts w:ascii="Calibri" w:eastAsia="Calibri" w:hAnsi="Calibri" w:cs="Calibri"/>
        </w:rPr>
        <w:t>This Agreement is not intended to create, nor should it be construed as creating, a corporation, agency, or partnership (whether general or limited), or any legal entity or continuing relationship or commitment between the Partner Institutions other than as expressly contained in this Agreement.</w:t>
      </w:r>
    </w:p>
    <w:p w14:paraId="0A5B861F" w14:textId="77777777" w:rsidR="006B113F" w:rsidRDefault="00000000">
      <w:pPr>
        <w:widowControl w:val="0"/>
        <w:numPr>
          <w:ilvl w:val="0"/>
          <w:numId w:val="14"/>
        </w:numPr>
        <w:tabs>
          <w:tab w:val="left" w:pos="461"/>
        </w:tabs>
        <w:spacing w:line="240" w:lineRule="auto"/>
        <w:jc w:val="both"/>
        <w:rPr>
          <w:color w:val="000000"/>
        </w:rPr>
      </w:pPr>
      <w:r>
        <w:rPr>
          <w:rFonts w:ascii="Calibri" w:eastAsia="Calibri" w:hAnsi="Calibri" w:cs="Calibri"/>
        </w:rPr>
        <w:t>Non-enforcement of any provision of this Agreement shall not constitute a waiver or precedent in respect of that or any other provision at any other time or by any other Partner Institution.</w:t>
      </w:r>
    </w:p>
    <w:p w14:paraId="74351007" w14:textId="77777777" w:rsidR="006B113F" w:rsidRDefault="00000000">
      <w:pPr>
        <w:widowControl w:val="0"/>
        <w:numPr>
          <w:ilvl w:val="0"/>
          <w:numId w:val="14"/>
        </w:numPr>
        <w:tabs>
          <w:tab w:val="left" w:pos="461"/>
        </w:tabs>
        <w:spacing w:line="240" w:lineRule="auto"/>
        <w:jc w:val="both"/>
        <w:rPr>
          <w:color w:val="000000"/>
        </w:rPr>
      </w:pPr>
      <w:r>
        <w:rPr>
          <w:rFonts w:ascii="Calibri" w:eastAsia="Calibri" w:hAnsi="Calibri" w:cs="Calibri"/>
        </w:rPr>
        <w:t>If any provision (or part of a provision) included in this Agreement is found to be illegal, void, or unenforceable, in whole or in part, then such provision shall be severed from the rest of this Agreement and the remainder of this Agreement shall continue to have full force and effect for all intents and purposes of the law.</w:t>
      </w:r>
    </w:p>
    <w:p w14:paraId="32B4C24C" w14:textId="77777777" w:rsidR="006B113F" w:rsidRDefault="006B113F">
      <w:pPr>
        <w:widowControl w:val="0"/>
        <w:spacing w:line="240" w:lineRule="auto"/>
        <w:jc w:val="both"/>
        <w:rPr>
          <w:rFonts w:ascii="Calibri" w:eastAsia="Calibri" w:hAnsi="Calibri" w:cs="Calibri"/>
          <w:sz w:val="16"/>
          <w:szCs w:val="16"/>
        </w:rPr>
      </w:pPr>
    </w:p>
    <w:p w14:paraId="5B8EAADC" w14:textId="77777777" w:rsidR="006B113F" w:rsidRDefault="00000000">
      <w:pPr>
        <w:pStyle w:val="berschrift2"/>
        <w:keepNext w:val="0"/>
        <w:keepLines w:val="0"/>
        <w:widowControl w:val="0"/>
        <w:numPr>
          <w:ilvl w:val="1"/>
          <w:numId w:val="26"/>
        </w:numPr>
        <w:tabs>
          <w:tab w:val="left" w:pos="677"/>
        </w:tabs>
        <w:spacing w:before="0" w:after="0" w:line="240" w:lineRule="auto"/>
        <w:ind w:hanging="866"/>
        <w:jc w:val="both"/>
      </w:pPr>
      <w:bookmarkStart w:id="133" w:name="_Toc141279996"/>
      <w:r>
        <w:rPr>
          <w:rFonts w:ascii="Calibri" w:eastAsia="Calibri" w:hAnsi="Calibri" w:cs="Calibri"/>
          <w:b/>
          <w:color w:val="4F81BC"/>
          <w:sz w:val="26"/>
          <w:szCs w:val="26"/>
        </w:rPr>
        <w:t>Transitional Provisions</w:t>
      </w:r>
      <w:bookmarkEnd w:id="133"/>
    </w:p>
    <w:p w14:paraId="0B3D9E2E" w14:textId="572AE064" w:rsidR="006B113F" w:rsidRDefault="00000000">
      <w:pPr>
        <w:widowControl w:val="0"/>
        <w:numPr>
          <w:ilvl w:val="0"/>
          <w:numId w:val="48"/>
        </w:numPr>
        <w:tabs>
          <w:tab w:val="left" w:pos="461"/>
        </w:tabs>
        <w:spacing w:line="240" w:lineRule="auto"/>
        <w:jc w:val="both"/>
        <w:rPr>
          <w:color w:val="000000"/>
        </w:rPr>
      </w:pPr>
      <w:r>
        <w:rPr>
          <w:rFonts w:ascii="Calibri" w:eastAsia="Calibri" w:hAnsi="Calibri" w:cs="Calibri"/>
        </w:rPr>
        <w:t xml:space="preserve">The Partner Institutions agree to start the Joint Master degree Programme </w:t>
      </w:r>
      <w:r w:rsidR="00B270F7">
        <w:rPr>
          <w:rFonts w:ascii="Calibri" w:eastAsia="Calibri" w:hAnsi="Calibri" w:cs="Calibri"/>
        </w:rPr>
        <w:t>XX</w:t>
      </w:r>
      <w:r>
        <w:rPr>
          <w:rFonts w:ascii="Calibri" w:eastAsia="Calibri" w:hAnsi="Calibri" w:cs="Calibri"/>
        </w:rPr>
        <w:t>, as governed by this Agreement, in 2023. First intake of students shall be in fall 2023.</w:t>
      </w:r>
    </w:p>
    <w:p w14:paraId="55E9FF89" w14:textId="77777777" w:rsidR="006B113F" w:rsidRDefault="00000000">
      <w:pPr>
        <w:widowControl w:val="0"/>
        <w:numPr>
          <w:ilvl w:val="0"/>
          <w:numId w:val="48"/>
        </w:numPr>
        <w:tabs>
          <w:tab w:val="left" w:pos="461"/>
        </w:tabs>
        <w:spacing w:line="240" w:lineRule="auto"/>
        <w:jc w:val="both"/>
        <w:rPr>
          <w:color w:val="000000"/>
        </w:rPr>
      </w:pPr>
      <w:bookmarkStart w:id="134" w:name="_Hlk130574066"/>
      <w:r>
        <w:rPr>
          <w:rFonts w:ascii="Calibri" w:eastAsia="Calibri" w:hAnsi="Calibri" w:cs="Calibri"/>
        </w:rPr>
        <w:t>Notwithstanding the previous clause, a Partner Institution may request an exemption from implementing certain parts of this Agreement if national legislation, university regulations or administrative procedures prevent implementation, though under the condition that the other Partner Institutions agree with such an exemption and under the condition that the Partnership Agreement and its annex are fully adhered to by September 2023.</w:t>
      </w:r>
      <w:bookmarkEnd w:id="134"/>
    </w:p>
    <w:p w14:paraId="0CFD06C9" w14:textId="77777777" w:rsidR="006B113F" w:rsidRDefault="006B113F">
      <w:pPr>
        <w:widowControl w:val="0"/>
        <w:spacing w:line="240" w:lineRule="auto"/>
        <w:jc w:val="both"/>
        <w:rPr>
          <w:rFonts w:ascii="Calibri" w:eastAsia="Calibri" w:hAnsi="Calibri" w:cs="Calibri"/>
          <w:sz w:val="16"/>
          <w:szCs w:val="16"/>
        </w:rPr>
      </w:pPr>
    </w:p>
    <w:p w14:paraId="61FA0297" w14:textId="77777777" w:rsidR="006B113F" w:rsidRDefault="00000000">
      <w:pPr>
        <w:pStyle w:val="berschrift2"/>
        <w:keepNext w:val="0"/>
        <w:keepLines w:val="0"/>
        <w:widowControl w:val="0"/>
        <w:numPr>
          <w:ilvl w:val="1"/>
          <w:numId w:val="26"/>
        </w:numPr>
        <w:tabs>
          <w:tab w:val="left" w:pos="677"/>
        </w:tabs>
        <w:spacing w:before="0" w:after="0" w:line="240" w:lineRule="auto"/>
        <w:ind w:hanging="852"/>
        <w:jc w:val="both"/>
      </w:pPr>
      <w:bookmarkStart w:id="135" w:name="_Toc141279997"/>
      <w:r>
        <w:rPr>
          <w:rFonts w:ascii="Calibri" w:eastAsia="Calibri" w:hAnsi="Calibri" w:cs="Calibri"/>
          <w:b/>
          <w:color w:val="4F81BC"/>
          <w:sz w:val="26"/>
          <w:szCs w:val="26"/>
        </w:rPr>
        <w:t>Amendments and Communications</w:t>
      </w:r>
      <w:bookmarkEnd w:id="135"/>
    </w:p>
    <w:p w14:paraId="4F425630" w14:textId="77777777" w:rsidR="006B113F" w:rsidRDefault="00000000">
      <w:pPr>
        <w:widowControl w:val="0"/>
        <w:numPr>
          <w:ilvl w:val="0"/>
          <w:numId w:val="22"/>
        </w:numPr>
        <w:tabs>
          <w:tab w:val="left" w:pos="461"/>
        </w:tabs>
        <w:spacing w:line="240" w:lineRule="auto"/>
        <w:jc w:val="both"/>
        <w:rPr>
          <w:color w:val="000000"/>
        </w:rPr>
      </w:pPr>
      <w:r>
        <w:rPr>
          <w:rFonts w:ascii="Calibri" w:eastAsia="Calibri" w:hAnsi="Calibri" w:cs="Calibri"/>
        </w:rPr>
        <w:t>No change, alteration, modification, or addition to this Agreement shall be valid unless agreed in writing and properly executed by the Partner Institutions hereto.</w:t>
      </w:r>
    </w:p>
    <w:p w14:paraId="3EF14887" w14:textId="77777777" w:rsidR="006B113F" w:rsidRDefault="00000000">
      <w:pPr>
        <w:widowControl w:val="0"/>
        <w:numPr>
          <w:ilvl w:val="0"/>
          <w:numId w:val="22"/>
        </w:numPr>
        <w:tabs>
          <w:tab w:val="left" w:pos="461"/>
        </w:tabs>
        <w:spacing w:line="240" w:lineRule="auto"/>
        <w:jc w:val="both"/>
        <w:rPr>
          <w:color w:val="000000"/>
        </w:rPr>
      </w:pPr>
      <w:r>
        <w:rPr>
          <w:rFonts w:ascii="Calibri" w:eastAsia="Calibri" w:hAnsi="Calibri" w:cs="Calibri"/>
        </w:rPr>
        <w:t>Any demand notice or other communication given or made under or in connection with this Agreement shall be in writing.</w:t>
      </w:r>
    </w:p>
    <w:p w14:paraId="49783BC2" w14:textId="501D28DA" w:rsidR="006B113F" w:rsidRDefault="00000000">
      <w:pPr>
        <w:widowControl w:val="0"/>
        <w:numPr>
          <w:ilvl w:val="0"/>
          <w:numId w:val="22"/>
        </w:numPr>
        <w:tabs>
          <w:tab w:val="left" w:pos="461"/>
        </w:tabs>
        <w:spacing w:line="240" w:lineRule="auto"/>
        <w:jc w:val="both"/>
        <w:rPr>
          <w:color w:val="000000"/>
        </w:rPr>
      </w:pPr>
      <w:r>
        <w:rPr>
          <w:rFonts w:ascii="Calibri" w:eastAsia="Calibri" w:hAnsi="Calibri" w:cs="Calibri"/>
        </w:rPr>
        <w:t xml:space="preserve">Subject to the approval of the Partner Institutions, the Academic Study Board can amend and revise the </w:t>
      </w:r>
      <w:r w:rsidR="00B270F7">
        <w:rPr>
          <w:rFonts w:ascii="Calibri" w:eastAsia="Calibri" w:hAnsi="Calibri" w:cs="Calibri"/>
        </w:rPr>
        <w:t>XX</w:t>
      </w:r>
      <w:r>
        <w:rPr>
          <w:rFonts w:ascii="Calibri" w:eastAsia="Calibri" w:hAnsi="Calibri" w:cs="Calibri"/>
        </w:rPr>
        <w:t xml:space="preserve"> Examination Regulations and Internal Quality Handbook, as well as the online Student Handbook, without requiring a renewal of this Partnership Agreement.</w:t>
      </w:r>
    </w:p>
    <w:p w14:paraId="24995DB7" w14:textId="77777777" w:rsidR="006B113F" w:rsidRDefault="006B113F">
      <w:pPr>
        <w:widowControl w:val="0"/>
        <w:spacing w:line="240" w:lineRule="auto"/>
        <w:jc w:val="both"/>
        <w:rPr>
          <w:rFonts w:ascii="Calibri" w:eastAsia="Calibri" w:hAnsi="Calibri" w:cs="Calibri"/>
          <w:color w:val="000000"/>
          <w:sz w:val="16"/>
          <w:szCs w:val="16"/>
        </w:rPr>
      </w:pPr>
    </w:p>
    <w:p w14:paraId="2AACFFF6" w14:textId="77777777" w:rsidR="006B113F" w:rsidRDefault="00000000">
      <w:pPr>
        <w:pStyle w:val="berschrift2"/>
        <w:keepNext w:val="0"/>
        <w:keepLines w:val="0"/>
        <w:widowControl w:val="0"/>
        <w:numPr>
          <w:ilvl w:val="1"/>
          <w:numId w:val="26"/>
        </w:numPr>
        <w:tabs>
          <w:tab w:val="left" w:pos="677"/>
        </w:tabs>
        <w:spacing w:before="0" w:after="0" w:line="240" w:lineRule="auto"/>
        <w:ind w:hanging="880"/>
        <w:jc w:val="both"/>
      </w:pPr>
      <w:bookmarkStart w:id="136" w:name="_Toc141279998"/>
      <w:r>
        <w:rPr>
          <w:rFonts w:ascii="Calibri" w:eastAsia="Calibri" w:hAnsi="Calibri" w:cs="Calibri"/>
          <w:b/>
          <w:color w:val="4F81BC"/>
          <w:sz w:val="26"/>
          <w:szCs w:val="26"/>
        </w:rPr>
        <w:t>Dispute Settlement</w:t>
      </w:r>
      <w:bookmarkEnd w:id="136"/>
    </w:p>
    <w:p w14:paraId="49E448F9" w14:textId="77777777" w:rsidR="006B113F" w:rsidRDefault="00000000">
      <w:pPr>
        <w:widowControl w:val="0"/>
        <w:numPr>
          <w:ilvl w:val="0"/>
          <w:numId w:val="9"/>
        </w:numPr>
        <w:tabs>
          <w:tab w:val="left" w:pos="461"/>
        </w:tabs>
        <w:spacing w:line="240" w:lineRule="auto"/>
        <w:jc w:val="both"/>
        <w:rPr>
          <w:color w:val="000000"/>
        </w:rPr>
      </w:pPr>
      <w:r>
        <w:rPr>
          <w:rFonts w:ascii="Calibri" w:eastAsia="Calibri" w:hAnsi="Calibri" w:cs="Calibri"/>
        </w:rPr>
        <w:t>In the event of any dispute between the Partner Institutions regarding this Agreement, the details of the circumstances of any such dispute shall be communicated in writing by the Partner Institution alleging the same to the other Partner Institution/s, which communication shall also be copied to the Academic Study Board.</w:t>
      </w:r>
    </w:p>
    <w:p w14:paraId="55D052AB" w14:textId="77777777" w:rsidR="006B113F" w:rsidRDefault="00000000">
      <w:pPr>
        <w:widowControl w:val="0"/>
        <w:numPr>
          <w:ilvl w:val="0"/>
          <w:numId w:val="9"/>
        </w:numPr>
        <w:tabs>
          <w:tab w:val="left" w:pos="461"/>
        </w:tabs>
        <w:spacing w:line="240" w:lineRule="auto"/>
        <w:jc w:val="both"/>
        <w:rPr>
          <w:color w:val="000000"/>
        </w:rPr>
      </w:pPr>
      <w:r>
        <w:rPr>
          <w:rFonts w:ascii="Calibri" w:eastAsia="Calibri" w:hAnsi="Calibri" w:cs="Calibri"/>
        </w:rPr>
        <w:t>In the event of any dispute between the Partner Institutions regarding this Agreement, the Partner Institutions agree to attempt to reach an amicable settlement in good faith, which shall be facilitated by the Academic Study Board.</w:t>
      </w:r>
    </w:p>
    <w:p w14:paraId="34005EA3" w14:textId="77777777" w:rsidR="006B113F" w:rsidRDefault="00000000">
      <w:pPr>
        <w:widowControl w:val="0"/>
        <w:numPr>
          <w:ilvl w:val="0"/>
          <w:numId w:val="9"/>
        </w:numPr>
        <w:tabs>
          <w:tab w:val="left" w:pos="461"/>
        </w:tabs>
        <w:spacing w:line="240" w:lineRule="auto"/>
        <w:jc w:val="both"/>
        <w:rPr>
          <w:color w:val="000000"/>
        </w:rPr>
      </w:pPr>
      <w:r>
        <w:rPr>
          <w:rFonts w:ascii="Calibri" w:eastAsia="Calibri" w:hAnsi="Calibri" w:cs="Calibri"/>
        </w:rPr>
        <w:t>Any dispute arising out of, or in connection with, this Agreement, including any question regarding its existence, validity, or termination, if not resolved by mutual amicable settlement between the Partner Institutions within a reasonable time, being no more than a total of three months, shall be regulated according to the national law of the Partner Institution at which the conflict originated.</w:t>
      </w:r>
    </w:p>
    <w:p w14:paraId="0D3B5801" w14:textId="77777777" w:rsidR="006B113F" w:rsidRDefault="00000000">
      <w:pPr>
        <w:widowControl w:val="0"/>
        <w:numPr>
          <w:ilvl w:val="0"/>
          <w:numId w:val="9"/>
        </w:numPr>
        <w:tabs>
          <w:tab w:val="left" w:pos="461"/>
        </w:tabs>
        <w:spacing w:line="240" w:lineRule="auto"/>
        <w:jc w:val="both"/>
        <w:rPr>
          <w:color w:val="000000"/>
        </w:rPr>
      </w:pPr>
      <w:r>
        <w:rPr>
          <w:rFonts w:ascii="Calibri" w:eastAsia="Calibri" w:hAnsi="Calibri" w:cs="Calibri"/>
        </w:rPr>
        <w:t>If the case cannot be regulated according to the national law of the Partner Institution the conflict originated, the case shall be regulated according to German law, with the Bochum Court having jurisdiction to hear the case.</w:t>
      </w:r>
    </w:p>
    <w:p w14:paraId="38ABC819" w14:textId="77777777" w:rsidR="006B113F" w:rsidRDefault="006B113F">
      <w:pPr>
        <w:widowControl w:val="0"/>
        <w:spacing w:line="240" w:lineRule="auto"/>
        <w:jc w:val="both"/>
        <w:rPr>
          <w:rFonts w:ascii="Calibri" w:eastAsia="Calibri" w:hAnsi="Calibri" w:cs="Calibri"/>
          <w:sz w:val="16"/>
          <w:szCs w:val="16"/>
        </w:rPr>
      </w:pPr>
    </w:p>
    <w:p w14:paraId="31284797" w14:textId="77777777" w:rsidR="006B113F" w:rsidRDefault="00000000">
      <w:pPr>
        <w:pStyle w:val="berschrift2"/>
        <w:keepNext w:val="0"/>
        <w:keepLines w:val="0"/>
        <w:widowControl w:val="0"/>
        <w:numPr>
          <w:ilvl w:val="1"/>
          <w:numId w:val="26"/>
        </w:numPr>
        <w:tabs>
          <w:tab w:val="left" w:pos="677"/>
        </w:tabs>
        <w:spacing w:before="0" w:after="0" w:line="240" w:lineRule="auto"/>
        <w:ind w:hanging="880"/>
        <w:jc w:val="both"/>
      </w:pPr>
      <w:bookmarkStart w:id="137" w:name="_Toc141279999"/>
      <w:r>
        <w:rPr>
          <w:rFonts w:ascii="Calibri" w:eastAsia="Calibri" w:hAnsi="Calibri" w:cs="Calibri"/>
          <w:b/>
          <w:color w:val="4F81BC"/>
          <w:sz w:val="26"/>
          <w:szCs w:val="26"/>
        </w:rPr>
        <w:lastRenderedPageBreak/>
        <w:t>Termination</w:t>
      </w:r>
      <w:bookmarkEnd w:id="137"/>
    </w:p>
    <w:p w14:paraId="714F43E5" w14:textId="77777777" w:rsidR="006B113F" w:rsidRDefault="00000000">
      <w:pPr>
        <w:widowControl w:val="0"/>
        <w:numPr>
          <w:ilvl w:val="0"/>
          <w:numId w:val="40"/>
        </w:numPr>
        <w:tabs>
          <w:tab w:val="left" w:pos="461"/>
        </w:tabs>
        <w:spacing w:line="240" w:lineRule="auto"/>
        <w:jc w:val="both"/>
        <w:rPr>
          <w:color w:val="000000"/>
        </w:rPr>
      </w:pPr>
      <w:r>
        <w:rPr>
          <w:rFonts w:ascii="Calibri" w:eastAsia="Calibri" w:hAnsi="Calibri" w:cs="Calibri"/>
        </w:rPr>
        <w:t>Partner Institutions to this Agreement shall each be entitled to terminate their commitment to this Agreement through a phased withdrawal, for any reason, by giving at least twelve (12) months' notice in writing to the Academic Study Board and the senior management of each Parnter Institution prior to 31 July of any given year during the applicability of this Agreement.</w:t>
      </w:r>
    </w:p>
    <w:p w14:paraId="08EC9272" w14:textId="77777777" w:rsidR="006B113F" w:rsidRDefault="00000000">
      <w:pPr>
        <w:widowControl w:val="0"/>
        <w:numPr>
          <w:ilvl w:val="0"/>
          <w:numId w:val="40"/>
        </w:numPr>
        <w:tabs>
          <w:tab w:val="left" w:pos="461"/>
        </w:tabs>
        <w:spacing w:line="240" w:lineRule="auto"/>
        <w:jc w:val="both"/>
        <w:rPr>
          <w:color w:val="000000"/>
        </w:rPr>
      </w:pPr>
      <w:r>
        <w:rPr>
          <w:rFonts w:ascii="Calibri" w:eastAsia="Calibri" w:hAnsi="Calibri" w:cs="Calibri"/>
        </w:rPr>
        <w:t>Any Partner Institution wishing to terminate its commitment shall agree upon a phased withdrawal plan, during which its legal obligations to each student must be analysed, assessed, and reported to the Academic Study Board. Should the Partner Institution be unable to honour its commitment to its students during its withdrawal, arrangements shall be made to transfer the obligations to another Partner Institution. This may involve, among others, the transfer of funds between the Partner Institutions involved, for such purpose.</w:t>
      </w:r>
    </w:p>
    <w:p w14:paraId="76BAC267" w14:textId="77777777" w:rsidR="006B113F" w:rsidRDefault="00000000">
      <w:pPr>
        <w:widowControl w:val="0"/>
        <w:numPr>
          <w:ilvl w:val="0"/>
          <w:numId w:val="40"/>
        </w:numPr>
        <w:tabs>
          <w:tab w:val="left" w:pos="461"/>
        </w:tabs>
        <w:spacing w:line="240" w:lineRule="auto"/>
        <w:jc w:val="both"/>
        <w:rPr>
          <w:color w:val="000000"/>
        </w:rPr>
      </w:pPr>
      <w:r>
        <w:rPr>
          <w:rFonts w:ascii="Calibri" w:eastAsia="Calibri" w:hAnsi="Calibri" w:cs="Calibri"/>
        </w:rPr>
        <w:t>In the event of a Partner Institution withdrawing from the Consortium, the Academic Study Board shall monitor the phased withdrawal, respecting the interests of the enrolled students and ensuring the conditions for the effective continuation of their studies.</w:t>
      </w:r>
    </w:p>
    <w:p w14:paraId="75C0E2F3" w14:textId="77777777" w:rsidR="006B113F" w:rsidRDefault="00000000">
      <w:pPr>
        <w:widowControl w:val="0"/>
        <w:numPr>
          <w:ilvl w:val="0"/>
          <w:numId w:val="40"/>
        </w:numPr>
        <w:tabs>
          <w:tab w:val="left" w:pos="461"/>
        </w:tabs>
        <w:spacing w:line="240" w:lineRule="auto"/>
        <w:jc w:val="both"/>
        <w:rPr>
          <w:color w:val="000000"/>
        </w:rPr>
      </w:pPr>
      <w:r>
        <w:rPr>
          <w:rFonts w:ascii="Calibri" w:eastAsia="Calibri" w:hAnsi="Calibri" w:cs="Calibri"/>
        </w:rPr>
        <w:t>The Academic Study Board may, by majoritarian decision, require a Partner Institution to terminate its commitment to this Agreement if that Partner Institution persistently does not fulfil its obligations and requirements as outlined in this Agreement.</w:t>
      </w:r>
    </w:p>
    <w:p w14:paraId="03CF7619" w14:textId="7FF318C2" w:rsidR="006B113F" w:rsidRDefault="00000000">
      <w:pPr>
        <w:widowControl w:val="0"/>
        <w:numPr>
          <w:ilvl w:val="0"/>
          <w:numId w:val="40"/>
        </w:numPr>
        <w:tabs>
          <w:tab w:val="left" w:pos="461"/>
        </w:tabs>
        <w:spacing w:line="240" w:lineRule="auto"/>
        <w:jc w:val="both"/>
        <w:rPr>
          <w:color w:val="000000"/>
        </w:rPr>
      </w:pPr>
      <w:r>
        <w:rPr>
          <w:rFonts w:ascii="Calibri" w:eastAsia="Calibri" w:hAnsi="Calibri" w:cs="Calibri"/>
        </w:rPr>
        <w:t xml:space="preserve">If the Partner Institutions decide to terminate the </w:t>
      </w:r>
      <w:r w:rsidR="00B270F7">
        <w:rPr>
          <w:rFonts w:ascii="Calibri" w:eastAsia="Calibri" w:hAnsi="Calibri" w:cs="Calibri"/>
        </w:rPr>
        <w:t>XX</w:t>
      </w:r>
      <w:r>
        <w:rPr>
          <w:rFonts w:ascii="Calibri" w:eastAsia="Calibri" w:hAnsi="Calibri" w:cs="Calibri"/>
        </w:rPr>
        <w:t xml:space="preserve"> programme, it is the responsibility of each hosting institution to ensure a reasonable arrangement for the completion of a student’s study programme, ensuring that it will be possible for the concerned students for a further two years to provide the necessary services to obtain a Master degree.</w:t>
      </w:r>
    </w:p>
    <w:p w14:paraId="48F24D43" w14:textId="77777777" w:rsidR="006B113F" w:rsidRDefault="006B113F">
      <w:pPr>
        <w:widowControl w:val="0"/>
        <w:spacing w:line="240" w:lineRule="auto"/>
        <w:jc w:val="both"/>
        <w:rPr>
          <w:rFonts w:ascii="Calibri" w:eastAsia="Calibri" w:hAnsi="Calibri" w:cs="Calibri"/>
          <w:sz w:val="16"/>
          <w:szCs w:val="16"/>
        </w:rPr>
      </w:pPr>
    </w:p>
    <w:p w14:paraId="128AD551" w14:textId="77777777" w:rsidR="006B113F" w:rsidRDefault="00000000">
      <w:pPr>
        <w:pStyle w:val="berschrift2"/>
        <w:keepNext w:val="0"/>
        <w:keepLines w:val="0"/>
        <w:widowControl w:val="0"/>
        <w:numPr>
          <w:ilvl w:val="1"/>
          <w:numId w:val="26"/>
        </w:numPr>
        <w:tabs>
          <w:tab w:val="left" w:pos="677"/>
        </w:tabs>
        <w:spacing w:before="0" w:after="0" w:line="240" w:lineRule="auto"/>
        <w:ind w:hanging="852"/>
        <w:jc w:val="both"/>
      </w:pPr>
      <w:bookmarkStart w:id="138" w:name="_Toc141280000"/>
      <w:r>
        <w:rPr>
          <w:rFonts w:ascii="Calibri" w:eastAsia="Calibri" w:hAnsi="Calibri" w:cs="Calibri"/>
          <w:b/>
          <w:color w:val="4F81BC"/>
          <w:sz w:val="26"/>
          <w:szCs w:val="26"/>
        </w:rPr>
        <w:t>Duration</w:t>
      </w:r>
      <w:bookmarkEnd w:id="138"/>
    </w:p>
    <w:p w14:paraId="73262CF6" w14:textId="77777777" w:rsidR="006B113F" w:rsidRDefault="00000000">
      <w:pPr>
        <w:widowControl w:val="0"/>
        <w:numPr>
          <w:ilvl w:val="0"/>
          <w:numId w:val="49"/>
        </w:numPr>
        <w:tabs>
          <w:tab w:val="left" w:pos="461"/>
        </w:tabs>
        <w:spacing w:line="240" w:lineRule="auto"/>
        <w:jc w:val="both"/>
        <w:rPr>
          <w:color w:val="000000"/>
        </w:rPr>
      </w:pPr>
      <w:r>
        <w:rPr>
          <w:rFonts w:ascii="Calibri" w:eastAsia="Calibri" w:hAnsi="Calibri" w:cs="Calibri"/>
        </w:rPr>
        <w:t>This Agreement shall enter into force as from the date of signature by the legal representatives of all Partner Universities and be valid until end of 2029, to cover five cohorts of students.</w:t>
      </w:r>
    </w:p>
    <w:p w14:paraId="1A97BD79" w14:textId="77777777" w:rsidR="006B113F" w:rsidRDefault="00000000">
      <w:pPr>
        <w:widowControl w:val="0"/>
        <w:numPr>
          <w:ilvl w:val="0"/>
          <w:numId w:val="49"/>
        </w:numPr>
        <w:tabs>
          <w:tab w:val="left" w:pos="461"/>
        </w:tabs>
        <w:spacing w:line="240" w:lineRule="auto"/>
        <w:jc w:val="both"/>
        <w:rPr>
          <w:color w:val="000000"/>
        </w:rPr>
      </w:pPr>
      <w:r>
        <w:rPr>
          <w:rFonts w:ascii="Calibri" w:eastAsia="Calibri" w:hAnsi="Calibri" w:cs="Calibri"/>
          <w:highlight w:val="white"/>
        </w:rPr>
        <w:t xml:space="preserve">Commencing 1 September 2028, </w:t>
      </w:r>
      <w:r>
        <w:rPr>
          <w:rFonts w:ascii="Calibri" w:eastAsia="Calibri" w:hAnsi="Calibri" w:cs="Calibri"/>
        </w:rPr>
        <w:t>before the expiration of this Agreement, the Academic Study Board shall conduct a review of this Agreement and of the quality of the joint programme in general. This review shall be completed before 1 March 2029, by which date the Academic Study Board shall be required to have presented its outcomes to and have discussed it with all important stakeholders.</w:t>
      </w:r>
    </w:p>
    <w:p w14:paraId="4A4C9835" w14:textId="77777777" w:rsidR="006B113F" w:rsidRDefault="00000000">
      <w:pPr>
        <w:widowControl w:val="0"/>
        <w:numPr>
          <w:ilvl w:val="0"/>
          <w:numId w:val="49"/>
        </w:numPr>
        <w:tabs>
          <w:tab w:val="left" w:pos="461"/>
        </w:tabs>
        <w:spacing w:line="240" w:lineRule="auto"/>
        <w:jc w:val="both"/>
        <w:rPr>
          <w:color w:val="000000"/>
        </w:rPr>
      </w:pPr>
      <w:r>
        <w:rPr>
          <w:rFonts w:ascii="Calibri" w:eastAsia="Calibri" w:hAnsi="Calibri" w:cs="Calibri"/>
        </w:rPr>
        <w:t>At the initial stages of the commencement of a review of this Agreement by the Academic Study Board under this article, each Partner Institution shall state, in broad terms, its intention to continue its activities under the terms of this Agreement, or to withdraw from this same Agreement.</w:t>
      </w:r>
    </w:p>
    <w:p w14:paraId="77780D81" w14:textId="77777777" w:rsidR="006B113F" w:rsidRDefault="00000000">
      <w:pPr>
        <w:widowControl w:val="0"/>
        <w:numPr>
          <w:ilvl w:val="0"/>
          <w:numId w:val="49"/>
        </w:numPr>
        <w:tabs>
          <w:tab w:val="left" w:pos="461"/>
        </w:tabs>
        <w:spacing w:line="240" w:lineRule="auto"/>
        <w:jc w:val="both"/>
        <w:rPr>
          <w:color w:val="000000"/>
        </w:rPr>
      </w:pPr>
      <w:r>
        <w:rPr>
          <w:rFonts w:ascii="Calibri" w:eastAsia="Calibri" w:hAnsi="Calibri" w:cs="Calibri"/>
        </w:rPr>
        <w:t>The outcomes of the review shall be discussed in a general assembly of the Directors, Coordinators, key faculty, alumni, student representatives and selected stakeholders, including representatives of the senior management of the Partner Institutions.</w:t>
      </w:r>
    </w:p>
    <w:p w14:paraId="53AB0F6A" w14:textId="77777777" w:rsidR="006B113F" w:rsidRDefault="00000000">
      <w:pPr>
        <w:widowControl w:val="0"/>
        <w:numPr>
          <w:ilvl w:val="0"/>
          <w:numId w:val="49"/>
        </w:numPr>
        <w:tabs>
          <w:tab w:val="left" w:pos="461"/>
        </w:tabs>
        <w:spacing w:line="240" w:lineRule="auto"/>
        <w:jc w:val="both"/>
        <w:rPr>
          <w:color w:val="000000"/>
        </w:rPr>
      </w:pPr>
      <w:r>
        <w:rPr>
          <w:rFonts w:ascii="Calibri" w:eastAsia="Calibri" w:hAnsi="Calibri" w:cs="Calibri"/>
        </w:rPr>
        <w:t xml:space="preserve">The Academic Study Board shall, in close consultation with the senior management of the Partner Institutions, prepare a decision whether or not the Partner Institutions are prepared to extend this Agreement on the same terms and conditions. </w:t>
      </w:r>
    </w:p>
    <w:p w14:paraId="647B3198" w14:textId="77777777" w:rsidR="006B113F" w:rsidRDefault="00000000">
      <w:pPr>
        <w:widowControl w:val="0"/>
        <w:numPr>
          <w:ilvl w:val="0"/>
          <w:numId w:val="49"/>
        </w:numPr>
        <w:tabs>
          <w:tab w:val="left" w:pos="461"/>
        </w:tabs>
        <w:spacing w:line="240" w:lineRule="auto"/>
        <w:jc w:val="both"/>
        <w:rPr>
          <w:color w:val="000000"/>
        </w:rPr>
      </w:pPr>
      <w:r>
        <w:rPr>
          <w:rFonts w:ascii="Calibri" w:eastAsia="Calibri" w:hAnsi="Calibri" w:cs="Calibri"/>
        </w:rPr>
        <w:t>Should the outcomes of the Academic Study Board’s review and their discussion require a revision of this Agreement, it shall thereupon terminate, and a new agreement shall be required and set up.</w:t>
      </w:r>
    </w:p>
    <w:p w14:paraId="652A771F" w14:textId="77777777" w:rsidR="006B113F" w:rsidRDefault="00000000">
      <w:pPr>
        <w:widowControl w:val="0"/>
        <w:numPr>
          <w:ilvl w:val="0"/>
          <w:numId w:val="49"/>
        </w:numPr>
        <w:tabs>
          <w:tab w:val="left" w:pos="461"/>
        </w:tabs>
        <w:spacing w:line="240" w:lineRule="auto"/>
        <w:jc w:val="both"/>
        <w:rPr>
          <w:color w:val="000000"/>
        </w:rPr>
      </w:pPr>
      <w:r>
        <w:rPr>
          <w:rFonts w:ascii="Calibri" w:eastAsia="Calibri" w:hAnsi="Calibri" w:cs="Calibri"/>
        </w:rPr>
        <w:t>Should the outcome of the Board’s review require an extension of this Agreement, the Academic Study Board shall nevertheless give each Partner Institution the opportunity to continue its commitment in the terms of this Agreement or to withdraw from this Agreement and shall include in this Agreement any minor amendments or changes mutually agreed between the Partner Institutions.</w:t>
      </w:r>
    </w:p>
    <w:p w14:paraId="2928D779" w14:textId="77777777" w:rsidR="006B113F" w:rsidRDefault="006B113F">
      <w:pPr>
        <w:widowControl w:val="0"/>
        <w:spacing w:line="240" w:lineRule="auto"/>
        <w:jc w:val="both"/>
        <w:rPr>
          <w:rFonts w:ascii="Calibri" w:eastAsia="Calibri" w:hAnsi="Calibri" w:cs="Calibri"/>
          <w:sz w:val="16"/>
          <w:szCs w:val="16"/>
        </w:rPr>
      </w:pPr>
    </w:p>
    <w:p w14:paraId="1EDF166C" w14:textId="77777777" w:rsidR="006B113F" w:rsidRDefault="00000000">
      <w:pPr>
        <w:pStyle w:val="berschrift2"/>
        <w:keepNext w:val="0"/>
        <w:keepLines w:val="0"/>
        <w:widowControl w:val="0"/>
        <w:numPr>
          <w:ilvl w:val="1"/>
          <w:numId w:val="26"/>
        </w:numPr>
        <w:tabs>
          <w:tab w:val="left" w:pos="677"/>
        </w:tabs>
        <w:spacing w:before="0" w:after="0" w:line="240" w:lineRule="auto"/>
        <w:ind w:hanging="852"/>
        <w:jc w:val="both"/>
      </w:pPr>
      <w:bookmarkStart w:id="139" w:name="_Toc141280001"/>
      <w:commentRangeStart w:id="140"/>
      <w:r>
        <w:rPr>
          <w:rFonts w:ascii="Calibri" w:eastAsia="Calibri" w:hAnsi="Calibri" w:cs="Calibri"/>
          <w:b/>
          <w:color w:val="4F81BC"/>
          <w:sz w:val="26"/>
          <w:szCs w:val="26"/>
        </w:rPr>
        <w:t>Signatures</w:t>
      </w:r>
      <w:bookmarkEnd w:id="139"/>
      <w:commentRangeEnd w:id="140"/>
      <w:r>
        <w:commentReference w:id="140"/>
      </w:r>
    </w:p>
    <w:p w14:paraId="1DA5FD98" w14:textId="77777777" w:rsidR="006B113F" w:rsidRDefault="00000000">
      <w:pPr>
        <w:widowControl w:val="0"/>
        <w:tabs>
          <w:tab w:val="left" w:pos="461"/>
        </w:tabs>
        <w:spacing w:line="240" w:lineRule="auto"/>
        <w:ind w:left="460"/>
        <w:jc w:val="both"/>
        <w:rPr>
          <w:rFonts w:ascii="Calibri" w:eastAsia="Calibri" w:hAnsi="Calibri" w:cs="Calibri"/>
          <w:color w:val="000000"/>
        </w:rPr>
      </w:pPr>
      <w:r>
        <w:rPr>
          <w:rFonts w:ascii="Calibri" w:eastAsia="Calibri" w:hAnsi="Calibri" w:cs="Calibri"/>
        </w:rPr>
        <w:t xml:space="preserve">This Agreement is done in eight original copies (with each Partner Institution signing eight original </w:t>
      </w:r>
      <w:r>
        <w:rPr>
          <w:rFonts w:ascii="Calibri" w:eastAsia="Calibri" w:hAnsi="Calibri" w:cs="Calibri"/>
        </w:rPr>
        <w:lastRenderedPageBreak/>
        <w:t>Signature Pages and receiving one original copy after the signature process), each of equal value, each signed by the legally authorized university representative of each Partner Institution, thus agreeing to enter into this Agreement.</w:t>
      </w:r>
    </w:p>
    <w:p w14:paraId="03FE7C93" w14:textId="77777777" w:rsidR="006B113F" w:rsidRDefault="00000000">
      <w:pPr>
        <w:widowControl w:val="0"/>
        <w:spacing w:line="240" w:lineRule="auto"/>
        <w:rPr>
          <w:rFonts w:ascii="Calibri" w:eastAsia="Calibri" w:hAnsi="Calibri" w:cs="Calibri"/>
          <w:color w:val="4F81BC"/>
        </w:rPr>
      </w:pPr>
      <w:r>
        <w:br w:type="page" w:clear="all"/>
      </w:r>
    </w:p>
    <w:p w14:paraId="54FDCA66" w14:textId="77777777" w:rsidR="006B113F" w:rsidRDefault="00000000">
      <w:pPr>
        <w:pStyle w:val="berschrift3"/>
        <w:keepNext w:val="0"/>
        <w:keepLines w:val="0"/>
        <w:widowControl w:val="0"/>
        <w:spacing w:before="0" w:after="0" w:line="240" w:lineRule="auto"/>
        <w:rPr>
          <w:rFonts w:ascii="Calibri" w:eastAsia="Calibri" w:hAnsi="Calibri" w:cs="Calibri"/>
          <w:b/>
          <w:color w:val="000000"/>
          <w:sz w:val="22"/>
          <w:szCs w:val="22"/>
        </w:rPr>
      </w:pPr>
      <w:bookmarkStart w:id="141" w:name="_Toc141280002"/>
      <w:r>
        <w:rPr>
          <w:rFonts w:ascii="Calibri" w:eastAsia="Calibri" w:hAnsi="Calibri" w:cs="Calibri"/>
          <w:b/>
          <w:color w:val="000000"/>
          <w:sz w:val="22"/>
          <w:szCs w:val="22"/>
        </w:rPr>
        <w:lastRenderedPageBreak/>
        <w:t>Signature page Ruhr-Universität Bochum</w:t>
      </w:r>
      <w:bookmarkEnd w:id="141"/>
    </w:p>
    <w:p w14:paraId="274A9155"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the </w:t>
      </w:r>
    </w:p>
    <w:p w14:paraId="72B64164" w14:textId="77777777" w:rsidR="006B113F" w:rsidRDefault="00000000">
      <w:pPr>
        <w:widowControl w:val="0"/>
        <w:spacing w:line="240" w:lineRule="auto"/>
        <w:rPr>
          <w:rFonts w:ascii="Calibri" w:eastAsia="Calibri" w:hAnsi="Calibri" w:cs="Calibri"/>
          <w:b/>
          <w:color w:val="003560"/>
        </w:rPr>
      </w:pPr>
      <w:r>
        <w:rPr>
          <w:rFonts w:ascii="Calibri" w:eastAsia="Calibri" w:hAnsi="Calibri" w:cs="Calibri"/>
          <w:b/>
          <w:color w:val="003560"/>
        </w:rPr>
        <w:t>Partnership Agreement</w:t>
      </w:r>
    </w:p>
    <w:p w14:paraId="54F79F86"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for the Establishment </w:t>
      </w:r>
    </w:p>
    <w:p w14:paraId="3AAFBDCF"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a </w:t>
      </w:r>
    </w:p>
    <w:p w14:paraId="031177C8"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Joint Master Degree Programme in </w:t>
      </w:r>
    </w:p>
    <w:p w14:paraId="502CF55E" w14:textId="4B59D647" w:rsidR="006B113F" w:rsidRDefault="00AC772B">
      <w:pPr>
        <w:widowControl w:val="0"/>
        <w:spacing w:line="240" w:lineRule="auto"/>
        <w:rPr>
          <w:rFonts w:ascii="Calibri" w:eastAsia="Calibri" w:hAnsi="Calibri" w:cs="Calibri"/>
          <w:b/>
          <w:color w:val="92D050"/>
        </w:rPr>
      </w:pPr>
      <w:r>
        <w:rPr>
          <w:rFonts w:ascii="Calibri" w:eastAsia="Calibri" w:hAnsi="Calibri" w:cs="Calibri"/>
          <w:b/>
          <w:color w:val="92D050"/>
        </w:rPr>
        <w:t>xxx</w:t>
      </w:r>
      <w:r w:rsidR="00000000">
        <w:rPr>
          <w:rFonts w:ascii="Calibri" w:eastAsia="Calibri" w:hAnsi="Calibri" w:cs="Calibri"/>
          <w:b/>
          <w:color w:val="92D050"/>
        </w:rPr>
        <w:t>,</w:t>
      </w:r>
    </w:p>
    <w:p w14:paraId="67CDFC74"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645ACECC"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Ruhr-Universität Bochum,</w:t>
      </w:r>
    </w:p>
    <w:p w14:paraId="0ABC4E17" w14:textId="77777777" w:rsidR="006B113F" w:rsidRDefault="00000000">
      <w:pPr>
        <w:widowControl w:val="0"/>
        <w:tabs>
          <w:tab w:val="left" w:pos="818"/>
        </w:tabs>
        <w:spacing w:line="240" w:lineRule="auto"/>
        <w:jc w:val="both"/>
        <w:rPr>
          <w:rFonts w:ascii="Calibri" w:eastAsia="Calibri" w:hAnsi="Calibri" w:cs="Calibri"/>
        </w:rPr>
      </w:pPr>
      <w:hyperlink r:id="rId23" w:tooltip="https://unic.eu/en/universities/university-college-cork" w:history="1">
        <w:r>
          <w:rPr>
            <w:rFonts w:ascii="Calibri" w:eastAsia="Calibri" w:hAnsi="Calibri" w:cs="Calibri"/>
          </w:rPr>
          <w:t>University College Cork</w:t>
        </w:r>
      </w:hyperlink>
      <w:r>
        <w:rPr>
          <w:rFonts w:ascii="Calibri" w:eastAsia="Calibri" w:hAnsi="Calibri" w:cs="Calibri"/>
        </w:rPr>
        <w:t xml:space="preserve">, </w:t>
      </w:r>
    </w:p>
    <w:p w14:paraId="750C83FF" w14:textId="77777777" w:rsidR="006B113F" w:rsidRDefault="00000000">
      <w:pPr>
        <w:widowControl w:val="0"/>
        <w:tabs>
          <w:tab w:val="left" w:pos="818"/>
        </w:tabs>
        <w:spacing w:line="240" w:lineRule="auto"/>
        <w:jc w:val="both"/>
        <w:rPr>
          <w:rFonts w:ascii="Calibri" w:eastAsia="Calibri" w:hAnsi="Calibri" w:cs="Calibri"/>
          <w:lang w:val="eu-ES"/>
        </w:rPr>
      </w:pPr>
      <w:r>
        <w:rPr>
          <w:rFonts w:ascii="Calibri" w:eastAsia="Calibri" w:hAnsi="Calibri" w:cs="Calibri"/>
          <w:lang w:val="eu-ES"/>
        </w:rPr>
        <w:t xml:space="preserve">University of Deusto, </w:t>
      </w:r>
    </w:p>
    <w:p w14:paraId="7C30BDF3" w14:textId="77777777" w:rsidR="006B113F" w:rsidRDefault="00000000">
      <w:pPr>
        <w:widowControl w:val="0"/>
        <w:tabs>
          <w:tab w:val="left" w:pos="818"/>
        </w:tabs>
        <w:spacing w:line="240" w:lineRule="auto"/>
        <w:jc w:val="both"/>
        <w:rPr>
          <w:rFonts w:ascii="Calibri" w:eastAsia="Calibri" w:hAnsi="Calibri" w:cs="Calibri"/>
        </w:rPr>
      </w:pPr>
      <w:hyperlink r:id="rId24" w:tooltip="https://unic.eu/en/universities/erasmus-university" w:history="1">
        <w:r>
          <w:rPr>
            <w:rFonts w:ascii="Calibri" w:eastAsia="Calibri" w:hAnsi="Calibri" w:cs="Calibri"/>
          </w:rPr>
          <w:t>Erasmus University</w:t>
        </w:r>
      </w:hyperlink>
      <w:r>
        <w:rPr>
          <w:rFonts w:ascii="Calibri" w:eastAsia="Calibri" w:hAnsi="Calibri" w:cs="Calibri"/>
        </w:rPr>
        <w:t xml:space="preserve"> Rotterdam, </w:t>
      </w:r>
    </w:p>
    <w:p w14:paraId="74F41E44"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 xml:space="preserve">Koç University, </w:t>
      </w:r>
    </w:p>
    <w:p w14:paraId="543A14CE" w14:textId="77777777" w:rsidR="006B113F" w:rsidRDefault="00000000">
      <w:pPr>
        <w:widowControl w:val="0"/>
        <w:tabs>
          <w:tab w:val="left" w:pos="818"/>
        </w:tabs>
        <w:spacing w:line="240" w:lineRule="auto"/>
        <w:jc w:val="both"/>
        <w:rPr>
          <w:rFonts w:ascii="Calibri" w:eastAsia="Calibri" w:hAnsi="Calibri" w:cs="Calibri"/>
        </w:rPr>
      </w:pPr>
      <w:hyperlink r:id="rId25" w:tooltip="https://unic.eu/en/universities/university-of-liege" w:history="1">
        <w:r>
          <w:rPr>
            <w:rFonts w:ascii="Calibri" w:eastAsia="Calibri" w:hAnsi="Calibri" w:cs="Calibri"/>
          </w:rPr>
          <w:t>Université de Liège</w:t>
        </w:r>
      </w:hyperlink>
      <w:r>
        <w:rPr>
          <w:rFonts w:ascii="Calibri" w:eastAsia="Calibri" w:hAnsi="Calibri" w:cs="Calibri"/>
        </w:rPr>
        <w:t>,</w:t>
      </w:r>
    </w:p>
    <w:p w14:paraId="533D17A6" w14:textId="77777777" w:rsidR="006B113F" w:rsidRDefault="00000000">
      <w:pPr>
        <w:widowControl w:val="0"/>
        <w:tabs>
          <w:tab w:val="left" w:pos="818"/>
        </w:tabs>
        <w:spacing w:line="240" w:lineRule="auto"/>
        <w:jc w:val="both"/>
        <w:rPr>
          <w:rFonts w:ascii="Calibri" w:eastAsia="Calibri" w:hAnsi="Calibri" w:cs="Calibri"/>
        </w:rPr>
      </w:pPr>
      <w:hyperlink r:id="rId26" w:tooltip="https://unic.eu/en/universities/university-of-oulu" w:history="1">
        <w:r>
          <w:rPr>
            <w:rFonts w:ascii="Calibri" w:eastAsia="Calibri" w:hAnsi="Calibri" w:cs="Calibri"/>
          </w:rPr>
          <w:t>University of Oulu</w:t>
        </w:r>
      </w:hyperlink>
      <w:r>
        <w:rPr>
          <w:rFonts w:ascii="Calibri" w:eastAsia="Calibri" w:hAnsi="Calibri" w:cs="Calibri"/>
        </w:rPr>
        <w:t>,</w:t>
      </w:r>
    </w:p>
    <w:p w14:paraId="69C11BF6" w14:textId="77777777" w:rsidR="006B113F" w:rsidRDefault="00000000">
      <w:pPr>
        <w:widowControl w:val="0"/>
        <w:tabs>
          <w:tab w:val="left" w:pos="818"/>
        </w:tabs>
        <w:spacing w:line="240" w:lineRule="auto"/>
        <w:jc w:val="both"/>
        <w:rPr>
          <w:rFonts w:ascii="Calibri" w:eastAsia="Calibri" w:hAnsi="Calibri" w:cs="Calibri"/>
        </w:rPr>
      </w:pPr>
      <w:hyperlink r:id="rId27" w:tooltip="https://unic.eu/en/universities/university-of-zagreb" w:history="1">
        <w:r>
          <w:rPr>
            <w:rFonts w:ascii="Calibri" w:eastAsia="Calibri" w:hAnsi="Calibri" w:cs="Calibri"/>
          </w:rPr>
          <w:t>University of Zagreb</w:t>
        </w:r>
      </w:hyperlink>
    </w:p>
    <w:p w14:paraId="305A9259" w14:textId="77777777" w:rsidR="006B113F" w:rsidRDefault="006B113F">
      <w:pPr>
        <w:widowControl w:val="0"/>
        <w:tabs>
          <w:tab w:val="left" w:pos="818"/>
        </w:tabs>
        <w:spacing w:line="240" w:lineRule="auto"/>
        <w:jc w:val="both"/>
        <w:rPr>
          <w:rFonts w:ascii="Calibri" w:eastAsia="Calibri" w:hAnsi="Calibri" w:cs="Calibri"/>
        </w:rPr>
      </w:pPr>
    </w:p>
    <w:p w14:paraId="1DAD1BFA" w14:textId="77777777" w:rsidR="006B113F" w:rsidRDefault="006B113F">
      <w:pPr>
        <w:widowControl w:val="0"/>
        <w:tabs>
          <w:tab w:val="left" w:pos="818"/>
        </w:tabs>
        <w:spacing w:line="240" w:lineRule="auto"/>
        <w:jc w:val="both"/>
        <w:rPr>
          <w:rFonts w:ascii="Calibri" w:eastAsia="Calibri" w:hAnsi="Calibri" w:cs="Calibri"/>
        </w:rPr>
      </w:pPr>
    </w:p>
    <w:p w14:paraId="15170FC7" w14:textId="77777777" w:rsidR="006B113F" w:rsidRDefault="006B113F">
      <w:pPr>
        <w:widowControl w:val="0"/>
        <w:tabs>
          <w:tab w:val="left" w:pos="818"/>
        </w:tabs>
        <w:spacing w:line="240" w:lineRule="auto"/>
        <w:jc w:val="both"/>
        <w:rPr>
          <w:rFonts w:ascii="Calibri" w:eastAsia="Calibri" w:hAnsi="Calibri" w:cs="Calibri"/>
        </w:rPr>
      </w:pPr>
    </w:p>
    <w:p w14:paraId="30C5037C" w14:textId="77777777" w:rsidR="006B113F" w:rsidRDefault="00000000">
      <w:pPr>
        <w:widowControl w:val="0"/>
        <w:spacing w:line="240" w:lineRule="auto"/>
        <w:jc w:val="both"/>
        <w:rPr>
          <w:rFonts w:ascii="Calibri" w:eastAsia="Calibri" w:hAnsi="Calibri" w:cs="Calibri"/>
        </w:rPr>
      </w:pPr>
      <w:r>
        <w:rPr>
          <w:rFonts w:ascii="Calibri" w:eastAsia="Calibri" w:hAnsi="Calibri" w:cs="Calibri"/>
        </w:rPr>
        <w:t>Herewith,</w:t>
      </w:r>
    </w:p>
    <w:p w14:paraId="11237CBF" w14:textId="77777777" w:rsidR="006B113F" w:rsidRDefault="006B113F">
      <w:pPr>
        <w:widowControl w:val="0"/>
        <w:spacing w:line="240" w:lineRule="auto"/>
        <w:jc w:val="both"/>
        <w:rPr>
          <w:rFonts w:ascii="Calibri" w:eastAsia="Calibri" w:hAnsi="Calibri" w:cs="Calibri"/>
        </w:rPr>
      </w:pPr>
    </w:p>
    <w:p w14:paraId="197576EB" w14:textId="77777777" w:rsidR="006B113F" w:rsidRDefault="00000000">
      <w:pPr>
        <w:widowControl w:val="0"/>
        <w:tabs>
          <w:tab w:val="right" w:pos="8928"/>
        </w:tabs>
        <w:spacing w:line="240" w:lineRule="auto"/>
        <w:jc w:val="both"/>
        <w:rPr>
          <w:rFonts w:ascii="Calibri" w:eastAsia="Calibri" w:hAnsi="Calibri" w:cs="Calibri"/>
        </w:rPr>
      </w:pPr>
      <w:r>
        <w:rPr>
          <w:rFonts w:ascii="Calibri" w:eastAsia="Calibri" w:hAnsi="Calibri" w:cs="Calibri"/>
          <w:b/>
        </w:rPr>
        <w:t>Ruhr-Universität Bochum</w:t>
      </w:r>
      <w:r>
        <w:rPr>
          <w:rFonts w:ascii="Calibri" w:eastAsia="Calibri" w:hAnsi="Calibri" w:cs="Calibri"/>
        </w:rPr>
        <w:t>,</w:t>
      </w:r>
    </w:p>
    <w:p w14:paraId="4A5FCC71" w14:textId="77AD6F1B" w:rsidR="006B113F" w:rsidRDefault="00000000">
      <w:pPr>
        <w:widowControl w:val="0"/>
        <w:spacing w:line="240" w:lineRule="auto"/>
        <w:jc w:val="both"/>
        <w:rPr>
          <w:rFonts w:ascii="Calibri" w:eastAsia="Calibri" w:hAnsi="Calibri" w:cs="Calibri"/>
        </w:rPr>
      </w:pPr>
      <w:r>
        <w:rPr>
          <w:rFonts w:ascii="Calibri" w:eastAsia="Calibri" w:hAnsi="Calibri" w:cs="Calibri"/>
          <w:color w:val="000000"/>
        </w:rPr>
        <w:t xml:space="preserve">established in BOCHUM, Germany, as a body of public law under the Universities Act of Northrhine-Westfalia, </w:t>
      </w:r>
      <w:r>
        <w:rPr>
          <w:rFonts w:ascii="Calibri" w:eastAsia="Calibri" w:hAnsi="Calibri" w:cs="Calibri"/>
        </w:rPr>
        <w:t xml:space="preserve">represented for the purpose hereof by </w:t>
      </w:r>
      <w:r>
        <w:rPr>
          <w:rFonts w:ascii="Calibri" w:eastAsia="Calibri" w:hAnsi="Calibri" w:cs="Calibri"/>
          <w:b/>
        </w:rPr>
        <w:t>Prof. Dr. Dr. h.c. Martin Paul, Rector,</w:t>
      </w:r>
      <w:r>
        <w:rPr>
          <w:rFonts w:ascii="Calibri" w:eastAsia="Calibri" w:hAnsi="Calibri" w:cs="Calibri"/>
        </w:rPr>
        <w:t xml:space="preserve"> acting as its legal authorized representative, hereby consents to become a Party to the Partnership Agreement for the Establishment of a Joint Master Degree Programme in </w:t>
      </w:r>
      <w:r w:rsidR="00AC772B">
        <w:rPr>
          <w:rFonts w:ascii="Calibri" w:eastAsia="Calibri" w:hAnsi="Calibri" w:cs="Calibri"/>
        </w:rPr>
        <w:t>xx</w:t>
      </w:r>
      <w:r>
        <w:rPr>
          <w:rFonts w:ascii="Calibri" w:eastAsia="Calibri" w:hAnsi="Calibri" w:cs="Calibri"/>
        </w:rPr>
        <w:t xml:space="preserve">, and agrees to act as the Coordinating Institution of the </w:t>
      </w:r>
      <w:r w:rsidR="00B270F7">
        <w:rPr>
          <w:rFonts w:ascii="Calibri" w:eastAsia="Calibri" w:hAnsi="Calibri" w:cs="Calibri"/>
        </w:rPr>
        <w:t>XX</w:t>
      </w:r>
      <w:r>
        <w:rPr>
          <w:rFonts w:ascii="Calibri" w:eastAsia="Calibri" w:hAnsi="Calibri" w:cs="Calibri"/>
        </w:rPr>
        <w:t xml:space="preserve"> consortium and accepts in accordance with the provisions of the aforementioned Partnership Agreement all the rights and obligations of a Party.</w:t>
      </w:r>
    </w:p>
    <w:p w14:paraId="5832F84C" w14:textId="77777777" w:rsidR="006B113F" w:rsidRDefault="006B113F">
      <w:pPr>
        <w:widowControl w:val="0"/>
        <w:spacing w:line="240" w:lineRule="auto"/>
        <w:jc w:val="both"/>
        <w:rPr>
          <w:rFonts w:ascii="Calibri" w:eastAsia="Calibri" w:hAnsi="Calibri" w:cs="Calibri"/>
        </w:rPr>
      </w:pPr>
    </w:p>
    <w:p w14:paraId="366C4F01" w14:textId="77777777" w:rsidR="006B113F" w:rsidRDefault="006B113F">
      <w:pPr>
        <w:widowControl w:val="0"/>
        <w:spacing w:line="240" w:lineRule="auto"/>
        <w:jc w:val="both"/>
        <w:rPr>
          <w:rFonts w:ascii="Calibri" w:eastAsia="Calibri" w:hAnsi="Calibri" w:cs="Calibri"/>
        </w:rPr>
      </w:pPr>
    </w:p>
    <w:p w14:paraId="741FB991" w14:textId="77777777" w:rsidR="006B113F" w:rsidRDefault="00000000">
      <w:pPr>
        <w:widowControl w:val="0"/>
        <w:spacing w:line="240" w:lineRule="auto"/>
        <w:jc w:val="both"/>
        <w:rPr>
          <w:rFonts w:ascii="Calibri" w:eastAsia="Calibri" w:hAnsi="Calibri" w:cs="Calibri"/>
        </w:rPr>
      </w:pPr>
      <w:r>
        <w:rPr>
          <w:rFonts w:ascii="Calibri" w:eastAsia="Calibri" w:hAnsi="Calibri" w:cs="Calibri"/>
        </w:rPr>
        <w:t>Date:</w:t>
      </w:r>
    </w:p>
    <w:p w14:paraId="001EF893" w14:textId="77777777" w:rsidR="006B113F" w:rsidRDefault="006B113F">
      <w:pPr>
        <w:widowControl w:val="0"/>
        <w:spacing w:line="240" w:lineRule="auto"/>
        <w:jc w:val="both"/>
        <w:rPr>
          <w:rFonts w:ascii="Calibri" w:eastAsia="Calibri" w:hAnsi="Calibri" w:cs="Calibri"/>
          <w:sz w:val="19"/>
          <w:szCs w:val="19"/>
        </w:rPr>
      </w:pPr>
    </w:p>
    <w:p w14:paraId="3F32CD7C" w14:textId="77777777" w:rsidR="006B113F" w:rsidRDefault="00000000">
      <w:pPr>
        <w:widowControl w:val="0"/>
        <w:spacing w:line="240" w:lineRule="auto"/>
        <w:jc w:val="both"/>
        <w:rPr>
          <w:rFonts w:ascii="Calibri" w:eastAsia="Calibri" w:hAnsi="Calibri" w:cs="Calibri"/>
        </w:rPr>
      </w:pPr>
      <w:r>
        <w:rPr>
          <w:rFonts w:ascii="Calibri" w:eastAsia="Calibri" w:hAnsi="Calibri" w:cs="Calibri"/>
        </w:rPr>
        <w:t>Signature of legally authorised representative:</w:t>
      </w:r>
    </w:p>
    <w:p w14:paraId="1B01DCBA" w14:textId="77777777" w:rsidR="006B113F" w:rsidRDefault="006B113F">
      <w:pPr>
        <w:widowControl w:val="0"/>
        <w:spacing w:line="240" w:lineRule="auto"/>
        <w:jc w:val="both"/>
        <w:rPr>
          <w:rFonts w:ascii="Calibri" w:eastAsia="Calibri" w:hAnsi="Calibri" w:cs="Calibri"/>
        </w:rPr>
      </w:pPr>
    </w:p>
    <w:p w14:paraId="317D82CB" w14:textId="77777777" w:rsidR="006B113F" w:rsidRDefault="006B113F">
      <w:pPr>
        <w:widowControl w:val="0"/>
        <w:spacing w:line="240" w:lineRule="auto"/>
        <w:jc w:val="both"/>
        <w:rPr>
          <w:rFonts w:ascii="Calibri" w:eastAsia="Calibri" w:hAnsi="Calibri" w:cs="Calibri"/>
        </w:rPr>
      </w:pPr>
    </w:p>
    <w:p w14:paraId="370F7A91" w14:textId="77777777" w:rsidR="006B113F" w:rsidRDefault="006B113F">
      <w:pPr>
        <w:widowControl w:val="0"/>
        <w:spacing w:line="240" w:lineRule="auto"/>
        <w:jc w:val="both"/>
        <w:rPr>
          <w:rFonts w:ascii="Calibri" w:eastAsia="Calibri" w:hAnsi="Calibri" w:cs="Calibri"/>
        </w:rPr>
      </w:pPr>
    </w:p>
    <w:p w14:paraId="67DDD7D4" w14:textId="77777777" w:rsidR="006B113F" w:rsidRDefault="006B113F">
      <w:pPr>
        <w:widowControl w:val="0"/>
        <w:spacing w:line="240" w:lineRule="auto"/>
        <w:jc w:val="both"/>
        <w:rPr>
          <w:rFonts w:ascii="Calibri" w:eastAsia="Calibri" w:hAnsi="Calibri" w:cs="Calibri"/>
        </w:rPr>
      </w:pPr>
    </w:p>
    <w:p w14:paraId="44ADC0F9" w14:textId="77777777" w:rsidR="006B113F" w:rsidRDefault="00000000">
      <w:pPr>
        <w:widowControl w:val="0"/>
        <w:spacing w:line="240" w:lineRule="auto"/>
        <w:jc w:val="both"/>
        <w:rPr>
          <w:rFonts w:ascii="Calibri" w:eastAsia="Calibri" w:hAnsi="Calibri" w:cs="Calibri"/>
        </w:rPr>
      </w:pPr>
      <w:r>
        <w:rPr>
          <w:rFonts w:ascii="Calibri" w:eastAsia="Calibri" w:hAnsi="Calibri" w:cs="Calibri"/>
        </w:rPr>
        <w:t>Stamp of the organisation:</w:t>
      </w:r>
    </w:p>
    <w:p w14:paraId="58D0EBF1" w14:textId="77777777" w:rsidR="006B113F" w:rsidRDefault="006B113F">
      <w:pPr>
        <w:widowControl w:val="0"/>
        <w:tabs>
          <w:tab w:val="left" w:pos="461"/>
        </w:tabs>
        <w:spacing w:line="240" w:lineRule="auto"/>
        <w:jc w:val="both"/>
        <w:rPr>
          <w:rFonts w:ascii="Calibri" w:eastAsia="Calibri" w:hAnsi="Calibri" w:cs="Calibri"/>
        </w:rPr>
      </w:pPr>
    </w:p>
    <w:p w14:paraId="61F8746F" w14:textId="77777777" w:rsidR="006B113F" w:rsidRDefault="006B113F">
      <w:pPr>
        <w:widowControl w:val="0"/>
        <w:tabs>
          <w:tab w:val="left" w:pos="461"/>
        </w:tabs>
        <w:spacing w:line="240" w:lineRule="auto"/>
        <w:jc w:val="both"/>
        <w:rPr>
          <w:rFonts w:ascii="Calibri" w:eastAsia="Calibri" w:hAnsi="Calibri" w:cs="Calibri"/>
        </w:rPr>
      </w:pPr>
    </w:p>
    <w:p w14:paraId="1397B825" w14:textId="77777777" w:rsidR="006B113F" w:rsidRDefault="006B113F">
      <w:pPr>
        <w:widowControl w:val="0"/>
        <w:tabs>
          <w:tab w:val="left" w:pos="461"/>
        </w:tabs>
        <w:spacing w:line="240" w:lineRule="auto"/>
        <w:jc w:val="both"/>
        <w:rPr>
          <w:rFonts w:ascii="Calibri" w:eastAsia="Calibri" w:hAnsi="Calibri" w:cs="Calibri"/>
        </w:rPr>
      </w:pPr>
    </w:p>
    <w:p w14:paraId="3E80138C" w14:textId="77777777" w:rsidR="006B113F" w:rsidRDefault="00000000">
      <w:pPr>
        <w:widowControl w:val="0"/>
        <w:spacing w:line="240" w:lineRule="auto"/>
        <w:rPr>
          <w:rFonts w:ascii="Calibri" w:eastAsia="Calibri" w:hAnsi="Calibri" w:cs="Calibri"/>
          <w:color w:val="4F81BC"/>
        </w:rPr>
      </w:pPr>
      <w:r>
        <w:br w:type="page" w:clear="all"/>
      </w:r>
    </w:p>
    <w:p w14:paraId="527AACDD" w14:textId="77777777" w:rsidR="006B113F" w:rsidRDefault="00000000">
      <w:pPr>
        <w:pStyle w:val="berschrift3"/>
        <w:keepNext w:val="0"/>
        <w:keepLines w:val="0"/>
        <w:widowControl w:val="0"/>
        <w:spacing w:before="0" w:after="0" w:line="240" w:lineRule="auto"/>
        <w:rPr>
          <w:rFonts w:ascii="Calibri" w:eastAsia="Calibri" w:hAnsi="Calibri" w:cs="Calibri"/>
          <w:b/>
          <w:color w:val="000000"/>
          <w:sz w:val="22"/>
          <w:szCs w:val="22"/>
        </w:rPr>
      </w:pPr>
      <w:bookmarkStart w:id="142" w:name="_Toc141280003"/>
      <w:r>
        <w:rPr>
          <w:rFonts w:ascii="Calibri" w:eastAsia="Calibri" w:hAnsi="Calibri" w:cs="Calibri"/>
          <w:b/>
          <w:color w:val="000000"/>
          <w:sz w:val="22"/>
          <w:szCs w:val="22"/>
        </w:rPr>
        <w:lastRenderedPageBreak/>
        <w:t xml:space="preserve">Signature page </w:t>
      </w:r>
      <w:r>
        <w:fldChar w:fldCharType="begin"/>
      </w:r>
      <w:r>
        <w:instrText>HYPERLINK "https://unic.eu/en/universities/university-college-cork" \o "https://unic.eu/en/universities/university-college-cork"</w:instrText>
      </w:r>
      <w:r>
        <w:fldChar w:fldCharType="separate"/>
      </w:r>
      <w:r>
        <w:rPr>
          <w:rFonts w:ascii="Calibri" w:eastAsia="Calibri" w:hAnsi="Calibri" w:cs="Calibri"/>
          <w:b/>
          <w:color w:val="000000"/>
          <w:sz w:val="22"/>
          <w:szCs w:val="22"/>
        </w:rPr>
        <w:t>University College Cork</w:t>
      </w:r>
      <w:bookmarkEnd w:id="142"/>
      <w:r>
        <w:rPr>
          <w:rFonts w:ascii="Calibri" w:eastAsia="Calibri" w:hAnsi="Calibri" w:cs="Calibri"/>
          <w:b/>
          <w:color w:val="000000"/>
          <w:sz w:val="22"/>
          <w:szCs w:val="22"/>
        </w:rPr>
        <w:fldChar w:fldCharType="end"/>
      </w:r>
    </w:p>
    <w:p w14:paraId="47466D4E"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the </w:t>
      </w:r>
    </w:p>
    <w:p w14:paraId="73DC2D10" w14:textId="77777777" w:rsidR="006B113F" w:rsidRDefault="00000000">
      <w:pPr>
        <w:widowControl w:val="0"/>
        <w:spacing w:line="240" w:lineRule="auto"/>
        <w:rPr>
          <w:rFonts w:ascii="Calibri" w:eastAsia="Calibri" w:hAnsi="Calibri" w:cs="Calibri"/>
          <w:b/>
          <w:color w:val="003560"/>
        </w:rPr>
      </w:pPr>
      <w:r>
        <w:rPr>
          <w:rFonts w:ascii="Calibri" w:eastAsia="Calibri" w:hAnsi="Calibri" w:cs="Calibri"/>
          <w:b/>
          <w:color w:val="003560"/>
        </w:rPr>
        <w:t>Partnership Agreement</w:t>
      </w:r>
    </w:p>
    <w:p w14:paraId="60B9B5F2"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for the Establishment </w:t>
      </w:r>
    </w:p>
    <w:p w14:paraId="4F85FDEC"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a </w:t>
      </w:r>
    </w:p>
    <w:p w14:paraId="626B2DFC"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Joint Master Degree Programme in </w:t>
      </w:r>
    </w:p>
    <w:p w14:paraId="44D001ED" w14:textId="64415817" w:rsidR="006B113F" w:rsidRDefault="00000000">
      <w:pPr>
        <w:widowControl w:val="0"/>
        <w:spacing w:line="240" w:lineRule="auto"/>
        <w:rPr>
          <w:rFonts w:ascii="Calibri" w:eastAsia="Calibri" w:hAnsi="Calibri" w:cs="Calibri"/>
          <w:b/>
          <w:color w:val="92D050"/>
        </w:rPr>
      </w:pPr>
      <w:r>
        <w:rPr>
          <w:rFonts w:ascii="Calibri" w:eastAsia="Calibri" w:hAnsi="Calibri" w:cs="Calibri"/>
          <w:b/>
          <w:color w:val="92D050"/>
        </w:rPr>
        <w:t>(</w:t>
      </w:r>
      <w:r w:rsidR="00B270F7">
        <w:rPr>
          <w:rFonts w:ascii="Calibri" w:eastAsia="Calibri" w:hAnsi="Calibri" w:cs="Calibri"/>
          <w:b/>
          <w:color w:val="92D050"/>
        </w:rPr>
        <w:t>XX</w:t>
      </w:r>
      <w:r>
        <w:rPr>
          <w:rFonts w:ascii="Calibri" w:eastAsia="Calibri" w:hAnsi="Calibri" w:cs="Calibri"/>
          <w:b/>
          <w:color w:val="92D050"/>
        </w:rPr>
        <w:t>),</w:t>
      </w:r>
    </w:p>
    <w:p w14:paraId="7AE6B1B8"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7F3CCAC3"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Ruhr-Universität Bochum,</w:t>
      </w:r>
    </w:p>
    <w:p w14:paraId="5A3BA2D5" w14:textId="77777777" w:rsidR="006B113F" w:rsidRDefault="00000000">
      <w:pPr>
        <w:widowControl w:val="0"/>
        <w:tabs>
          <w:tab w:val="left" w:pos="818"/>
        </w:tabs>
        <w:spacing w:line="240" w:lineRule="auto"/>
        <w:rPr>
          <w:rFonts w:ascii="Calibri" w:eastAsia="Calibri" w:hAnsi="Calibri" w:cs="Calibri"/>
        </w:rPr>
      </w:pPr>
      <w:hyperlink r:id="rId28" w:tooltip="https://unic.eu/en/universities/university-college-cork" w:history="1">
        <w:r>
          <w:rPr>
            <w:rFonts w:ascii="Calibri" w:eastAsia="Calibri" w:hAnsi="Calibri" w:cs="Calibri"/>
          </w:rPr>
          <w:t>University College Cork</w:t>
        </w:r>
      </w:hyperlink>
      <w:r>
        <w:rPr>
          <w:rFonts w:ascii="Calibri" w:eastAsia="Calibri" w:hAnsi="Calibri" w:cs="Calibri"/>
        </w:rPr>
        <w:t xml:space="preserve">, </w:t>
      </w:r>
    </w:p>
    <w:p w14:paraId="3CE2B94B"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University of Deusto, </w:t>
      </w:r>
    </w:p>
    <w:p w14:paraId="60EB4C02" w14:textId="77777777" w:rsidR="006B113F" w:rsidRDefault="00000000">
      <w:pPr>
        <w:widowControl w:val="0"/>
        <w:tabs>
          <w:tab w:val="left" w:pos="818"/>
        </w:tabs>
        <w:spacing w:line="240" w:lineRule="auto"/>
        <w:rPr>
          <w:rFonts w:ascii="Calibri" w:eastAsia="Calibri" w:hAnsi="Calibri" w:cs="Calibri"/>
        </w:rPr>
      </w:pPr>
      <w:hyperlink r:id="rId29" w:tooltip="https://unic.eu/en/universities/erasmus-university" w:history="1">
        <w:r>
          <w:rPr>
            <w:rFonts w:ascii="Calibri" w:eastAsia="Calibri" w:hAnsi="Calibri" w:cs="Calibri"/>
          </w:rPr>
          <w:t>Erasmus University</w:t>
        </w:r>
      </w:hyperlink>
      <w:r>
        <w:rPr>
          <w:rFonts w:ascii="Calibri" w:eastAsia="Calibri" w:hAnsi="Calibri" w:cs="Calibri"/>
        </w:rPr>
        <w:t xml:space="preserve"> Rotterdam, </w:t>
      </w:r>
    </w:p>
    <w:p w14:paraId="3DCFD9CB"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Koç University, </w:t>
      </w:r>
    </w:p>
    <w:p w14:paraId="69E31E41" w14:textId="77777777" w:rsidR="006B113F" w:rsidRDefault="00000000">
      <w:pPr>
        <w:widowControl w:val="0"/>
        <w:tabs>
          <w:tab w:val="left" w:pos="818"/>
        </w:tabs>
        <w:spacing w:line="240" w:lineRule="auto"/>
        <w:rPr>
          <w:rFonts w:ascii="Calibri" w:eastAsia="Calibri" w:hAnsi="Calibri" w:cs="Calibri"/>
        </w:rPr>
      </w:pPr>
      <w:hyperlink r:id="rId30" w:tooltip="https://unic.eu/en/universities/university-of-liege" w:history="1">
        <w:r>
          <w:rPr>
            <w:rFonts w:ascii="Calibri" w:eastAsia="Calibri" w:hAnsi="Calibri" w:cs="Calibri"/>
          </w:rPr>
          <w:t>Université de Liège</w:t>
        </w:r>
      </w:hyperlink>
      <w:r>
        <w:rPr>
          <w:rFonts w:ascii="Calibri" w:eastAsia="Calibri" w:hAnsi="Calibri" w:cs="Calibri"/>
        </w:rPr>
        <w:t>,</w:t>
      </w:r>
    </w:p>
    <w:p w14:paraId="490C97D4" w14:textId="77777777" w:rsidR="006B113F" w:rsidRDefault="00000000">
      <w:pPr>
        <w:widowControl w:val="0"/>
        <w:tabs>
          <w:tab w:val="left" w:pos="818"/>
        </w:tabs>
        <w:spacing w:line="240" w:lineRule="auto"/>
        <w:rPr>
          <w:rFonts w:ascii="Calibri" w:eastAsia="Calibri" w:hAnsi="Calibri" w:cs="Calibri"/>
        </w:rPr>
      </w:pPr>
      <w:hyperlink r:id="rId31" w:tooltip="https://unic.eu/en/universities/university-of-oulu" w:history="1">
        <w:r>
          <w:rPr>
            <w:rFonts w:ascii="Calibri" w:eastAsia="Calibri" w:hAnsi="Calibri" w:cs="Calibri"/>
          </w:rPr>
          <w:t>University of Oulu</w:t>
        </w:r>
      </w:hyperlink>
      <w:r>
        <w:rPr>
          <w:rFonts w:ascii="Calibri" w:eastAsia="Calibri" w:hAnsi="Calibri" w:cs="Calibri"/>
        </w:rPr>
        <w:t>,</w:t>
      </w:r>
    </w:p>
    <w:p w14:paraId="03296F4B" w14:textId="77777777" w:rsidR="006B113F" w:rsidRDefault="00000000">
      <w:pPr>
        <w:widowControl w:val="0"/>
        <w:tabs>
          <w:tab w:val="left" w:pos="818"/>
        </w:tabs>
        <w:spacing w:line="240" w:lineRule="auto"/>
        <w:rPr>
          <w:rFonts w:ascii="Calibri" w:eastAsia="Calibri" w:hAnsi="Calibri" w:cs="Calibri"/>
        </w:rPr>
      </w:pPr>
      <w:hyperlink r:id="rId32" w:tooltip="https://unic.eu/en/universities/university-of-zagreb" w:history="1">
        <w:r>
          <w:rPr>
            <w:rFonts w:ascii="Calibri" w:eastAsia="Calibri" w:hAnsi="Calibri" w:cs="Calibri"/>
          </w:rPr>
          <w:t>University of Zagreb</w:t>
        </w:r>
      </w:hyperlink>
    </w:p>
    <w:p w14:paraId="679F4A77" w14:textId="77777777" w:rsidR="006B113F" w:rsidRDefault="006B113F">
      <w:pPr>
        <w:widowControl w:val="0"/>
        <w:tabs>
          <w:tab w:val="left" w:pos="818"/>
        </w:tabs>
        <w:spacing w:line="240" w:lineRule="auto"/>
        <w:rPr>
          <w:rFonts w:ascii="Calibri" w:eastAsia="Calibri" w:hAnsi="Calibri" w:cs="Calibri"/>
        </w:rPr>
      </w:pPr>
    </w:p>
    <w:p w14:paraId="64F8963D" w14:textId="77777777" w:rsidR="006B113F" w:rsidRDefault="006B113F">
      <w:pPr>
        <w:widowControl w:val="0"/>
        <w:tabs>
          <w:tab w:val="left" w:pos="818"/>
        </w:tabs>
        <w:spacing w:line="240" w:lineRule="auto"/>
        <w:rPr>
          <w:rFonts w:ascii="Calibri" w:eastAsia="Calibri" w:hAnsi="Calibri" w:cs="Calibri"/>
        </w:rPr>
      </w:pPr>
    </w:p>
    <w:p w14:paraId="2FA89F4B" w14:textId="77777777" w:rsidR="006B113F" w:rsidRDefault="006B113F">
      <w:pPr>
        <w:widowControl w:val="0"/>
        <w:tabs>
          <w:tab w:val="left" w:pos="818"/>
        </w:tabs>
        <w:spacing w:line="240" w:lineRule="auto"/>
        <w:rPr>
          <w:rFonts w:ascii="Calibri" w:eastAsia="Calibri" w:hAnsi="Calibri" w:cs="Calibri"/>
        </w:rPr>
      </w:pPr>
    </w:p>
    <w:p w14:paraId="72F3C0C2" w14:textId="77777777" w:rsidR="006B113F" w:rsidRDefault="00000000">
      <w:pPr>
        <w:widowControl w:val="0"/>
        <w:spacing w:line="240" w:lineRule="auto"/>
        <w:rPr>
          <w:rFonts w:ascii="Calibri" w:eastAsia="Calibri" w:hAnsi="Calibri" w:cs="Calibri"/>
        </w:rPr>
      </w:pPr>
      <w:r>
        <w:rPr>
          <w:rFonts w:ascii="Calibri" w:eastAsia="Calibri" w:hAnsi="Calibri" w:cs="Calibri"/>
        </w:rPr>
        <w:t>Herewith,</w:t>
      </w:r>
    </w:p>
    <w:p w14:paraId="0C36BB61" w14:textId="77777777" w:rsidR="006B113F" w:rsidRDefault="006B113F">
      <w:pPr>
        <w:widowControl w:val="0"/>
        <w:spacing w:line="240" w:lineRule="auto"/>
        <w:rPr>
          <w:rFonts w:ascii="Calibri" w:eastAsia="Calibri" w:hAnsi="Calibri" w:cs="Calibri"/>
        </w:rPr>
      </w:pPr>
    </w:p>
    <w:p w14:paraId="2ABF371B" w14:textId="77777777" w:rsidR="006B113F" w:rsidRDefault="00000000">
      <w:pPr>
        <w:widowControl w:val="0"/>
        <w:spacing w:line="240" w:lineRule="auto"/>
        <w:jc w:val="both"/>
        <w:rPr>
          <w:rFonts w:ascii="Calibri" w:eastAsia="Calibri" w:hAnsi="Calibri" w:cs="Calibri"/>
          <w:b/>
        </w:rPr>
      </w:pPr>
      <w:hyperlink r:id="rId33" w:tooltip="https://unic.eu/en/universities/university-college-cork" w:history="1">
        <w:r>
          <w:rPr>
            <w:rFonts w:ascii="Calibri" w:eastAsia="Calibri" w:hAnsi="Calibri" w:cs="Calibri"/>
            <w:b/>
          </w:rPr>
          <w:t>University College Cork</w:t>
        </w:r>
      </w:hyperlink>
      <w:r>
        <w:rPr>
          <w:rFonts w:ascii="Calibri" w:eastAsia="Calibri" w:hAnsi="Calibri" w:cs="Calibri"/>
          <w:b/>
        </w:rPr>
        <w:t>,</w:t>
      </w:r>
    </w:p>
    <w:p w14:paraId="04B1C980" w14:textId="4716581E" w:rsidR="006B113F" w:rsidRDefault="00000000">
      <w:pPr>
        <w:widowControl w:val="0"/>
        <w:spacing w:line="240" w:lineRule="auto"/>
        <w:jc w:val="both"/>
        <w:rPr>
          <w:rFonts w:ascii="Calibri" w:eastAsia="Calibri" w:hAnsi="Calibri" w:cs="Calibri"/>
        </w:rPr>
      </w:pPr>
      <w:r>
        <w:rPr>
          <w:rFonts w:ascii="Calibri" w:eastAsia="Calibri" w:hAnsi="Calibri" w:cs="Calibri"/>
        </w:rPr>
        <w:t xml:space="preserve">represented for the purpose hereof by </w:t>
      </w:r>
      <w:r>
        <w:rPr>
          <w:rFonts w:ascii="Calibri" w:eastAsia="Calibri" w:hAnsi="Calibri" w:cs="Calibri"/>
          <w:b/>
        </w:rPr>
        <w:t>Prof. Stephen Byrne, Deputy President &amp; Registrar</w:t>
      </w:r>
      <w:r>
        <w:rPr>
          <w:rFonts w:ascii="Calibri" w:eastAsia="Calibri" w:hAnsi="Calibri" w:cs="Calibri"/>
        </w:rPr>
        <w:t xml:space="preserve">, established in CORK, Ireland, acting as its legal authorised representative, hereby consents to become a Party to the Partnership Agreement for the Establishment of a Joint Master Degree Programme in </w:t>
      </w:r>
      <w:r w:rsidR="00AC772B">
        <w:rPr>
          <w:rFonts w:ascii="Calibri" w:eastAsia="Calibri" w:hAnsi="Calibri" w:cs="Calibri"/>
        </w:rPr>
        <w:t>xx</w:t>
      </w:r>
      <w:r>
        <w:rPr>
          <w:rFonts w:ascii="Calibri" w:eastAsia="Calibri" w:hAnsi="Calibri" w:cs="Calibri"/>
        </w:rPr>
        <w:t xml:space="preserve"> and accepts in accordance with the provisions of the aforementioned Partnership Agreement all the rights and obligations of a Party.</w:t>
      </w:r>
    </w:p>
    <w:p w14:paraId="338BD9F0" w14:textId="77777777" w:rsidR="006B113F" w:rsidRDefault="006B113F">
      <w:pPr>
        <w:widowControl w:val="0"/>
        <w:spacing w:line="240" w:lineRule="auto"/>
        <w:rPr>
          <w:rFonts w:ascii="Calibri" w:eastAsia="Calibri" w:hAnsi="Calibri" w:cs="Calibri"/>
          <w:b/>
        </w:rPr>
      </w:pPr>
    </w:p>
    <w:p w14:paraId="1734ACFF" w14:textId="77777777" w:rsidR="006B113F" w:rsidRDefault="006B113F">
      <w:pPr>
        <w:widowControl w:val="0"/>
        <w:spacing w:line="240" w:lineRule="auto"/>
        <w:rPr>
          <w:rFonts w:ascii="Calibri" w:eastAsia="Calibri" w:hAnsi="Calibri" w:cs="Calibri"/>
          <w:b/>
        </w:rPr>
      </w:pPr>
    </w:p>
    <w:p w14:paraId="5ADD8030" w14:textId="77777777" w:rsidR="006B113F" w:rsidRDefault="00000000">
      <w:pPr>
        <w:widowControl w:val="0"/>
        <w:spacing w:line="240" w:lineRule="auto"/>
        <w:rPr>
          <w:rFonts w:ascii="Calibri" w:eastAsia="Calibri" w:hAnsi="Calibri" w:cs="Calibri"/>
        </w:rPr>
      </w:pPr>
      <w:r>
        <w:rPr>
          <w:rFonts w:ascii="Calibri" w:eastAsia="Calibri" w:hAnsi="Calibri" w:cs="Calibri"/>
        </w:rPr>
        <w:t>Date:</w:t>
      </w:r>
    </w:p>
    <w:p w14:paraId="7E8B8B33" w14:textId="77777777" w:rsidR="006B113F" w:rsidRDefault="006B113F">
      <w:pPr>
        <w:widowControl w:val="0"/>
        <w:spacing w:line="240" w:lineRule="auto"/>
        <w:rPr>
          <w:rFonts w:ascii="Calibri" w:eastAsia="Calibri" w:hAnsi="Calibri" w:cs="Calibri"/>
        </w:rPr>
      </w:pPr>
    </w:p>
    <w:p w14:paraId="4A681498" w14:textId="77777777" w:rsidR="006B113F" w:rsidRDefault="00000000">
      <w:pPr>
        <w:widowControl w:val="0"/>
        <w:spacing w:line="240" w:lineRule="auto"/>
        <w:rPr>
          <w:rFonts w:ascii="Calibri" w:eastAsia="Calibri" w:hAnsi="Calibri" w:cs="Calibri"/>
        </w:rPr>
      </w:pPr>
      <w:r>
        <w:rPr>
          <w:rFonts w:ascii="Calibri" w:eastAsia="Calibri" w:hAnsi="Calibri" w:cs="Calibri"/>
        </w:rPr>
        <w:t>Signature of legally authorised representative:</w:t>
      </w:r>
    </w:p>
    <w:p w14:paraId="15EAE8CF" w14:textId="77777777" w:rsidR="006B113F" w:rsidRDefault="006B113F">
      <w:pPr>
        <w:widowControl w:val="0"/>
        <w:spacing w:line="240" w:lineRule="auto"/>
        <w:rPr>
          <w:rFonts w:ascii="Calibri" w:eastAsia="Calibri" w:hAnsi="Calibri" w:cs="Calibri"/>
        </w:rPr>
      </w:pPr>
    </w:p>
    <w:p w14:paraId="6FF1FBA7" w14:textId="77777777" w:rsidR="006B113F" w:rsidRDefault="006B113F">
      <w:pPr>
        <w:widowControl w:val="0"/>
        <w:spacing w:line="240" w:lineRule="auto"/>
        <w:rPr>
          <w:rFonts w:ascii="Calibri" w:eastAsia="Calibri" w:hAnsi="Calibri" w:cs="Calibri"/>
        </w:rPr>
      </w:pPr>
    </w:p>
    <w:p w14:paraId="31502730" w14:textId="77777777" w:rsidR="006B113F" w:rsidRDefault="006B113F">
      <w:pPr>
        <w:widowControl w:val="0"/>
        <w:spacing w:line="240" w:lineRule="auto"/>
        <w:rPr>
          <w:rFonts w:ascii="Calibri" w:eastAsia="Calibri" w:hAnsi="Calibri" w:cs="Calibri"/>
        </w:rPr>
      </w:pPr>
    </w:p>
    <w:p w14:paraId="6AFC171B" w14:textId="77777777" w:rsidR="006B113F" w:rsidRDefault="006B113F">
      <w:pPr>
        <w:widowControl w:val="0"/>
        <w:spacing w:line="240" w:lineRule="auto"/>
        <w:rPr>
          <w:rFonts w:ascii="Calibri" w:eastAsia="Calibri" w:hAnsi="Calibri" w:cs="Calibri"/>
        </w:rPr>
      </w:pPr>
    </w:p>
    <w:p w14:paraId="640F4943" w14:textId="77777777" w:rsidR="006B113F" w:rsidRDefault="00000000">
      <w:pPr>
        <w:widowControl w:val="0"/>
        <w:spacing w:line="240" w:lineRule="auto"/>
        <w:rPr>
          <w:rFonts w:ascii="Calibri" w:eastAsia="Calibri" w:hAnsi="Calibri" w:cs="Calibri"/>
        </w:rPr>
      </w:pPr>
      <w:r>
        <w:rPr>
          <w:rFonts w:ascii="Calibri" w:eastAsia="Calibri" w:hAnsi="Calibri" w:cs="Calibri"/>
        </w:rPr>
        <w:t>Stamp of the organisation:</w:t>
      </w:r>
    </w:p>
    <w:p w14:paraId="397A8341" w14:textId="77777777" w:rsidR="006B113F" w:rsidRDefault="006B113F">
      <w:pPr>
        <w:widowControl w:val="0"/>
        <w:tabs>
          <w:tab w:val="left" w:pos="461"/>
        </w:tabs>
        <w:spacing w:line="240" w:lineRule="auto"/>
        <w:rPr>
          <w:rFonts w:ascii="Calibri" w:eastAsia="Calibri" w:hAnsi="Calibri" w:cs="Calibri"/>
        </w:rPr>
      </w:pPr>
    </w:p>
    <w:p w14:paraId="2C0A2E61" w14:textId="77777777" w:rsidR="006B113F" w:rsidRDefault="006B113F">
      <w:pPr>
        <w:widowControl w:val="0"/>
        <w:spacing w:line="240" w:lineRule="auto"/>
        <w:rPr>
          <w:rFonts w:ascii="Calibri" w:eastAsia="Calibri" w:hAnsi="Calibri" w:cs="Calibri"/>
        </w:rPr>
      </w:pPr>
    </w:p>
    <w:p w14:paraId="1DA209F2" w14:textId="77777777" w:rsidR="006B113F" w:rsidRDefault="006B113F">
      <w:pPr>
        <w:widowControl w:val="0"/>
        <w:spacing w:line="240" w:lineRule="auto"/>
        <w:rPr>
          <w:rFonts w:ascii="Calibri" w:eastAsia="Calibri" w:hAnsi="Calibri" w:cs="Calibri"/>
        </w:rPr>
      </w:pPr>
    </w:p>
    <w:p w14:paraId="6C64400F" w14:textId="77777777" w:rsidR="006B113F" w:rsidRDefault="006B113F">
      <w:pPr>
        <w:widowControl w:val="0"/>
        <w:spacing w:line="240" w:lineRule="auto"/>
        <w:rPr>
          <w:rFonts w:ascii="Calibri" w:eastAsia="Calibri" w:hAnsi="Calibri" w:cs="Calibri"/>
        </w:rPr>
      </w:pPr>
    </w:p>
    <w:p w14:paraId="5CFA73A9" w14:textId="77777777" w:rsidR="006B113F" w:rsidRDefault="006B113F">
      <w:pPr>
        <w:widowControl w:val="0"/>
        <w:spacing w:line="240" w:lineRule="auto"/>
        <w:rPr>
          <w:rFonts w:ascii="Calibri" w:eastAsia="Calibri" w:hAnsi="Calibri" w:cs="Calibri"/>
        </w:rPr>
      </w:pPr>
    </w:p>
    <w:p w14:paraId="0F34101C" w14:textId="77777777" w:rsidR="006B113F" w:rsidRDefault="00000000">
      <w:pPr>
        <w:widowControl w:val="0"/>
        <w:spacing w:line="240" w:lineRule="auto"/>
        <w:rPr>
          <w:rFonts w:ascii="Calibri" w:eastAsia="Calibri" w:hAnsi="Calibri" w:cs="Calibri"/>
          <w:b/>
        </w:rPr>
      </w:pPr>
      <w:r>
        <w:br w:type="page" w:clear="all"/>
      </w:r>
    </w:p>
    <w:p w14:paraId="5B5AC35C" w14:textId="77777777" w:rsidR="006B113F" w:rsidRDefault="00000000">
      <w:pPr>
        <w:pStyle w:val="berschrift3"/>
        <w:keepNext w:val="0"/>
        <w:keepLines w:val="0"/>
        <w:widowControl w:val="0"/>
        <w:spacing w:before="0" w:after="0" w:line="240" w:lineRule="auto"/>
        <w:rPr>
          <w:rFonts w:ascii="Calibri" w:eastAsia="Calibri" w:hAnsi="Calibri" w:cs="Calibri"/>
          <w:b/>
          <w:color w:val="000000"/>
          <w:sz w:val="22"/>
          <w:szCs w:val="22"/>
        </w:rPr>
      </w:pPr>
      <w:bookmarkStart w:id="143" w:name="_Toc141280004"/>
      <w:r>
        <w:rPr>
          <w:rFonts w:ascii="Calibri" w:eastAsia="Calibri" w:hAnsi="Calibri" w:cs="Calibri"/>
          <w:b/>
          <w:color w:val="000000"/>
          <w:sz w:val="22"/>
          <w:szCs w:val="22"/>
        </w:rPr>
        <w:lastRenderedPageBreak/>
        <w:t>Signature page University of Deusto</w:t>
      </w:r>
      <w:bookmarkEnd w:id="143"/>
    </w:p>
    <w:p w14:paraId="44057B4F"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the </w:t>
      </w:r>
    </w:p>
    <w:p w14:paraId="21586C34" w14:textId="77777777" w:rsidR="006B113F" w:rsidRDefault="00000000">
      <w:pPr>
        <w:widowControl w:val="0"/>
        <w:spacing w:line="240" w:lineRule="auto"/>
        <w:rPr>
          <w:rFonts w:ascii="Calibri" w:eastAsia="Calibri" w:hAnsi="Calibri" w:cs="Calibri"/>
          <w:b/>
          <w:color w:val="003560"/>
        </w:rPr>
      </w:pPr>
      <w:r>
        <w:rPr>
          <w:rFonts w:ascii="Calibri" w:eastAsia="Calibri" w:hAnsi="Calibri" w:cs="Calibri"/>
          <w:b/>
          <w:color w:val="003560"/>
        </w:rPr>
        <w:t>Partnership Agreement</w:t>
      </w:r>
    </w:p>
    <w:p w14:paraId="583BCCF3"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for the Establishment </w:t>
      </w:r>
    </w:p>
    <w:p w14:paraId="093259C0"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a </w:t>
      </w:r>
    </w:p>
    <w:p w14:paraId="6BA9DB90"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Joint Master Degree Programme in </w:t>
      </w:r>
    </w:p>
    <w:p w14:paraId="6E5901B8" w14:textId="49BE94BD" w:rsidR="006B113F" w:rsidRDefault="00000000">
      <w:pPr>
        <w:widowControl w:val="0"/>
        <w:spacing w:line="240" w:lineRule="auto"/>
        <w:rPr>
          <w:rFonts w:ascii="Calibri" w:eastAsia="Calibri" w:hAnsi="Calibri" w:cs="Calibri"/>
          <w:b/>
          <w:color w:val="92D050"/>
        </w:rPr>
      </w:pPr>
      <w:r>
        <w:rPr>
          <w:rFonts w:ascii="Calibri" w:eastAsia="Calibri" w:hAnsi="Calibri" w:cs="Calibri"/>
          <w:b/>
          <w:color w:val="92D050"/>
        </w:rPr>
        <w:t>(</w:t>
      </w:r>
      <w:r w:rsidR="00B270F7">
        <w:rPr>
          <w:rFonts w:ascii="Calibri" w:eastAsia="Calibri" w:hAnsi="Calibri" w:cs="Calibri"/>
          <w:b/>
          <w:color w:val="92D050"/>
        </w:rPr>
        <w:t>XX</w:t>
      </w:r>
      <w:r>
        <w:rPr>
          <w:rFonts w:ascii="Calibri" w:eastAsia="Calibri" w:hAnsi="Calibri" w:cs="Calibri"/>
          <w:b/>
          <w:color w:val="92D050"/>
        </w:rPr>
        <w:t>),</w:t>
      </w:r>
    </w:p>
    <w:p w14:paraId="67A3EAF3"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167956E7"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Ruhr-Universität Bochum,</w:t>
      </w:r>
    </w:p>
    <w:p w14:paraId="4807A19A" w14:textId="77777777" w:rsidR="006B113F" w:rsidRDefault="00000000">
      <w:pPr>
        <w:widowControl w:val="0"/>
        <w:tabs>
          <w:tab w:val="left" w:pos="818"/>
        </w:tabs>
        <w:spacing w:line="240" w:lineRule="auto"/>
        <w:rPr>
          <w:rFonts w:ascii="Calibri" w:eastAsia="Calibri" w:hAnsi="Calibri" w:cs="Calibri"/>
        </w:rPr>
      </w:pPr>
      <w:hyperlink r:id="rId34" w:tooltip="https://unic.eu/en/universities/university-college-cork" w:history="1">
        <w:r>
          <w:rPr>
            <w:rFonts w:ascii="Calibri" w:eastAsia="Calibri" w:hAnsi="Calibri" w:cs="Calibri"/>
          </w:rPr>
          <w:t>University College Cork</w:t>
        </w:r>
      </w:hyperlink>
      <w:r>
        <w:rPr>
          <w:rFonts w:ascii="Calibri" w:eastAsia="Calibri" w:hAnsi="Calibri" w:cs="Calibri"/>
        </w:rPr>
        <w:t>,</w:t>
      </w:r>
    </w:p>
    <w:p w14:paraId="67CF67EF"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University of Deusto, </w:t>
      </w:r>
    </w:p>
    <w:p w14:paraId="1AD3379C" w14:textId="77777777" w:rsidR="006B113F" w:rsidRDefault="00000000">
      <w:pPr>
        <w:widowControl w:val="0"/>
        <w:tabs>
          <w:tab w:val="left" w:pos="818"/>
        </w:tabs>
        <w:spacing w:line="240" w:lineRule="auto"/>
        <w:rPr>
          <w:rFonts w:ascii="Calibri" w:eastAsia="Calibri" w:hAnsi="Calibri" w:cs="Calibri"/>
        </w:rPr>
      </w:pPr>
      <w:hyperlink r:id="rId35" w:tooltip="https://unic.eu/en/universities/erasmus-university" w:history="1">
        <w:r>
          <w:rPr>
            <w:rFonts w:ascii="Calibri" w:eastAsia="Calibri" w:hAnsi="Calibri" w:cs="Calibri"/>
          </w:rPr>
          <w:t>Erasmus University</w:t>
        </w:r>
      </w:hyperlink>
      <w:r>
        <w:rPr>
          <w:rFonts w:ascii="Calibri" w:eastAsia="Calibri" w:hAnsi="Calibri" w:cs="Calibri"/>
        </w:rPr>
        <w:t xml:space="preserve"> Rotterdam, </w:t>
      </w:r>
    </w:p>
    <w:p w14:paraId="340911D9"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Koç University, </w:t>
      </w:r>
    </w:p>
    <w:p w14:paraId="5AFE71D2" w14:textId="77777777" w:rsidR="006B113F" w:rsidRDefault="00000000">
      <w:pPr>
        <w:widowControl w:val="0"/>
        <w:tabs>
          <w:tab w:val="left" w:pos="818"/>
        </w:tabs>
        <w:spacing w:line="240" w:lineRule="auto"/>
        <w:rPr>
          <w:rFonts w:ascii="Calibri" w:eastAsia="Calibri" w:hAnsi="Calibri" w:cs="Calibri"/>
        </w:rPr>
      </w:pPr>
      <w:hyperlink r:id="rId36" w:tooltip="https://unic.eu/en/universities/university-of-liege" w:history="1">
        <w:r>
          <w:rPr>
            <w:rFonts w:ascii="Calibri" w:eastAsia="Calibri" w:hAnsi="Calibri" w:cs="Calibri"/>
          </w:rPr>
          <w:t>Université de Liège</w:t>
        </w:r>
      </w:hyperlink>
      <w:r>
        <w:rPr>
          <w:rFonts w:ascii="Calibri" w:eastAsia="Calibri" w:hAnsi="Calibri" w:cs="Calibri"/>
        </w:rPr>
        <w:t>,</w:t>
      </w:r>
    </w:p>
    <w:p w14:paraId="6E6163C5" w14:textId="77777777" w:rsidR="006B113F" w:rsidRDefault="00000000">
      <w:pPr>
        <w:widowControl w:val="0"/>
        <w:tabs>
          <w:tab w:val="left" w:pos="818"/>
        </w:tabs>
        <w:spacing w:line="240" w:lineRule="auto"/>
        <w:rPr>
          <w:rFonts w:ascii="Calibri" w:eastAsia="Calibri" w:hAnsi="Calibri" w:cs="Calibri"/>
        </w:rPr>
      </w:pPr>
      <w:hyperlink r:id="rId37" w:tooltip="https://unic.eu/en/universities/university-of-oulu" w:history="1">
        <w:r>
          <w:rPr>
            <w:rFonts w:ascii="Calibri" w:eastAsia="Calibri" w:hAnsi="Calibri" w:cs="Calibri"/>
          </w:rPr>
          <w:t>University of Oulu</w:t>
        </w:r>
      </w:hyperlink>
      <w:r>
        <w:rPr>
          <w:rFonts w:ascii="Calibri" w:eastAsia="Calibri" w:hAnsi="Calibri" w:cs="Calibri"/>
        </w:rPr>
        <w:t>,</w:t>
      </w:r>
    </w:p>
    <w:p w14:paraId="293D7EA5" w14:textId="77777777" w:rsidR="006B113F" w:rsidRDefault="00000000">
      <w:pPr>
        <w:widowControl w:val="0"/>
        <w:tabs>
          <w:tab w:val="left" w:pos="818"/>
        </w:tabs>
        <w:spacing w:line="240" w:lineRule="auto"/>
        <w:rPr>
          <w:rFonts w:ascii="Calibri" w:eastAsia="Calibri" w:hAnsi="Calibri" w:cs="Calibri"/>
        </w:rPr>
      </w:pPr>
      <w:hyperlink r:id="rId38" w:tooltip="https://unic.eu/en/universities/university-of-zagreb" w:history="1">
        <w:r>
          <w:rPr>
            <w:rFonts w:ascii="Calibri" w:eastAsia="Calibri" w:hAnsi="Calibri" w:cs="Calibri"/>
          </w:rPr>
          <w:t>University of Zagreb</w:t>
        </w:r>
      </w:hyperlink>
    </w:p>
    <w:p w14:paraId="37304002" w14:textId="77777777" w:rsidR="006B113F" w:rsidRDefault="006B113F">
      <w:pPr>
        <w:widowControl w:val="0"/>
        <w:tabs>
          <w:tab w:val="left" w:pos="818"/>
        </w:tabs>
        <w:spacing w:line="240" w:lineRule="auto"/>
        <w:rPr>
          <w:rFonts w:ascii="Calibri" w:eastAsia="Calibri" w:hAnsi="Calibri" w:cs="Calibri"/>
        </w:rPr>
      </w:pPr>
    </w:p>
    <w:p w14:paraId="51144BD1" w14:textId="77777777" w:rsidR="006B113F" w:rsidRDefault="006B113F">
      <w:pPr>
        <w:widowControl w:val="0"/>
        <w:tabs>
          <w:tab w:val="left" w:pos="818"/>
        </w:tabs>
        <w:spacing w:line="240" w:lineRule="auto"/>
        <w:rPr>
          <w:rFonts w:ascii="Calibri" w:eastAsia="Calibri" w:hAnsi="Calibri" w:cs="Calibri"/>
        </w:rPr>
      </w:pPr>
    </w:p>
    <w:p w14:paraId="12AD6885" w14:textId="77777777" w:rsidR="006B113F" w:rsidRDefault="006B113F">
      <w:pPr>
        <w:widowControl w:val="0"/>
        <w:tabs>
          <w:tab w:val="left" w:pos="818"/>
        </w:tabs>
        <w:spacing w:line="240" w:lineRule="auto"/>
        <w:rPr>
          <w:rFonts w:ascii="Calibri" w:eastAsia="Calibri" w:hAnsi="Calibri" w:cs="Calibri"/>
        </w:rPr>
      </w:pPr>
    </w:p>
    <w:p w14:paraId="218F76C2" w14:textId="77777777" w:rsidR="006B113F" w:rsidRDefault="00000000">
      <w:pPr>
        <w:widowControl w:val="0"/>
        <w:spacing w:line="240" w:lineRule="auto"/>
        <w:rPr>
          <w:rFonts w:ascii="Calibri" w:eastAsia="Calibri" w:hAnsi="Calibri" w:cs="Calibri"/>
        </w:rPr>
      </w:pPr>
      <w:r>
        <w:rPr>
          <w:rFonts w:ascii="Calibri" w:eastAsia="Calibri" w:hAnsi="Calibri" w:cs="Calibri"/>
        </w:rPr>
        <w:t>Herewith,</w:t>
      </w:r>
    </w:p>
    <w:p w14:paraId="17CBAC0C" w14:textId="77777777" w:rsidR="006B113F" w:rsidRDefault="006B113F">
      <w:pPr>
        <w:widowControl w:val="0"/>
        <w:spacing w:line="240" w:lineRule="auto"/>
        <w:rPr>
          <w:rFonts w:ascii="Calibri" w:eastAsia="Calibri" w:hAnsi="Calibri" w:cs="Calibri"/>
        </w:rPr>
      </w:pPr>
    </w:p>
    <w:p w14:paraId="7B940B58" w14:textId="77777777" w:rsidR="006B113F" w:rsidRDefault="00000000">
      <w:pPr>
        <w:widowControl w:val="0"/>
        <w:tabs>
          <w:tab w:val="right" w:pos="8928"/>
        </w:tabs>
        <w:spacing w:line="240" w:lineRule="auto"/>
        <w:rPr>
          <w:rFonts w:ascii="Calibri" w:eastAsia="Calibri" w:hAnsi="Calibri" w:cs="Calibri"/>
        </w:rPr>
      </w:pPr>
      <w:r>
        <w:rPr>
          <w:rFonts w:ascii="Calibri" w:eastAsia="Calibri" w:hAnsi="Calibri" w:cs="Calibri"/>
          <w:b/>
          <w:color w:val="000000"/>
        </w:rPr>
        <w:t>University of Deusto</w:t>
      </w:r>
      <w:r>
        <w:rPr>
          <w:rFonts w:ascii="Calibri" w:eastAsia="Calibri" w:hAnsi="Calibri" w:cs="Calibri"/>
        </w:rPr>
        <w:t>,</w:t>
      </w:r>
    </w:p>
    <w:p w14:paraId="798417A4" w14:textId="77777777" w:rsidR="006B113F" w:rsidRDefault="006B113F">
      <w:pPr>
        <w:widowControl w:val="0"/>
        <w:spacing w:line="240" w:lineRule="auto"/>
        <w:rPr>
          <w:rFonts w:ascii="Calibri" w:eastAsia="Calibri" w:hAnsi="Calibri" w:cs="Calibri"/>
        </w:rPr>
      </w:pPr>
    </w:p>
    <w:p w14:paraId="5B8BE557" w14:textId="14C2C571" w:rsidR="006B113F" w:rsidRDefault="00000000">
      <w:pPr>
        <w:widowControl w:val="0"/>
        <w:spacing w:line="240" w:lineRule="auto"/>
        <w:jc w:val="both"/>
        <w:rPr>
          <w:rFonts w:ascii="Calibri" w:eastAsia="Calibri" w:hAnsi="Calibri" w:cs="Calibri"/>
        </w:rPr>
      </w:pPr>
      <w:r>
        <w:rPr>
          <w:rFonts w:ascii="Calibri" w:eastAsia="Calibri" w:hAnsi="Calibri" w:cs="Calibri"/>
        </w:rPr>
        <w:t xml:space="preserve">a private non-profit organisation, established in Bilbao, Spain, constituted by the Holy See pursuant to a Decree of the Sacred Congregation of Seminaries and Universities of the Catholic Church dated August 10, 1963, and registered in the Register of Religious Entities of the Ministry of Justice under No. 004179, represented for the purpose hereof by </w:t>
      </w:r>
      <w:r>
        <w:rPr>
          <w:rFonts w:ascii="Calibri" w:eastAsia="Calibri" w:hAnsi="Calibri" w:cs="Calibri"/>
          <w:b/>
          <w:bCs/>
        </w:rPr>
        <w:t>Prof. Dr. Juan José Etxeberria</w:t>
      </w:r>
      <w:r>
        <w:rPr>
          <w:rFonts w:ascii="Calibri" w:eastAsia="Calibri" w:hAnsi="Calibri" w:cs="Calibri"/>
        </w:rPr>
        <w:t>, acting as its legal authorised representative, hereby consents to become a Party to the Partnership Agreement for the Establishment of a Joint Master Degree Programme in S</w:t>
      </w:r>
      <w:r w:rsidR="00AC772B">
        <w:rPr>
          <w:rFonts w:ascii="Calibri" w:eastAsia="Calibri" w:hAnsi="Calibri" w:cs="Calibri"/>
        </w:rPr>
        <w:t>xx</w:t>
      </w:r>
      <w:r>
        <w:rPr>
          <w:rFonts w:ascii="Calibri" w:eastAsia="Calibri" w:hAnsi="Calibri" w:cs="Calibri"/>
        </w:rPr>
        <w:t xml:space="preserve"> and accepts in accordance with the provisions of the aforementioned Partnership Agreement all the rights and obligations of a Party.</w:t>
      </w:r>
    </w:p>
    <w:p w14:paraId="20EA10B3" w14:textId="77777777" w:rsidR="006B113F" w:rsidRDefault="006B113F">
      <w:pPr>
        <w:widowControl w:val="0"/>
        <w:spacing w:line="240" w:lineRule="auto"/>
        <w:rPr>
          <w:rFonts w:ascii="Calibri" w:eastAsia="Calibri" w:hAnsi="Calibri" w:cs="Calibri"/>
        </w:rPr>
      </w:pPr>
    </w:p>
    <w:p w14:paraId="4E8F718D" w14:textId="77777777" w:rsidR="006B113F" w:rsidRDefault="006B113F">
      <w:pPr>
        <w:widowControl w:val="0"/>
        <w:spacing w:line="240" w:lineRule="auto"/>
        <w:rPr>
          <w:rFonts w:ascii="Calibri" w:eastAsia="Calibri" w:hAnsi="Calibri" w:cs="Calibri"/>
        </w:rPr>
      </w:pPr>
    </w:p>
    <w:p w14:paraId="700415D9" w14:textId="77777777" w:rsidR="006B113F" w:rsidRDefault="00000000">
      <w:pPr>
        <w:widowControl w:val="0"/>
        <w:spacing w:line="240" w:lineRule="auto"/>
        <w:rPr>
          <w:rFonts w:ascii="Calibri" w:eastAsia="Calibri" w:hAnsi="Calibri" w:cs="Calibri"/>
        </w:rPr>
      </w:pPr>
      <w:r>
        <w:rPr>
          <w:rFonts w:ascii="Calibri" w:eastAsia="Calibri" w:hAnsi="Calibri" w:cs="Calibri"/>
        </w:rPr>
        <w:t>Date:</w:t>
      </w:r>
    </w:p>
    <w:p w14:paraId="67C707B0" w14:textId="77777777" w:rsidR="006B113F" w:rsidRDefault="006B113F">
      <w:pPr>
        <w:widowControl w:val="0"/>
        <w:spacing w:line="240" w:lineRule="auto"/>
        <w:rPr>
          <w:rFonts w:ascii="Calibri" w:eastAsia="Calibri" w:hAnsi="Calibri" w:cs="Calibri"/>
        </w:rPr>
      </w:pPr>
    </w:p>
    <w:p w14:paraId="597ECD78" w14:textId="77777777" w:rsidR="006B113F" w:rsidRDefault="00000000">
      <w:pPr>
        <w:widowControl w:val="0"/>
        <w:spacing w:line="240" w:lineRule="auto"/>
        <w:rPr>
          <w:rFonts w:ascii="Calibri" w:eastAsia="Calibri" w:hAnsi="Calibri" w:cs="Calibri"/>
        </w:rPr>
      </w:pPr>
      <w:r>
        <w:rPr>
          <w:rFonts w:ascii="Calibri" w:eastAsia="Calibri" w:hAnsi="Calibri" w:cs="Calibri"/>
        </w:rPr>
        <w:t>Signature of legally authorised representative:</w:t>
      </w:r>
    </w:p>
    <w:p w14:paraId="709D48F6" w14:textId="77777777" w:rsidR="006B113F" w:rsidRDefault="006B113F">
      <w:pPr>
        <w:widowControl w:val="0"/>
        <w:spacing w:line="240" w:lineRule="auto"/>
        <w:rPr>
          <w:rFonts w:ascii="Calibri" w:eastAsia="Calibri" w:hAnsi="Calibri" w:cs="Calibri"/>
        </w:rPr>
      </w:pPr>
    </w:p>
    <w:p w14:paraId="5D04F36F" w14:textId="77777777" w:rsidR="006B113F" w:rsidRDefault="006B113F">
      <w:pPr>
        <w:widowControl w:val="0"/>
        <w:spacing w:line="240" w:lineRule="auto"/>
        <w:rPr>
          <w:rFonts w:ascii="Calibri" w:eastAsia="Calibri" w:hAnsi="Calibri" w:cs="Calibri"/>
        </w:rPr>
      </w:pPr>
    </w:p>
    <w:p w14:paraId="21FBE316" w14:textId="77777777" w:rsidR="006B113F" w:rsidRDefault="006B113F">
      <w:pPr>
        <w:widowControl w:val="0"/>
        <w:spacing w:line="240" w:lineRule="auto"/>
        <w:rPr>
          <w:rFonts w:ascii="Calibri" w:eastAsia="Calibri" w:hAnsi="Calibri" w:cs="Calibri"/>
        </w:rPr>
      </w:pPr>
    </w:p>
    <w:p w14:paraId="57437CD6" w14:textId="77777777" w:rsidR="006B113F" w:rsidRDefault="006B113F">
      <w:pPr>
        <w:widowControl w:val="0"/>
        <w:spacing w:line="240" w:lineRule="auto"/>
        <w:rPr>
          <w:rFonts w:ascii="Calibri" w:eastAsia="Calibri" w:hAnsi="Calibri" w:cs="Calibri"/>
        </w:rPr>
      </w:pPr>
    </w:p>
    <w:p w14:paraId="53190046" w14:textId="77777777" w:rsidR="006B113F" w:rsidRDefault="00000000">
      <w:pPr>
        <w:widowControl w:val="0"/>
        <w:spacing w:line="240" w:lineRule="auto"/>
        <w:rPr>
          <w:rFonts w:ascii="Calibri" w:eastAsia="Calibri" w:hAnsi="Calibri" w:cs="Calibri"/>
        </w:rPr>
      </w:pPr>
      <w:r>
        <w:rPr>
          <w:rFonts w:ascii="Calibri" w:eastAsia="Calibri" w:hAnsi="Calibri" w:cs="Calibri"/>
        </w:rPr>
        <w:t>Stamp of the organisation:</w:t>
      </w:r>
    </w:p>
    <w:p w14:paraId="012C51CE" w14:textId="77777777" w:rsidR="006B113F" w:rsidRDefault="006B113F">
      <w:pPr>
        <w:widowControl w:val="0"/>
        <w:tabs>
          <w:tab w:val="left" w:pos="461"/>
        </w:tabs>
        <w:spacing w:line="240" w:lineRule="auto"/>
        <w:rPr>
          <w:rFonts w:ascii="Calibri" w:eastAsia="Calibri" w:hAnsi="Calibri" w:cs="Calibri"/>
        </w:rPr>
      </w:pPr>
    </w:p>
    <w:p w14:paraId="1C4AED2E" w14:textId="77777777" w:rsidR="006B113F" w:rsidRDefault="006B113F">
      <w:pPr>
        <w:widowControl w:val="0"/>
        <w:tabs>
          <w:tab w:val="left" w:pos="461"/>
        </w:tabs>
        <w:spacing w:line="240" w:lineRule="auto"/>
        <w:rPr>
          <w:rFonts w:ascii="Calibri" w:eastAsia="Calibri" w:hAnsi="Calibri" w:cs="Calibri"/>
        </w:rPr>
      </w:pPr>
    </w:p>
    <w:p w14:paraId="0179D109" w14:textId="77777777" w:rsidR="006B113F" w:rsidRDefault="006B113F">
      <w:pPr>
        <w:widowControl w:val="0"/>
        <w:tabs>
          <w:tab w:val="left" w:pos="461"/>
        </w:tabs>
        <w:spacing w:line="240" w:lineRule="auto"/>
        <w:rPr>
          <w:rFonts w:ascii="Calibri" w:eastAsia="Calibri" w:hAnsi="Calibri" w:cs="Calibri"/>
        </w:rPr>
      </w:pPr>
    </w:p>
    <w:p w14:paraId="395504A6" w14:textId="77777777" w:rsidR="006B113F" w:rsidRDefault="006B113F">
      <w:pPr>
        <w:pStyle w:val="berschrift3"/>
        <w:keepNext w:val="0"/>
        <w:keepLines w:val="0"/>
        <w:widowControl w:val="0"/>
        <w:spacing w:before="0" w:after="0" w:line="240" w:lineRule="auto"/>
        <w:rPr>
          <w:rFonts w:ascii="Calibri" w:eastAsia="Calibri" w:hAnsi="Calibri" w:cs="Calibri"/>
          <w:b/>
          <w:color w:val="000000"/>
          <w:sz w:val="22"/>
          <w:szCs w:val="22"/>
        </w:rPr>
      </w:pPr>
    </w:p>
    <w:p w14:paraId="0DA0233F" w14:textId="77777777" w:rsidR="006B113F" w:rsidRDefault="00000000">
      <w:pPr>
        <w:spacing w:line="240" w:lineRule="auto"/>
        <w:rPr>
          <w:rFonts w:ascii="Calibri" w:eastAsia="Calibri" w:hAnsi="Calibri" w:cs="Calibri"/>
          <w:b/>
          <w:color w:val="000000"/>
        </w:rPr>
      </w:pPr>
      <w:r>
        <w:rPr>
          <w:rFonts w:ascii="Calibri" w:eastAsia="Calibri" w:hAnsi="Calibri" w:cs="Calibri"/>
          <w:b/>
          <w:color w:val="000000"/>
        </w:rPr>
        <w:br w:type="page" w:clear="all"/>
      </w:r>
    </w:p>
    <w:p w14:paraId="5374E16E" w14:textId="77777777" w:rsidR="006B113F" w:rsidRDefault="00000000">
      <w:pPr>
        <w:pStyle w:val="berschrift3"/>
        <w:keepNext w:val="0"/>
        <w:keepLines w:val="0"/>
        <w:widowControl w:val="0"/>
        <w:spacing w:before="0" w:after="0" w:line="240" w:lineRule="auto"/>
        <w:ind w:left="820" w:hanging="820"/>
        <w:rPr>
          <w:rFonts w:ascii="Calibri" w:eastAsia="Calibri" w:hAnsi="Calibri" w:cs="Calibri"/>
          <w:b/>
          <w:color w:val="000000"/>
          <w:sz w:val="22"/>
          <w:szCs w:val="22"/>
        </w:rPr>
      </w:pPr>
      <w:bookmarkStart w:id="144" w:name="_Toc141280005"/>
      <w:r>
        <w:rPr>
          <w:rFonts w:ascii="Calibri" w:eastAsia="Calibri" w:hAnsi="Calibri" w:cs="Calibri"/>
          <w:b/>
          <w:color w:val="000000"/>
          <w:sz w:val="22"/>
          <w:szCs w:val="22"/>
        </w:rPr>
        <w:lastRenderedPageBreak/>
        <w:t>Signature page Erasmus University Rotterdam</w:t>
      </w:r>
      <w:bookmarkEnd w:id="144"/>
    </w:p>
    <w:p w14:paraId="45F925FB" w14:textId="77777777" w:rsidR="006B113F" w:rsidRDefault="00000000">
      <w:pPr>
        <w:widowControl w:val="0"/>
        <w:spacing w:line="240" w:lineRule="auto"/>
        <w:ind w:right="62"/>
        <w:rPr>
          <w:rFonts w:ascii="Calibri" w:eastAsia="Calibri" w:hAnsi="Calibri" w:cs="Calibri"/>
        </w:rPr>
      </w:pPr>
      <w:r>
        <w:rPr>
          <w:rFonts w:ascii="Calibri" w:eastAsia="Calibri" w:hAnsi="Calibri" w:cs="Calibri"/>
        </w:rPr>
        <w:t xml:space="preserve">of the </w:t>
      </w:r>
    </w:p>
    <w:p w14:paraId="0232F30B" w14:textId="77777777" w:rsidR="006B113F" w:rsidRDefault="00000000">
      <w:pPr>
        <w:widowControl w:val="0"/>
        <w:spacing w:line="240" w:lineRule="auto"/>
        <w:ind w:right="62"/>
        <w:rPr>
          <w:rFonts w:ascii="Calibri" w:eastAsia="Calibri" w:hAnsi="Calibri" w:cs="Calibri"/>
          <w:b/>
          <w:color w:val="003560"/>
        </w:rPr>
      </w:pPr>
      <w:r>
        <w:rPr>
          <w:rFonts w:ascii="Calibri" w:eastAsia="Calibri" w:hAnsi="Calibri" w:cs="Calibri"/>
          <w:b/>
          <w:color w:val="003560"/>
        </w:rPr>
        <w:t>Partnership Agreement</w:t>
      </w:r>
    </w:p>
    <w:p w14:paraId="77A28CD6" w14:textId="77777777" w:rsidR="006B113F" w:rsidRDefault="00000000">
      <w:pPr>
        <w:widowControl w:val="0"/>
        <w:spacing w:line="240" w:lineRule="auto"/>
        <w:ind w:left="358" w:hanging="360"/>
        <w:rPr>
          <w:rFonts w:ascii="Calibri" w:eastAsia="Calibri" w:hAnsi="Calibri" w:cs="Calibri"/>
        </w:rPr>
      </w:pPr>
      <w:r>
        <w:rPr>
          <w:rFonts w:ascii="Calibri" w:eastAsia="Calibri" w:hAnsi="Calibri" w:cs="Calibri"/>
        </w:rPr>
        <w:t xml:space="preserve">for the Establishment </w:t>
      </w:r>
    </w:p>
    <w:p w14:paraId="3201F584" w14:textId="77777777" w:rsidR="006B113F" w:rsidRDefault="00000000">
      <w:pPr>
        <w:widowControl w:val="0"/>
        <w:spacing w:line="240" w:lineRule="auto"/>
        <w:ind w:left="358" w:hanging="360"/>
        <w:rPr>
          <w:rFonts w:ascii="Calibri" w:eastAsia="Calibri" w:hAnsi="Calibri" w:cs="Calibri"/>
        </w:rPr>
      </w:pPr>
      <w:r>
        <w:rPr>
          <w:rFonts w:ascii="Calibri" w:eastAsia="Calibri" w:hAnsi="Calibri" w:cs="Calibri"/>
        </w:rPr>
        <w:t xml:space="preserve">of a </w:t>
      </w:r>
    </w:p>
    <w:p w14:paraId="1034989B" w14:textId="77777777" w:rsidR="006B113F" w:rsidRDefault="00000000">
      <w:pPr>
        <w:widowControl w:val="0"/>
        <w:spacing w:line="240" w:lineRule="auto"/>
        <w:ind w:left="358" w:hanging="360"/>
        <w:rPr>
          <w:rFonts w:ascii="Calibri" w:eastAsia="Calibri" w:hAnsi="Calibri" w:cs="Calibri"/>
        </w:rPr>
      </w:pPr>
      <w:r>
        <w:rPr>
          <w:rFonts w:ascii="Calibri" w:eastAsia="Calibri" w:hAnsi="Calibri" w:cs="Calibri"/>
        </w:rPr>
        <w:t xml:space="preserve">Joint Master Degree Programme in </w:t>
      </w:r>
    </w:p>
    <w:p w14:paraId="4CCF2901" w14:textId="10B98A76" w:rsidR="006B113F" w:rsidRDefault="00AC772B">
      <w:pPr>
        <w:widowControl w:val="0"/>
        <w:spacing w:line="240" w:lineRule="auto"/>
        <w:rPr>
          <w:rFonts w:ascii="Calibri" w:eastAsia="Calibri" w:hAnsi="Calibri" w:cs="Calibri"/>
          <w:b/>
          <w:color w:val="92D050"/>
        </w:rPr>
      </w:pPr>
      <w:r>
        <w:rPr>
          <w:rFonts w:ascii="Calibri" w:eastAsia="Calibri" w:hAnsi="Calibri" w:cs="Calibri"/>
          <w:b/>
          <w:color w:val="92D050"/>
        </w:rPr>
        <w:t>xxx</w:t>
      </w:r>
      <w:r w:rsidR="00000000">
        <w:rPr>
          <w:rFonts w:ascii="Calibri" w:eastAsia="Calibri" w:hAnsi="Calibri" w:cs="Calibri"/>
          <w:b/>
          <w:color w:val="92D050"/>
        </w:rPr>
        <w:t xml:space="preserve"> (</w:t>
      </w:r>
      <w:r w:rsidR="00B270F7">
        <w:rPr>
          <w:rFonts w:ascii="Calibri" w:eastAsia="Calibri" w:hAnsi="Calibri" w:cs="Calibri"/>
          <w:b/>
          <w:color w:val="92D050"/>
        </w:rPr>
        <w:t>XX</w:t>
      </w:r>
      <w:r w:rsidR="00000000">
        <w:rPr>
          <w:rFonts w:ascii="Calibri" w:eastAsia="Calibri" w:hAnsi="Calibri" w:cs="Calibri"/>
          <w:b/>
          <w:color w:val="92D050"/>
        </w:rPr>
        <w:t>),</w:t>
      </w:r>
    </w:p>
    <w:p w14:paraId="4264FC21"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372965FD"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Ruhr-Universität Bochum,</w:t>
      </w:r>
    </w:p>
    <w:p w14:paraId="4A3A793F"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 xml:space="preserve">University College Cork, </w:t>
      </w:r>
    </w:p>
    <w:p w14:paraId="404A33AA" w14:textId="77777777" w:rsidR="006B113F" w:rsidRDefault="00000000">
      <w:pPr>
        <w:widowControl w:val="0"/>
        <w:tabs>
          <w:tab w:val="left" w:pos="818"/>
        </w:tabs>
        <w:spacing w:line="240" w:lineRule="auto"/>
        <w:jc w:val="both"/>
        <w:rPr>
          <w:rFonts w:ascii="Calibri" w:eastAsia="Calibri" w:hAnsi="Calibri" w:cs="Calibri"/>
          <w:lang w:val="eu-ES"/>
        </w:rPr>
      </w:pPr>
      <w:r>
        <w:rPr>
          <w:rFonts w:ascii="Calibri" w:eastAsia="Calibri" w:hAnsi="Calibri" w:cs="Calibri"/>
          <w:lang w:val="eu-ES"/>
        </w:rPr>
        <w:t xml:space="preserve">University of Deusto, </w:t>
      </w:r>
    </w:p>
    <w:p w14:paraId="79ACC90F"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 xml:space="preserve">Erasmus University Rotterdam, </w:t>
      </w:r>
    </w:p>
    <w:p w14:paraId="74AA4F83"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 xml:space="preserve">Koç University, </w:t>
      </w:r>
    </w:p>
    <w:p w14:paraId="44B95996"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Université de Liège,</w:t>
      </w:r>
    </w:p>
    <w:p w14:paraId="15AEB938"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University of Oulu,</w:t>
      </w:r>
    </w:p>
    <w:p w14:paraId="6B045822" w14:textId="77777777" w:rsidR="006B113F" w:rsidRDefault="00000000">
      <w:pPr>
        <w:widowControl w:val="0"/>
        <w:tabs>
          <w:tab w:val="left" w:pos="818"/>
        </w:tabs>
        <w:spacing w:line="240" w:lineRule="auto"/>
        <w:jc w:val="both"/>
        <w:rPr>
          <w:rFonts w:ascii="Calibri" w:eastAsia="Calibri" w:hAnsi="Calibri" w:cs="Calibri"/>
        </w:rPr>
      </w:pPr>
      <w:r>
        <w:rPr>
          <w:rFonts w:ascii="Calibri" w:eastAsia="Calibri" w:hAnsi="Calibri" w:cs="Calibri"/>
        </w:rPr>
        <w:t>University of Zagreb</w:t>
      </w:r>
    </w:p>
    <w:p w14:paraId="20B5F26F" w14:textId="77777777" w:rsidR="006B113F" w:rsidRDefault="006B113F">
      <w:pPr>
        <w:widowControl w:val="0"/>
        <w:tabs>
          <w:tab w:val="left" w:pos="818"/>
        </w:tabs>
        <w:spacing w:line="240" w:lineRule="auto"/>
        <w:jc w:val="both"/>
        <w:rPr>
          <w:rFonts w:ascii="Calibri" w:eastAsia="Calibri" w:hAnsi="Calibri" w:cs="Calibri"/>
        </w:rPr>
      </w:pPr>
    </w:p>
    <w:p w14:paraId="7F225D51" w14:textId="77777777" w:rsidR="006B113F" w:rsidRDefault="006B113F">
      <w:pPr>
        <w:widowControl w:val="0"/>
        <w:tabs>
          <w:tab w:val="left" w:pos="818"/>
        </w:tabs>
        <w:spacing w:line="240" w:lineRule="auto"/>
        <w:jc w:val="both"/>
        <w:rPr>
          <w:rFonts w:ascii="Calibri" w:eastAsia="Calibri" w:hAnsi="Calibri" w:cs="Calibri"/>
        </w:rPr>
      </w:pPr>
    </w:p>
    <w:p w14:paraId="6462FA30" w14:textId="77777777" w:rsidR="006B113F" w:rsidRDefault="006B113F">
      <w:pPr>
        <w:widowControl w:val="0"/>
        <w:tabs>
          <w:tab w:val="left" w:pos="818"/>
        </w:tabs>
        <w:spacing w:line="240" w:lineRule="auto"/>
        <w:jc w:val="both"/>
        <w:rPr>
          <w:rFonts w:ascii="Calibri" w:eastAsia="Calibri" w:hAnsi="Calibri" w:cs="Calibri"/>
        </w:rPr>
      </w:pPr>
    </w:p>
    <w:p w14:paraId="4424F6C1" w14:textId="77777777" w:rsidR="006B113F" w:rsidRDefault="00000000">
      <w:pPr>
        <w:widowControl w:val="0"/>
        <w:spacing w:line="240" w:lineRule="auto"/>
        <w:ind w:right="62"/>
        <w:jc w:val="both"/>
        <w:rPr>
          <w:rFonts w:ascii="Calibri" w:eastAsia="Calibri" w:hAnsi="Calibri" w:cs="Calibri"/>
        </w:rPr>
      </w:pPr>
      <w:r>
        <w:rPr>
          <w:rFonts w:ascii="Calibri" w:eastAsia="Calibri" w:hAnsi="Calibri" w:cs="Calibri"/>
        </w:rPr>
        <w:t>Herewith,</w:t>
      </w:r>
    </w:p>
    <w:p w14:paraId="591B127E" w14:textId="77777777" w:rsidR="006B113F" w:rsidRDefault="006B113F">
      <w:pPr>
        <w:widowControl w:val="0"/>
        <w:spacing w:line="240" w:lineRule="auto"/>
        <w:ind w:right="62"/>
        <w:jc w:val="both"/>
        <w:rPr>
          <w:rFonts w:ascii="Calibri" w:eastAsia="Calibri" w:hAnsi="Calibri" w:cs="Calibri"/>
        </w:rPr>
      </w:pPr>
    </w:p>
    <w:p w14:paraId="7EA15771" w14:textId="77777777" w:rsidR="006B113F" w:rsidRDefault="00000000">
      <w:pPr>
        <w:widowControl w:val="0"/>
        <w:spacing w:line="240" w:lineRule="auto"/>
        <w:jc w:val="both"/>
        <w:rPr>
          <w:rFonts w:ascii="Calibri" w:eastAsia="Calibri" w:hAnsi="Calibri" w:cs="Calibri"/>
          <w:b/>
        </w:rPr>
      </w:pPr>
      <w:r>
        <w:rPr>
          <w:rFonts w:ascii="Calibri" w:eastAsia="Calibri" w:hAnsi="Calibri" w:cs="Calibri"/>
          <w:b/>
        </w:rPr>
        <w:t>Erasmus University Rotterdam,</w:t>
      </w:r>
    </w:p>
    <w:p w14:paraId="0EA48AEE" w14:textId="390178E1" w:rsidR="006B113F" w:rsidRDefault="00000000">
      <w:pPr>
        <w:widowControl w:val="0"/>
        <w:spacing w:line="240" w:lineRule="auto"/>
        <w:jc w:val="both"/>
        <w:rPr>
          <w:rFonts w:ascii="Calibri" w:eastAsia="Calibri" w:hAnsi="Calibri" w:cs="Calibri"/>
        </w:rPr>
      </w:pPr>
      <w:r>
        <w:rPr>
          <w:rFonts w:ascii="Calibri" w:eastAsia="Calibri" w:hAnsi="Calibri" w:cs="Calibri"/>
        </w:rPr>
        <w:t xml:space="preserve">a legal entity governed by public law with registered offices at Rotterdam, the Netherlands, registered at the Netherlands Chambers of Commerce under number 24495550, with premises at Burgemeester Oudlaan 50, 3062 PA Rotterdam, for the purpose of this Agreement lawfully represented by </w:t>
      </w:r>
      <w:r>
        <w:rPr>
          <w:rFonts w:ascii="Calibri" w:eastAsia="Calibri" w:hAnsi="Calibri" w:cs="Calibri"/>
          <w:b/>
          <w:bCs/>
        </w:rPr>
        <w:t>Prof. dr Brinksma, Chair of the Executive Board</w:t>
      </w:r>
      <w:r>
        <w:rPr>
          <w:rFonts w:ascii="Calibri" w:eastAsia="Calibri" w:hAnsi="Calibri" w:cs="Calibri"/>
        </w:rPr>
        <w:t>, hereby consents to become a Party to the Partnership Agreement for the Establishment of a Joint Master Degree Programme in and accepts in accordance with the provisions of the aforementioned Partnership Agreement all the rights and obligations of a Party.</w:t>
      </w:r>
    </w:p>
    <w:p w14:paraId="5972901F" w14:textId="77777777" w:rsidR="006B113F" w:rsidRDefault="006B113F">
      <w:pPr>
        <w:widowControl w:val="0"/>
        <w:spacing w:line="240" w:lineRule="auto"/>
        <w:jc w:val="both"/>
        <w:rPr>
          <w:rFonts w:ascii="Calibri" w:eastAsia="Calibri" w:hAnsi="Calibri" w:cs="Calibri"/>
          <w:b/>
        </w:rPr>
      </w:pPr>
    </w:p>
    <w:p w14:paraId="1B0FCFED" w14:textId="77777777" w:rsidR="006B113F" w:rsidRDefault="006B113F">
      <w:pPr>
        <w:widowControl w:val="0"/>
        <w:spacing w:line="240" w:lineRule="auto"/>
        <w:jc w:val="both"/>
        <w:rPr>
          <w:rFonts w:ascii="Calibri" w:eastAsia="Calibri" w:hAnsi="Calibri" w:cs="Calibri"/>
          <w:b/>
        </w:rPr>
      </w:pPr>
    </w:p>
    <w:p w14:paraId="48A888B2" w14:textId="77777777" w:rsidR="006B113F" w:rsidRDefault="00000000">
      <w:pPr>
        <w:widowControl w:val="0"/>
        <w:spacing w:line="240" w:lineRule="auto"/>
        <w:jc w:val="both"/>
        <w:rPr>
          <w:rFonts w:ascii="Calibri" w:eastAsia="Calibri" w:hAnsi="Calibri" w:cs="Calibri"/>
        </w:rPr>
      </w:pPr>
      <w:r>
        <w:rPr>
          <w:rFonts w:ascii="Calibri" w:eastAsia="Calibri" w:hAnsi="Calibri" w:cs="Calibri"/>
        </w:rPr>
        <w:t>Date:</w:t>
      </w:r>
    </w:p>
    <w:p w14:paraId="0490E717" w14:textId="77777777" w:rsidR="006B113F" w:rsidRDefault="006B113F">
      <w:pPr>
        <w:widowControl w:val="0"/>
        <w:spacing w:line="240" w:lineRule="auto"/>
        <w:jc w:val="both"/>
        <w:rPr>
          <w:rFonts w:ascii="Calibri" w:eastAsia="Calibri" w:hAnsi="Calibri" w:cs="Calibri"/>
        </w:rPr>
      </w:pPr>
    </w:p>
    <w:p w14:paraId="45FE0957" w14:textId="77777777" w:rsidR="006B113F" w:rsidRDefault="00000000">
      <w:pPr>
        <w:widowControl w:val="0"/>
        <w:spacing w:line="240" w:lineRule="auto"/>
        <w:jc w:val="both"/>
        <w:rPr>
          <w:rFonts w:ascii="Calibri" w:eastAsia="Calibri" w:hAnsi="Calibri" w:cs="Calibri"/>
        </w:rPr>
      </w:pPr>
      <w:r>
        <w:rPr>
          <w:rFonts w:ascii="Calibri" w:eastAsia="Calibri" w:hAnsi="Calibri" w:cs="Calibri"/>
        </w:rPr>
        <w:t>Signature of legally authorised representative:</w:t>
      </w:r>
    </w:p>
    <w:p w14:paraId="3DB919FC" w14:textId="77777777" w:rsidR="006B113F" w:rsidRDefault="006B113F">
      <w:pPr>
        <w:widowControl w:val="0"/>
        <w:spacing w:line="240" w:lineRule="auto"/>
        <w:jc w:val="both"/>
        <w:rPr>
          <w:rFonts w:ascii="Calibri" w:eastAsia="Calibri" w:hAnsi="Calibri" w:cs="Calibri"/>
        </w:rPr>
      </w:pPr>
    </w:p>
    <w:p w14:paraId="0126A80D" w14:textId="77777777" w:rsidR="006B113F" w:rsidRDefault="006B113F">
      <w:pPr>
        <w:widowControl w:val="0"/>
        <w:spacing w:line="240" w:lineRule="auto"/>
        <w:jc w:val="both"/>
        <w:rPr>
          <w:rFonts w:ascii="Calibri" w:eastAsia="Calibri" w:hAnsi="Calibri" w:cs="Calibri"/>
        </w:rPr>
      </w:pPr>
    </w:p>
    <w:p w14:paraId="4309A37C" w14:textId="77777777" w:rsidR="006B113F" w:rsidRDefault="006B113F">
      <w:pPr>
        <w:widowControl w:val="0"/>
        <w:spacing w:line="240" w:lineRule="auto"/>
        <w:jc w:val="both"/>
        <w:rPr>
          <w:rFonts w:ascii="Calibri" w:eastAsia="Calibri" w:hAnsi="Calibri" w:cs="Calibri"/>
        </w:rPr>
      </w:pPr>
    </w:p>
    <w:p w14:paraId="63D19EB1" w14:textId="77777777" w:rsidR="006B113F" w:rsidRDefault="006B113F">
      <w:pPr>
        <w:widowControl w:val="0"/>
        <w:spacing w:line="240" w:lineRule="auto"/>
        <w:jc w:val="both"/>
        <w:rPr>
          <w:rFonts w:ascii="Calibri" w:eastAsia="Calibri" w:hAnsi="Calibri" w:cs="Calibri"/>
        </w:rPr>
      </w:pPr>
    </w:p>
    <w:p w14:paraId="7BC1DF03" w14:textId="77777777" w:rsidR="006B113F" w:rsidRDefault="00000000">
      <w:pPr>
        <w:spacing w:line="240" w:lineRule="auto"/>
        <w:rPr>
          <w:rFonts w:ascii="Calibri" w:eastAsia="Calibri" w:hAnsi="Calibri" w:cs="Calibri"/>
        </w:rPr>
      </w:pPr>
      <w:r>
        <w:rPr>
          <w:rFonts w:ascii="Calibri" w:eastAsia="Calibri" w:hAnsi="Calibri" w:cs="Calibri"/>
        </w:rPr>
        <w:t xml:space="preserve">Stamp of the organisation: </w:t>
      </w:r>
    </w:p>
    <w:p w14:paraId="579579D0" w14:textId="77777777" w:rsidR="006B113F" w:rsidRDefault="00000000">
      <w:pPr>
        <w:widowControl w:val="0"/>
        <w:spacing w:line="240" w:lineRule="auto"/>
        <w:rPr>
          <w:rFonts w:ascii="Calibri" w:eastAsia="Calibri" w:hAnsi="Calibri" w:cs="Calibri"/>
          <w:b/>
        </w:rPr>
      </w:pPr>
      <w:r>
        <w:br w:type="page" w:clear="all"/>
      </w:r>
    </w:p>
    <w:p w14:paraId="1C6F06FE" w14:textId="77777777" w:rsidR="006B113F" w:rsidRDefault="00000000">
      <w:pPr>
        <w:pStyle w:val="berschrift3"/>
        <w:keepNext w:val="0"/>
        <w:keepLines w:val="0"/>
        <w:widowControl w:val="0"/>
        <w:spacing w:before="0" w:after="0" w:line="240" w:lineRule="auto"/>
        <w:rPr>
          <w:rFonts w:ascii="Calibri" w:eastAsia="Calibri" w:hAnsi="Calibri" w:cs="Calibri"/>
          <w:b/>
          <w:color w:val="000000"/>
          <w:sz w:val="22"/>
          <w:szCs w:val="22"/>
        </w:rPr>
      </w:pPr>
      <w:bookmarkStart w:id="145" w:name="_Toc141280006"/>
      <w:r>
        <w:rPr>
          <w:rFonts w:ascii="Calibri" w:eastAsia="Calibri" w:hAnsi="Calibri" w:cs="Calibri"/>
          <w:b/>
          <w:color w:val="000000"/>
          <w:sz w:val="22"/>
          <w:szCs w:val="22"/>
        </w:rPr>
        <w:lastRenderedPageBreak/>
        <w:t>Signature page Koç University</w:t>
      </w:r>
      <w:bookmarkEnd w:id="145"/>
    </w:p>
    <w:p w14:paraId="6A6BFD5C"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the </w:t>
      </w:r>
    </w:p>
    <w:p w14:paraId="4BE3B060" w14:textId="77777777" w:rsidR="006B113F" w:rsidRDefault="00000000">
      <w:pPr>
        <w:widowControl w:val="0"/>
        <w:spacing w:line="240" w:lineRule="auto"/>
        <w:rPr>
          <w:rFonts w:ascii="Calibri" w:eastAsia="Calibri" w:hAnsi="Calibri" w:cs="Calibri"/>
          <w:b/>
          <w:color w:val="003560"/>
        </w:rPr>
      </w:pPr>
      <w:r>
        <w:rPr>
          <w:rFonts w:ascii="Calibri" w:eastAsia="Calibri" w:hAnsi="Calibri" w:cs="Calibri"/>
          <w:b/>
          <w:color w:val="003560"/>
        </w:rPr>
        <w:t>Partnership Agreement</w:t>
      </w:r>
    </w:p>
    <w:p w14:paraId="78F239AC"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for the Establishment </w:t>
      </w:r>
    </w:p>
    <w:p w14:paraId="7F9B83C6"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a </w:t>
      </w:r>
    </w:p>
    <w:p w14:paraId="0C1B52B8"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Joint Master Degree Programme in </w:t>
      </w:r>
    </w:p>
    <w:p w14:paraId="0F412634" w14:textId="0887296E" w:rsidR="006B113F" w:rsidRDefault="00000000">
      <w:pPr>
        <w:widowControl w:val="0"/>
        <w:spacing w:line="240" w:lineRule="auto"/>
        <w:rPr>
          <w:rFonts w:ascii="Calibri" w:eastAsia="Calibri" w:hAnsi="Calibri" w:cs="Calibri"/>
          <w:b/>
          <w:color w:val="92D050"/>
        </w:rPr>
      </w:pPr>
      <w:r>
        <w:rPr>
          <w:rFonts w:ascii="Calibri" w:eastAsia="Calibri" w:hAnsi="Calibri" w:cs="Calibri"/>
          <w:b/>
          <w:color w:val="92D050"/>
        </w:rPr>
        <w:t xml:space="preserve"> (</w:t>
      </w:r>
      <w:r w:rsidR="00B270F7">
        <w:rPr>
          <w:rFonts w:ascii="Calibri" w:eastAsia="Calibri" w:hAnsi="Calibri" w:cs="Calibri"/>
          <w:b/>
          <w:color w:val="92D050"/>
        </w:rPr>
        <w:t>XX</w:t>
      </w:r>
      <w:r>
        <w:rPr>
          <w:rFonts w:ascii="Calibri" w:eastAsia="Calibri" w:hAnsi="Calibri" w:cs="Calibri"/>
          <w:b/>
          <w:color w:val="92D050"/>
        </w:rPr>
        <w:t>),</w:t>
      </w:r>
    </w:p>
    <w:p w14:paraId="516345B2"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6875AF54"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Ruhr-Universität Bochum,</w:t>
      </w:r>
    </w:p>
    <w:p w14:paraId="05D4186A" w14:textId="77777777" w:rsidR="006B113F" w:rsidRDefault="00000000">
      <w:pPr>
        <w:widowControl w:val="0"/>
        <w:tabs>
          <w:tab w:val="left" w:pos="818"/>
        </w:tabs>
        <w:spacing w:line="240" w:lineRule="auto"/>
        <w:rPr>
          <w:rFonts w:ascii="Calibri" w:eastAsia="Calibri" w:hAnsi="Calibri" w:cs="Calibri"/>
        </w:rPr>
      </w:pPr>
      <w:hyperlink r:id="rId39" w:tooltip="https://unic.eu/en/universities/university-college-cork" w:history="1">
        <w:r>
          <w:rPr>
            <w:rFonts w:ascii="Calibri" w:eastAsia="Calibri" w:hAnsi="Calibri" w:cs="Calibri"/>
          </w:rPr>
          <w:t>University College Cork</w:t>
        </w:r>
      </w:hyperlink>
      <w:r>
        <w:rPr>
          <w:rFonts w:ascii="Calibri" w:eastAsia="Calibri" w:hAnsi="Calibri" w:cs="Calibri"/>
        </w:rPr>
        <w:t xml:space="preserve">, </w:t>
      </w:r>
    </w:p>
    <w:p w14:paraId="34B94764" w14:textId="77777777" w:rsidR="006B113F" w:rsidRDefault="00000000">
      <w:pPr>
        <w:widowControl w:val="0"/>
        <w:tabs>
          <w:tab w:val="left" w:pos="818"/>
        </w:tabs>
        <w:spacing w:line="240" w:lineRule="auto"/>
        <w:rPr>
          <w:rFonts w:ascii="Calibri" w:eastAsia="Calibri" w:hAnsi="Calibri" w:cs="Calibri"/>
          <w:lang w:val="eu-ES"/>
        </w:rPr>
      </w:pPr>
      <w:r>
        <w:rPr>
          <w:rFonts w:ascii="Calibri" w:eastAsia="Calibri" w:hAnsi="Calibri" w:cs="Calibri"/>
          <w:lang w:val="eu-ES"/>
        </w:rPr>
        <w:t xml:space="preserve">University of Deusto, </w:t>
      </w:r>
    </w:p>
    <w:p w14:paraId="42F49999" w14:textId="77777777" w:rsidR="006B113F" w:rsidRDefault="00000000">
      <w:pPr>
        <w:widowControl w:val="0"/>
        <w:tabs>
          <w:tab w:val="left" w:pos="818"/>
        </w:tabs>
        <w:spacing w:line="240" w:lineRule="auto"/>
        <w:rPr>
          <w:rFonts w:ascii="Calibri" w:eastAsia="Calibri" w:hAnsi="Calibri" w:cs="Calibri"/>
        </w:rPr>
      </w:pPr>
      <w:hyperlink r:id="rId40" w:tooltip="https://unic.eu/en/universities/erasmus-university" w:history="1">
        <w:r>
          <w:rPr>
            <w:rFonts w:ascii="Calibri" w:eastAsia="Calibri" w:hAnsi="Calibri" w:cs="Calibri"/>
          </w:rPr>
          <w:t>Erasmus University</w:t>
        </w:r>
      </w:hyperlink>
      <w:r>
        <w:rPr>
          <w:rFonts w:ascii="Calibri" w:eastAsia="Calibri" w:hAnsi="Calibri" w:cs="Calibri"/>
        </w:rPr>
        <w:t xml:space="preserve"> Rotterdam, </w:t>
      </w:r>
    </w:p>
    <w:p w14:paraId="3CB56D5B"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Koç University, </w:t>
      </w:r>
    </w:p>
    <w:p w14:paraId="17310FAE" w14:textId="77777777" w:rsidR="006B113F" w:rsidRDefault="00000000">
      <w:pPr>
        <w:widowControl w:val="0"/>
        <w:tabs>
          <w:tab w:val="left" w:pos="818"/>
        </w:tabs>
        <w:spacing w:line="240" w:lineRule="auto"/>
        <w:rPr>
          <w:rFonts w:ascii="Calibri" w:eastAsia="Calibri" w:hAnsi="Calibri" w:cs="Calibri"/>
        </w:rPr>
      </w:pPr>
      <w:hyperlink r:id="rId41" w:tooltip="https://unic.eu/en/universities/university-of-liege" w:history="1">
        <w:r>
          <w:rPr>
            <w:rFonts w:ascii="Calibri" w:eastAsia="Calibri" w:hAnsi="Calibri" w:cs="Calibri"/>
          </w:rPr>
          <w:t>Université de Liège</w:t>
        </w:r>
      </w:hyperlink>
      <w:r>
        <w:rPr>
          <w:rFonts w:ascii="Calibri" w:eastAsia="Calibri" w:hAnsi="Calibri" w:cs="Calibri"/>
        </w:rPr>
        <w:t>,</w:t>
      </w:r>
    </w:p>
    <w:p w14:paraId="503354F6" w14:textId="77777777" w:rsidR="006B113F" w:rsidRDefault="00000000">
      <w:pPr>
        <w:widowControl w:val="0"/>
        <w:tabs>
          <w:tab w:val="left" w:pos="818"/>
        </w:tabs>
        <w:spacing w:line="240" w:lineRule="auto"/>
        <w:rPr>
          <w:rFonts w:ascii="Calibri" w:eastAsia="Calibri" w:hAnsi="Calibri" w:cs="Calibri"/>
        </w:rPr>
      </w:pPr>
      <w:hyperlink r:id="rId42" w:tooltip="https://unic.eu/en/universities/university-of-oulu" w:history="1">
        <w:r>
          <w:rPr>
            <w:rFonts w:ascii="Calibri" w:eastAsia="Calibri" w:hAnsi="Calibri" w:cs="Calibri"/>
          </w:rPr>
          <w:t>University of Oulu</w:t>
        </w:r>
      </w:hyperlink>
      <w:r>
        <w:rPr>
          <w:rFonts w:ascii="Calibri" w:eastAsia="Calibri" w:hAnsi="Calibri" w:cs="Calibri"/>
        </w:rPr>
        <w:t>,</w:t>
      </w:r>
    </w:p>
    <w:p w14:paraId="5C4F3789" w14:textId="77777777" w:rsidR="006B113F" w:rsidRDefault="00000000">
      <w:pPr>
        <w:widowControl w:val="0"/>
        <w:tabs>
          <w:tab w:val="left" w:pos="818"/>
        </w:tabs>
        <w:spacing w:line="240" w:lineRule="auto"/>
        <w:rPr>
          <w:rFonts w:ascii="Calibri" w:eastAsia="Calibri" w:hAnsi="Calibri" w:cs="Calibri"/>
        </w:rPr>
      </w:pPr>
      <w:hyperlink r:id="rId43" w:tooltip="https://unic.eu/en/universities/university-of-zagreb" w:history="1">
        <w:r>
          <w:rPr>
            <w:rFonts w:ascii="Calibri" w:eastAsia="Calibri" w:hAnsi="Calibri" w:cs="Calibri"/>
          </w:rPr>
          <w:t>University of Zagreb</w:t>
        </w:r>
      </w:hyperlink>
    </w:p>
    <w:p w14:paraId="66125843" w14:textId="77777777" w:rsidR="006B113F" w:rsidRDefault="006B113F">
      <w:pPr>
        <w:widowControl w:val="0"/>
        <w:tabs>
          <w:tab w:val="left" w:pos="818"/>
        </w:tabs>
        <w:spacing w:line="240" w:lineRule="auto"/>
        <w:rPr>
          <w:rFonts w:ascii="Calibri" w:eastAsia="Calibri" w:hAnsi="Calibri" w:cs="Calibri"/>
        </w:rPr>
      </w:pPr>
    </w:p>
    <w:p w14:paraId="68D0E5D8" w14:textId="77777777" w:rsidR="006B113F" w:rsidRDefault="006B113F">
      <w:pPr>
        <w:widowControl w:val="0"/>
        <w:tabs>
          <w:tab w:val="left" w:pos="818"/>
        </w:tabs>
        <w:spacing w:line="240" w:lineRule="auto"/>
        <w:rPr>
          <w:rFonts w:ascii="Calibri" w:eastAsia="Calibri" w:hAnsi="Calibri" w:cs="Calibri"/>
        </w:rPr>
      </w:pPr>
    </w:p>
    <w:p w14:paraId="310E71B3" w14:textId="77777777" w:rsidR="006B113F" w:rsidRDefault="006B113F">
      <w:pPr>
        <w:widowControl w:val="0"/>
        <w:tabs>
          <w:tab w:val="left" w:pos="818"/>
        </w:tabs>
        <w:spacing w:line="240" w:lineRule="auto"/>
        <w:rPr>
          <w:rFonts w:ascii="Calibri" w:eastAsia="Calibri" w:hAnsi="Calibri" w:cs="Calibri"/>
        </w:rPr>
      </w:pPr>
    </w:p>
    <w:p w14:paraId="122CBEE4" w14:textId="77777777" w:rsidR="006B113F" w:rsidRDefault="00000000">
      <w:pPr>
        <w:widowControl w:val="0"/>
        <w:spacing w:line="240" w:lineRule="auto"/>
        <w:rPr>
          <w:rFonts w:ascii="Calibri" w:eastAsia="Calibri" w:hAnsi="Calibri" w:cs="Calibri"/>
        </w:rPr>
      </w:pPr>
      <w:r>
        <w:rPr>
          <w:rFonts w:ascii="Calibri" w:eastAsia="Calibri" w:hAnsi="Calibri" w:cs="Calibri"/>
        </w:rPr>
        <w:t>Herewith,</w:t>
      </w:r>
    </w:p>
    <w:p w14:paraId="59A3E2A7" w14:textId="77777777" w:rsidR="006B113F" w:rsidRDefault="006B113F">
      <w:pPr>
        <w:widowControl w:val="0"/>
        <w:spacing w:line="240" w:lineRule="auto"/>
        <w:rPr>
          <w:rFonts w:ascii="Calibri" w:eastAsia="Calibri" w:hAnsi="Calibri" w:cs="Calibri"/>
        </w:rPr>
      </w:pPr>
    </w:p>
    <w:p w14:paraId="7F3B18D9" w14:textId="77777777" w:rsidR="006B113F" w:rsidRDefault="00000000">
      <w:pPr>
        <w:widowControl w:val="0"/>
        <w:spacing w:line="240" w:lineRule="auto"/>
        <w:jc w:val="both"/>
        <w:rPr>
          <w:rFonts w:ascii="Calibri" w:eastAsia="Calibri" w:hAnsi="Calibri" w:cs="Calibri"/>
        </w:rPr>
      </w:pPr>
      <w:r>
        <w:rPr>
          <w:rFonts w:ascii="Calibri" w:eastAsia="Calibri" w:hAnsi="Calibri" w:cs="Calibri"/>
          <w:b/>
        </w:rPr>
        <w:t>Koç University</w:t>
      </w:r>
      <w:r>
        <w:rPr>
          <w:rFonts w:ascii="Calibri" w:eastAsia="Calibri" w:hAnsi="Calibri" w:cs="Calibri"/>
        </w:rPr>
        <w:t xml:space="preserve">, </w:t>
      </w:r>
    </w:p>
    <w:p w14:paraId="19354A86" w14:textId="47B00B16" w:rsidR="006B113F" w:rsidRDefault="00000000">
      <w:pPr>
        <w:widowControl w:val="0"/>
        <w:spacing w:line="240" w:lineRule="auto"/>
        <w:jc w:val="both"/>
        <w:rPr>
          <w:rFonts w:ascii="Calibri" w:eastAsia="Calibri" w:hAnsi="Calibri" w:cs="Calibri"/>
        </w:rPr>
      </w:pPr>
      <w:r>
        <w:rPr>
          <w:rFonts w:ascii="Calibri" w:eastAsia="Calibri" w:hAnsi="Calibri" w:cs="Calibri"/>
        </w:rPr>
        <w:t xml:space="preserve">represented for the purpose hereof by </w:t>
      </w:r>
      <w:commentRangeStart w:id="146"/>
      <w:r>
        <w:rPr>
          <w:rFonts w:ascii="Calibri" w:eastAsia="Calibri" w:hAnsi="Calibri" w:cs="Calibri"/>
          <w:b/>
        </w:rPr>
        <w:t>Prof. Dr. Zeynep Gürhan Canlı, Acting President and Vice President for Academic Affairs</w:t>
      </w:r>
      <w:commentRangeEnd w:id="146"/>
      <w:r>
        <w:commentReference w:id="146"/>
      </w:r>
      <w:r>
        <w:rPr>
          <w:rFonts w:ascii="Calibri" w:eastAsia="Calibri" w:hAnsi="Calibri" w:cs="Calibri"/>
          <w:b/>
        </w:rPr>
        <w:t>,</w:t>
      </w:r>
      <w:r>
        <w:rPr>
          <w:rFonts w:ascii="Calibri" w:eastAsia="Calibri" w:hAnsi="Calibri" w:cs="Calibri"/>
        </w:rPr>
        <w:t xml:space="preserve"> established in ISTANBUL, Türkiye, acting as its legal authorised representative, hereby consents to become a Party to the Partnership Agreement for the Establishment of a Joint Master Degree Programme in </w:t>
      </w:r>
      <w:r w:rsidR="00AC772B">
        <w:rPr>
          <w:rFonts w:ascii="Calibri" w:eastAsia="Calibri" w:hAnsi="Calibri" w:cs="Calibri"/>
        </w:rPr>
        <w:t>xx</w:t>
      </w:r>
      <w:r>
        <w:rPr>
          <w:rFonts w:ascii="Calibri" w:eastAsia="Calibri" w:hAnsi="Calibri" w:cs="Calibri"/>
        </w:rPr>
        <w:t xml:space="preserve"> and accepts in accordance with the provisions of the aforementioned Partnership Agreement all the rights and obligations of a Party.</w:t>
      </w:r>
    </w:p>
    <w:p w14:paraId="2EED7222" w14:textId="77777777" w:rsidR="006B113F" w:rsidRDefault="006B113F">
      <w:pPr>
        <w:widowControl w:val="0"/>
        <w:spacing w:line="240" w:lineRule="auto"/>
        <w:rPr>
          <w:rFonts w:ascii="Calibri" w:eastAsia="Calibri" w:hAnsi="Calibri" w:cs="Calibri"/>
        </w:rPr>
      </w:pPr>
    </w:p>
    <w:p w14:paraId="6640432A" w14:textId="77777777" w:rsidR="006B113F" w:rsidRDefault="006B113F">
      <w:pPr>
        <w:widowControl w:val="0"/>
        <w:spacing w:line="240" w:lineRule="auto"/>
        <w:rPr>
          <w:rFonts w:ascii="Calibri" w:eastAsia="Calibri" w:hAnsi="Calibri" w:cs="Calibri"/>
        </w:rPr>
      </w:pPr>
    </w:p>
    <w:p w14:paraId="4A5D80AB" w14:textId="77777777" w:rsidR="006B113F" w:rsidRDefault="00000000">
      <w:pPr>
        <w:widowControl w:val="0"/>
        <w:spacing w:line="240" w:lineRule="auto"/>
        <w:rPr>
          <w:rFonts w:ascii="Calibri" w:eastAsia="Calibri" w:hAnsi="Calibri" w:cs="Calibri"/>
        </w:rPr>
      </w:pPr>
      <w:r>
        <w:rPr>
          <w:rFonts w:ascii="Calibri" w:eastAsia="Calibri" w:hAnsi="Calibri" w:cs="Calibri"/>
        </w:rPr>
        <w:t>Date:</w:t>
      </w:r>
    </w:p>
    <w:p w14:paraId="001DF4DF" w14:textId="77777777" w:rsidR="006B113F" w:rsidRDefault="006B113F">
      <w:pPr>
        <w:widowControl w:val="0"/>
        <w:spacing w:line="240" w:lineRule="auto"/>
        <w:rPr>
          <w:rFonts w:ascii="Calibri" w:eastAsia="Calibri" w:hAnsi="Calibri" w:cs="Calibri"/>
          <w:sz w:val="19"/>
          <w:szCs w:val="19"/>
        </w:rPr>
      </w:pPr>
    </w:p>
    <w:p w14:paraId="1847ACD6" w14:textId="77777777" w:rsidR="006B113F" w:rsidRDefault="00000000">
      <w:pPr>
        <w:widowControl w:val="0"/>
        <w:spacing w:line="240" w:lineRule="auto"/>
        <w:rPr>
          <w:rFonts w:ascii="Calibri" w:eastAsia="Calibri" w:hAnsi="Calibri" w:cs="Calibri"/>
        </w:rPr>
      </w:pPr>
      <w:r>
        <w:rPr>
          <w:rFonts w:ascii="Calibri" w:eastAsia="Calibri" w:hAnsi="Calibri" w:cs="Calibri"/>
        </w:rPr>
        <w:t>Signature of legally authorised representative:</w:t>
      </w:r>
    </w:p>
    <w:p w14:paraId="10BE4C76" w14:textId="77777777" w:rsidR="006B113F" w:rsidRDefault="006B113F">
      <w:pPr>
        <w:widowControl w:val="0"/>
        <w:spacing w:line="240" w:lineRule="auto"/>
        <w:rPr>
          <w:rFonts w:ascii="Calibri" w:eastAsia="Calibri" w:hAnsi="Calibri" w:cs="Calibri"/>
        </w:rPr>
      </w:pPr>
    </w:p>
    <w:p w14:paraId="6F880DFB" w14:textId="77777777" w:rsidR="006B113F" w:rsidRDefault="006B113F">
      <w:pPr>
        <w:widowControl w:val="0"/>
        <w:spacing w:line="240" w:lineRule="auto"/>
        <w:rPr>
          <w:rFonts w:ascii="Calibri" w:eastAsia="Calibri" w:hAnsi="Calibri" w:cs="Calibri"/>
        </w:rPr>
      </w:pPr>
    </w:p>
    <w:p w14:paraId="518D54A5" w14:textId="77777777" w:rsidR="006B113F" w:rsidRDefault="006B113F">
      <w:pPr>
        <w:widowControl w:val="0"/>
        <w:spacing w:line="240" w:lineRule="auto"/>
        <w:rPr>
          <w:rFonts w:ascii="Calibri" w:eastAsia="Calibri" w:hAnsi="Calibri" w:cs="Calibri"/>
        </w:rPr>
      </w:pPr>
    </w:p>
    <w:p w14:paraId="35F510BD" w14:textId="77777777" w:rsidR="006B113F" w:rsidRDefault="006B113F">
      <w:pPr>
        <w:widowControl w:val="0"/>
        <w:spacing w:line="240" w:lineRule="auto"/>
        <w:rPr>
          <w:rFonts w:ascii="Calibri" w:eastAsia="Calibri" w:hAnsi="Calibri" w:cs="Calibri"/>
        </w:rPr>
      </w:pPr>
    </w:p>
    <w:p w14:paraId="158FF17D" w14:textId="77777777" w:rsidR="006B113F" w:rsidRDefault="00000000">
      <w:pPr>
        <w:widowControl w:val="0"/>
        <w:spacing w:line="240" w:lineRule="auto"/>
        <w:rPr>
          <w:rFonts w:ascii="Calibri" w:eastAsia="Calibri" w:hAnsi="Calibri" w:cs="Calibri"/>
        </w:rPr>
      </w:pPr>
      <w:r>
        <w:rPr>
          <w:rFonts w:ascii="Calibri" w:eastAsia="Calibri" w:hAnsi="Calibri" w:cs="Calibri"/>
        </w:rPr>
        <w:t>Stamp of the organisation:</w:t>
      </w:r>
    </w:p>
    <w:p w14:paraId="4E2FFF2F" w14:textId="77777777" w:rsidR="006B113F" w:rsidRDefault="006B113F">
      <w:pPr>
        <w:widowControl w:val="0"/>
        <w:spacing w:line="240" w:lineRule="auto"/>
        <w:rPr>
          <w:rFonts w:ascii="Calibri" w:eastAsia="Calibri" w:hAnsi="Calibri" w:cs="Calibri"/>
        </w:rPr>
      </w:pPr>
    </w:p>
    <w:p w14:paraId="225D7F73" w14:textId="77777777" w:rsidR="006B113F" w:rsidRDefault="006B113F">
      <w:pPr>
        <w:widowControl w:val="0"/>
        <w:tabs>
          <w:tab w:val="left" w:pos="461"/>
        </w:tabs>
        <w:spacing w:line="240" w:lineRule="auto"/>
        <w:rPr>
          <w:rFonts w:ascii="Calibri" w:eastAsia="Calibri" w:hAnsi="Calibri" w:cs="Calibri"/>
        </w:rPr>
      </w:pPr>
    </w:p>
    <w:p w14:paraId="77EF1C4A" w14:textId="77777777" w:rsidR="006B113F" w:rsidRDefault="006B113F">
      <w:pPr>
        <w:widowControl w:val="0"/>
        <w:tabs>
          <w:tab w:val="left" w:pos="461"/>
        </w:tabs>
        <w:spacing w:line="240" w:lineRule="auto"/>
        <w:rPr>
          <w:rFonts w:ascii="Calibri" w:eastAsia="Calibri" w:hAnsi="Calibri" w:cs="Calibri"/>
        </w:rPr>
      </w:pPr>
    </w:p>
    <w:p w14:paraId="2B1D47F5" w14:textId="77777777" w:rsidR="006B113F" w:rsidRDefault="00000000">
      <w:pPr>
        <w:widowControl w:val="0"/>
        <w:spacing w:line="240" w:lineRule="auto"/>
        <w:rPr>
          <w:rFonts w:ascii="Calibri" w:eastAsia="Calibri" w:hAnsi="Calibri" w:cs="Calibri"/>
          <w:b/>
        </w:rPr>
      </w:pPr>
      <w:r>
        <w:br w:type="page" w:clear="all"/>
      </w:r>
    </w:p>
    <w:p w14:paraId="1D5E4C43" w14:textId="77777777" w:rsidR="006B113F" w:rsidRDefault="00000000">
      <w:pPr>
        <w:pStyle w:val="berschrift3"/>
        <w:keepNext w:val="0"/>
        <w:keepLines w:val="0"/>
        <w:widowControl w:val="0"/>
        <w:spacing w:before="0" w:after="0" w:line="240" w:lineRule="auto"/>
        <w:rPr>
          <w:rFonts w:ascii="Calibri" w:eastAsia="Calibri" w:hAnsi="Calibri" w:cs="Calibri"/>
          <w:b/>
          <w:color w:val="000000"/>
          <w:sz w:val="22"/>
          <w:szCs w:val="22"/>
        </w:rPr>
      </w:pPr>
      <w:bookmarkStart w:id="147" w:name="_Toc141280007"/>
      <w:r>
        <w:rPr>
          <w:rFonts w:ascii="Calibri" w:eastAsia="Calibri" w:hAnsi="Calibri" w:cs="Calibri"/>
          <w:b/>
          <w:color w:val="000000"/>
          <w:sz w:val="22"/>
          <w:szCs w:val="22"/>
        </w:rPr>
        <w:lastRenderedPageBreak/>
        <w:t>Signature page Université de Liège</w:t>
      </w:r>
      <w:bookmarkEnd w:id="147"/>
    </w:p>
    <w:p w14:paraId="45A05A0A"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the </w:t>
      </w:r>
    </w:p>
    <w:p w14:paraId="33AB1836" w14:textId="77777777" w:rsidR="006B113F" w:rsidRDefault="00000000">
      <w:pPr>
        <w:widowControl w:val="0"/>
        <w:spacing w:line="240" w:lineRule="auto"/>
        <w:rPr>
          <w:rFonts w:ascii="Calibri" w:eastAsia="Calibri" w:hAnsi="Calibri" w:cs="Calibri"/>
          <w:b/>
          <w:color w:val="003560"/>
        </w:rPr>
      </w:pPr>
      <w:r>
        <w:rPr>
          <w:rFonts w:ascii="Calibri" w:eastAsia="Calibri" w:hAnsi="Calibri" w:cs="Calibri"/>
          <w:b/>
          <w:color w:val="003560"/>
        </w:rPr>
        <w:t>Partnership Agreement</w:t>
      </w:r>
    </w:p>
    <w:p w14:paraId="45CC9CA5"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for the Establishment </w:t>
      </w:r>
    </w:p>
    <w:p w14:paraId="55A2354A"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a </w:t>
      </w:r>
    </w:p>
    <w:p w14:paraId="4AE33F6F"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Joint Master Degree Programme in </w:t>
      </w:r>
    </w:p>
    <w:p w14:paraId="0B056037" w14:textId="47A61DCA" w:rsidR="006B113F" w:rsidRDefault="00000000">
      <w:pPr>
        <w:widowControl w:val="0"/>
        <w:spacing w:line="240" w:lineRule="auto"/>
        <w:rPr>
          <w:rFonts w:ascii="Calibri" w:eastAsia="Calibri" w:hAnsi="Calibri" w:cs="Calibri"/>
          <w:b/>
          <w:color w:val="92D050"/>
        </w:rPr>
      </w:pPr>
      <w:r>
        <w:rPr>
          <w:rFonts w:ascii="Calibri" w:eastAsia="Calibri" w:hAnsi="Calibri" w:cs="Calibri"/>
          <w:b/>
          <w:color w:val="92D050"/>
        </w:rPr>
        <w:t xml:space="preserve"> (</w:t>
      </w:r>
      <w:r w:rsidR="00B270F7">
        <w:rPr>
          <w:rFonts w:ascii="Calibri" w:eastAsia="Calibri" w:hAnsi="Calibri" w:cs="Calibri"/>
          <w:b/>
          <w:color w:val="92D050"/>
        </w:rPr>
        <w:t>XX</w:t>
      </w:r>
      <w:r>
        <w:rPr>
          <w:rFonts w:ascii="Calibri" w:eastAsia="Calibri" w:hAnsi="Calibri" w:cs="Calibri"/>
          <w:b/>
          <w:color w:val="92D050"/>
        </w:rPr>
        <w:t>),</w:t>
      </w:r>
    </w:p>
    <w:p w14:paraId="6848DE1E"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4E7E1152"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Ruhr-Universität Bochum,</w:t>
      </w:r>
    </w:p>
    <w:p w14:paraId="556B4A42"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University College Cork, </w:t>
      </w:r>
    </w:p>
    <w:p w14:paraId="100CAD28" w14:textId="77777777" w:rsidR="006B113F" w:rsidRDefault="00000000">
      <w:pPr>
        <w:widowControl w:val="0"/>
        <w:tabs>
          <w:tab w:val="left" w:pos="818"/>
        </w:tabs>
        <w:spacing w:line="240" w:lineRule="auto"/>
        <w:rPr>
          <w:rFonts w:ascii="Calibri" w:eastAsia="Calibri" w:hAnsi="Calibri" w:cs="Calibri"/>
          <w:lang w:val="eu-ES"/>
        </w:rPr>
      </w:pPr>
      <w:r>
        <w:rPr>
          <w:rFonts w:ascii="Calibri" w:eastAsia="Calibri" w:hAnsi="Calibri" w:cs="Calibri"/>
          <w:lang w:val="eu-ES"/>
        </w:rPr>
        <w:t xml:space="preserve">University of Deusto, </w:t>
      </w:r>
    </w:p>
    <w:p w14:paraId="515B8F94"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Erasmus University Rotterdam, </w:t>
      </w:r>
    </w:p>
    <w:p w14:paraId="409FF583"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Koç University, </w:t>
      </w:r>
    </w:p>
    <w:p w14:paraId="539A66C6"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Université de Liège,</w:t>
      </w:r>
    </w:p>
    <w:p w14:paraId="65659F02"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University of Oulu,</w:t>
      </w:r>
    </w:p>
    <w:p w14:paraId="0691EAD8"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University of Zagreb</w:t>
      </w:r>
    </w:p>
    <w:p w14:paraId="26EB0F27" w14:textId="77777777" w:rsidR="006B113F" w:rsidRDefault="006B113F">
      <w:pPr>
        <w:widowControl w:val="0"/>
        <w:tabs>
          <w:tab w:val="left" w:pos="818"/>
        </w:tabs>
        <w:spacing w:line="240" w:lineRule="auto"/>
        <w:rPr>
          <w:rFonts w:ascii="Calibri" w:eastAsia="Calibri" w:hAnsi="Calibri" w:cs="Calibri"/>
        </w:rPr>
      </w:pPr>
    </w:p>
    <w:p w14:paraId="22B104DD" w14:textId="77777777" w:rsidR="006B113F" w:rsidRDefault="006B113F">
      <w:pPr>
        <w:widowControl w:val="0"/>
        <w:tabs>
          <w:tab w:val="left" w:pos="818"/>
        </w:tabs>
        <w:spacing w:line="240" w:lineRule="auto"/>
        <w:rPr>
          <w:rFonts w:ascii="Calibri" w:eastAsia="Calibri" w:hAnsi="Calibri" w:cs="Calibri"/>
        </w:rPr>
      </w:pPr>
    </w:p>
    <w:p w14:paraId="7C1466E0" w14:textId="77777777" w:rsidR="006B113F" w:rsidRDefault="006B113F">
      <w:pPr>
        <w:widowControl w:val="0"/>
        <w:tabs>
          <w:tab w:val="left" w:pos="818"/>
        </w:tabs>
        <w:spacing w:line="240" w:lineRule="auto"/>
        <w:rPr>
          <w:rFonts w:ascii="Calibri" w:eastAsia="Calibri" w:hAnsi="Calibri" w:cs="Calibri"/>
        </w:rPr>
      </w:pPr>
    </w:p>
    <w:p w14:paraId="35BBA25A" w14:textId="77777777" w:rsidR="006B113F" w:rsidRDefault="00000000">
      <w:pPr>
        <w:widowControl w:val="0"/>
        <w:spacing w:line="240" w:lineRule="auto"/>
        <w:rPr>
          <w:rFonts w:ascii="Calibri" w:eastAsia="Calibri" w:hAnsi="Calibri" w:cs="Calibri"/>
        </w:rPr>
      </w:pPr>
      <w:r>
        <w:rPr>
          <w:rFonts w:ascii="Calibri" w:eastAsia="Calibri" w:hAnsi="Calibri" w:cs="Calibri"/>
        </w:rPr>
        <w:t>Herewith,</w:t>
      </w:r>
    </w:p>
    <w:p w14:paraId="7A501DA6" w14:textId="77777777" w:rsidR="006B113F" w:rsidRDefault="006B113F">
      <w:pPr>
        <w:widowControl w:val="0"/>
        <w:spacing w:line="240" w:lineRule="auto"/>
        <w:rPr>
          <w:rFonts w:ascii="Calibri" w:eastAsia="Calibri" w:hAnsi="Calibri" w:cs="Calibri"/>
        </w:rPr>
      </w:pPr>
    </w:p>
    <w:p w14:paraId="6E8E6A07" w14:textId="77777777" w:rsidR="006B113F" w:rsidRDefault="00000000">
      <w:pPr>
        <w:widowControl w:val="0"/>
        <w:spacing w:line="240" w:lineRule="auto"/>
        <w:jc w:val="both"/>
        <w:rPr>
          <w:rFonts w:ascii="Calibri" w:eastAsia="Calibri" w:hAnsi="Calibri" w:cs="Calibri"/>
          <w:b/>
        </w:rPr>
      </w:pPr>
      <w:r>
        <w:rPr>
          <w:rFonts w:ascii="Calibri" w:eastAsia="Calibri" w:hAnsi="Calibri" w:cs="Calibri"/>
          <w:b/>
        </w:rPr>
        <w:t>Université de Liège,</w:t>
      </w:r>
    </w:p>
    <w:p w14:paraId="68869124" w14:textId="4AD19D35" w:rsidR="006B113F" w:rsidRDefault="00000000">
      <w:pPr>
        <w:widowControl w:val="0"/>
        <w:spacing w:line="240" w:lineRule="auto"/>
        <w:jc w:val="both"/>
        <w:rPr>
          <w:rFonts w:ascii="Calibri" w:eastAsia="Calibri" w:hAnsi="Calibri" w:cs="Calibri"/>
        </w:rPr>
      </w:pPr>
      <w:r>
        <w:rPr>
          <w:rFonts w:ascii="Calibri" w:eastAsia="Calibri" w:hAnsi="Calibri" w:cs="Calibri"/>
        </w:rPr>
        <w:t xml:space="preserve">represented for the purpose hereof by </w:t>
      </w:r>
      <w:r>
        <w:rPr>
          <w:rFonts w:ascii="Calibri" w:eastAsia="Calibri" w:hAnsi="Calibri" w:cs="Calibri"/>
          <w:b/>
        </w:rPr>
        <w:t>Prof. Dr. Anne-Sophie NYSSEN, Rector</w:t>
      </w:r>
      <w:r>
        <w:rPr>
          <w:rFonts w:ascii="Calibri" w:eastAsia="Calibri" w:hAnsi="Calibri" w:cs="Calibri"/>
        </w:rPr>
        <w:t>, established Place du 20-Août, 7, 4000 LIÈGE, Belgium, acting as its legal authorised representative, hereby consents to become a Party to the Partnership Agreement for the Establishment of a Joint Master Degree Programme in and accepts in accordance with the provisions of the aforementioned Partnership Agreement all the rights and obligations of a Party.</w:t>
      </w:r>
    </w:p>
    <w:p w14:paraId="0D7B0300" w14:textId="77777777" w:rsidR="006B113F" w:rsidRDefault="006B113F">
      <w:pPr>
        <w:widowControl w:val="0"/>
        <w:spacing w:line="240" w:lineRule="auto"/>
        <w:jc w:val="both"/>
        <w:rPr>
          <w:rFonts w:ascii="Calibri" w:eastAsia="Calibri" w:hAnsi="Calibri" w:cs="Calibri"/>
          <w:b/>
        </w:rPr>
      </w:pPr>
    </w:p>
    <w:p w14:paraId="432EC036" w14:textId="77777777" w:rsidR="006B113F" w:rsidRDefault="006B113F">
      <w:pPr>
        <w:widowControl w:val="0"/>
        <w:spacing w:line="240" w:lineRule="auto"/>
        <w:rPr>
          <w:rFonts w:ascii="Calibri" w:eastAsia="Calibri" w:hAnsi="Calibri" w:cs="Calibri"/>
          <w:b/>
        </w:rPr>
      </w:pPr>
    </w:p>
    <w:p w14:paraId="7390ADB5" w14:textId="77777777" w:rsidR="006B113F" w:rsidRDefault="00000000">
      <w:pPr>
        <w:widowControl w:val="0"/>
        <w:spacing w:line="240" w:lineRule="auto"/>
        <w:rPr>
          <w:rFonts w:ascii="Calibri" w:eastAsia="Calibri" w:hAnsi="Calibri" w:cs="Calibri"/>
        </w:rPr>
      </w:pPr>
      <w:r>
        <w:rPr>
          <w:rFonts w:ascii="Calibri" w:eastAsia="Calibri" w:hAnsi="Calibri" w:cs="Calibri"/>
        </w:rPr>
        <w:t>Date:</w:t>
      </w:r>
    </w:p>
    <w:p w14:paraId="1064EDA5" w14:textId="77777777" w:rsidR="006B113F" w:rsidRDefault="006B113F">
      <w:pPr>
        <w:widowControl w:val="0"/>
        <w:spacing w:line="240" w:lineRule="auto"/>
        <w:rPr>
          <w:rFonts w:ascii="Calibri" w:eastAsia="Calibri" w:hAnsi="Calibri" w:cs="Calibri"/>
        </w:rPr>
      </w:pPr>
    </w:p>
    <w:p w14:paraId="0AFD9435" w14:textId="77777777" w:rsidR="006B113F" w:rsidRDefault="00000000">
      <w:pPr>
        <w:widowControl w:val="0"/>
        <w:spacing w:line="240" w:lineRule="auto"/>
        <w:rPr>
          <w:rFonts w:ascii="Calibri" w:eastAsia="Calibri" w:hAnsi="Calibri" w:cs="Calibri"/>
        </w:rPr>
      </w:pPr>
      <w:r>
        <w:rPr>
          <w:rFonts w:ascii="Calibri" w:eastAsia="Calibri" w:hAnsi="Calibri" w:cs="Calibri"/>
        </w:rPr>
        <w:t>Signature of legally authorised representative:</w:t>
      </w:r>
    </w:p>
    <w:p w14:paraId="3D2B70BF" w14:textId="77777777" w:rsidR="006B113F" w:rsidRDefault="006B113F">
      <w:pPr>
        <w:widowControl w:val="0"/>
        <w:spacing w:line="240" w:lineRule="auto"/>
        <w:rPr>
          <w:rFonts w:ascii="Calibri" w:eastAsia="Calibri" w:hAnsi="Calibri" w:cs="Calibri"/>
        </w:rPr>
      </w:pPr>
    </w:p>
    <w:p w14:paraId="469131C4" w14:textId="77777777" w:rsidR="006B113F" w:rsidRDefault="006B113F">
      <w:pPr>
        <w:widowControl w:val="0"/>
        <w:spacing w:line="240" w:lineRule="auto"/>
        <w:rPr>
          <w:rFonts w:ascii="Calibri" w:eastAsia="Calibri" w:hAnsi="Calibri" w:cs="Calibri"/>
        </w:rPr>
      </w:pPr>
    </w:p>
    <w:p w14:paraId="4B2F1900" w14:textId="77777777" w:rsidR="006B113F" w:rsidRDefault="006B113F">
      <w:pPr>
        <w:widowControl w:val="0"/>
        <w:spacing w:line="240" w:lineRule="auto"/>
        <w:rPr>
          <w:rFonts w:ascii="Calibri" w:eastAsia="Calibri" w:hAnsi="Calibri" w:cs="Calibri"/>
        </w:rPr>
      </w:pPr>
    </w:p>
    <w:p w14:paraId="68DEE4F2" w14:textId="77777777" w:rsidR="006B113F" w:rsidRDefault="006B113F">
      <w:pPr>
        <w:widowControl w:val="0"/>
        <w:spacing w:line="240" w:lineRule="auto"/>
        <w:rPr>
          <w:rFonts w:ascii="Calibri" w:eastAsia="Calibri" w:hAnsi="Calibri" w:cs="Calibri"/>
        </w:rPr>
      </w:pPr>
    </w:p>
    <w:p w14:paraId="4A0210D9" w14:textId="77777777" w:rsidR="006B113F" w:rsidRDefault="00000000">
      <w:pPr>
        <w:widowControl w:val="0"/>
        <w:spacing w:line="240" w:lineRule="auto"/>
        <w:rPr>
          <w:rFonts w:ascii="Calibri" w:eastAsia="Calibri" w:hAnsi="Calibri" w:cs="Calibri"/>
        </w:rPr>
      </w:pPr>
      <w:r>
        <w:rPr>
          <w:rFonts w:ascii="Calibri" w:eastAsia="Calibri" w:hAnsi="Calibri" w:cs="Calibri"/>
        </w:rPr>
        <w:t>Stamp of the organisation:</w:t>
      </w:r>
    </w:p>
    <w:p w14:paraId="4C4D351D" w14:textId="77777777" w:rsidR="006B113F" w:rsidRDefault="006B113F">
      <w:pPr>
        <w:widowControl w:val="0"/>
        <w:spacing w:line="240" w:lineRule="auto"/>
        <w:rPr>
          <w:rFonts w:ascii="Calibri" w:eastAsia="Calibri" w:hAnsi="Calibri" w:cs="Calibri"/>
        </w:rPr>
      </w:pPr>
    </w:p>
    <w:p w14:paraId="48FB8309" w14:textId="77777777" w:rsidR="006B113F" w:rsidRDefault="006B113F">
      <w:pPr>
        <w:widowControl w:val="0"/>
        <w:spacing w:line="240" w:lineRule="auto"/>
        <w:rPr>
          <w:rFonts w:ascii="Calibri" w:eastAsia="Calibri" w:hAnsi="Calibri" w:cs="Calibri"/>
        </w:rPr>
      </w:pPr>
    </w:p>
    <w:p w14:paraId="73DEC084" w14:textId="77777777" w:rsidR="006B113F" w:rsidRDefault="006B113F">
      <w:pPr>
        <w:widowControl w:val="0"/>
        <w:spacing w:line="240" w:lineRule="auto"/>
        <w:rPr>
          <w:rFonts w:ascii="Calibri" w:eastAsia="Calibri" w:hAnsi="Calibri" w:cs="Calibri"/>
        </w:rPr>
      </w:pPr>
    </w:p>
    <w:p w14:paraId="438C7666" w14:textId="77777777" w:rsidR="006B113F" w:rsidRDefault="00000000">
      <w:pPr>
        <w:widowControl w:val="0"/>
        <w:spacing w:line="240" w:lineRule="auto"/>
        <w:jc w:val="both"/>
        <w:rPr>
          <w:rFonts w:ascii="Calibri" w:eastAsia="Calibri" w:hAnsi="Calibri" w:cs="Calibri"/>
        </w:rPr>
      </w:pPr>
      <w:r>
        <w:rPr>
          <w:rFonts w:ascii="Calibri" w:eastAsia="Calibri" w:hAnsi="Calibri" w:cs="Calibri"/>
        </w:rPr>
        <w:t xml:space="preserve"> </w:t>
      </w:r>
      <w:r>
        <w:br w:type="page" w:clear="all"/>
      </w:r>
    </w:p>
    <w:p w14:paraId="7EA6F700" w14:textId="77777777" w:rsidR="006B113F" w:rsidRDefault="00000000">
      <w:pPr>
        <w:pStyle w:val="berschrift3"/>
        <w:keepNext w:val="0"/>
        <w:keepLines w:val="0"/>
        <w:widowControl w:val="0"/>
        <w:spacing w:before="0" w:after="0" w:line="240" w:lineRule="auto"/>
        <w:rPr>
          <w:rFonts w:ascii="Calibri" w:eastAsia="Calibri" w:hAnsi="Calibri" w:cs="Calibri"/>
          <w:b/>
          <w:color w:val="000000"/>
          <w:sz w:val="22"/>
          <w:szCs w:val="22"/>
        </w:rPr>
      </w:pPr>
      <w:bookmarkStart w:id="148" w:name="_Toc141280008"/>
      <w:r>
        <w:rPr>
          <w:rFonts w:ascii="Calibri" w:eastAsia="Calibri" w:hAnsi="Calibri" w:cs="Calibri"/>
          <w:b/>
          <w:color w:val="000000"/>
          <w:sz w:val="22"/>
          <w:szCs w:val="22"/>
        </w:rPr>
        <w:lastRenderedPageBreak/>
        <w:t>Signature page University of Oulu</w:t>
      </w:r>
      <w:bookmarkEnd w:id="148"/>
    </w:p>
    <w:p w14:paraId="665EB3EF"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the </w:t>
      </w:r>
    </w:p>
    <w:p w14:paraId="5A29B841" w14:textId="77777777" w:rsidR="006B113F" w:rsidRDefault="00000000">
      <w:pPr>
        <w:widowControl w:val="0"/>
        <w:spacing w:line="240" w:lineRule="auto"/>
        <w:rPr>
          <w:rFonts w:ascii="Calibri" w:eastAsia="Calibri" w:hAnsi="Calibri" w:cs="Calibri"/>
          <w:b/>
          <w:color w:val="003560"/>
        </w:rPr>
      </w:pPr>
      <w:r>
        <w:rPr>
          <w:rFonts w:ascii="Calibri" w:eastAsia="Calibri" w:hAnsi="Calibri" w:cs="Calibri"/>
          <w:b/>
          <w:color w:val="003560"/>
        </w:rPr>
        <w:t>Partnership Agreement</w:t>
      </w:r>
    </w:p>
    <w:p w14:paraId="0D8E8D0D"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for the Establishment </w:t>
      </w:r>
    </w:p>
    <w:p w14:paraId="30C5F3BB"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a </w:t>
      </w:r>
    </w:p>
    <w:p w14:paraId="352415C4"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Joint Master Degree Programme in </w:t>
      </w:r>
    </w:p>
    <w:p w14:paraId="4463C8F5" w14:textId="6688D763" w:rsidR="006B113F" w:rsidRDefault="00000000">
      <w:pPr>
        <w:widowControl w:val="0"/>
        <w:spacing w:line="240" w:lineRule="auto"/>
        <w:rPr>
          <w:rFonts w:ascii="Calibri" w:eastAsia="Calibri" w:hAnsi="Calibri" w:cs="Calibri"/>
          <w:b/>
          <w:color w:val="92D050"/>
        </w:rPr>
      </w:pPr>
      <w:r>
        <w:rPr>
          <w:rFonts w:ascii="Calibri" w:eastAsia="Calibri" w:hAnsi="Calibri" w:cs="Calibri"/>
          <w:b/>
          <w:color w:val="92D050"/>
        </w:rPr>
        <w:t>(</w:t>
      </w:r>
      <w:r w:rsidR="00B270F7">
        <w:rPr>
          <w:rFonts w:ascii="Calibri" w:eastAsia="Calibri" w:hAnsi="Calibri" w:cs="Calibri"/>
          <w:b/>
          <w:color w:val="92D050"/>
        </w:rPr>
        <w:t>XX</w:t>
      </w:r>
      <w:r>
        <w:rPr>
          <w:rFonts w:ascii="Calibri" w:eastAsia="Calibri" w:hAnsi="Calibri" w:cs="Calibri"/>
          <w:b/>
          <w:color w:val="92D050"/>
        </w:rPr>
        <w:t>),</w:t>
      </w:r>
    </w:p>
    <w:p w14:paraId="43214728"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6EB38F70"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Ruhr-Universität Bochum,</w:t>
      </w:r>
    </w:p>
    <w:p w14:paraId="7992A795"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University College Cork, </w:t>
      </w:r>
    </w:p>
    <w:p w14:paraId="0A33EE8D" w14:textId="77777777" w:rsidR="006B113F" w:rsidRDefault="00000000">
      <w:pPr>
        <w:widowControl w:val="0"/>
        <w:tabs>
          <w:tab w:val="left" w:pos="818"/>
        </w:tabs>
        <w:spacing w:line="240" w:lineRule="auto"/>
        <w:rPr>
          <w:rFonts w:ascii="Calibri" w:eastAsia="Calibri" w:hAnsi="Calibri" w:cs="Calibri"/>
          <w:lang w:val="eu-ES"/>
        </w:rPr>
      </w:pPr>
      <w:r>
        <w:rPr>
          <w:rFonts w:ascii="Calibri" w:eastAsia="Calibri" w:hAnsi="Calibri" w:cs="Calibri"/>
          <w:lang w:val="eu-ES"/>
        </w:rPr>
        <w:t xml:space="preserve">University of Deusto, </w:t>
      </w:r>
    </w:p>
    <w:p w14:paraId="05534E99"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Erasmus University Rotterdam, </w:t>
      </w:r>
    </w:p>
    <w:p w14:paraId="67FAFFF9"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Koç University, </w:t>
      </w:r>
    </w:p>
    <w:p w14:paraId="233ADCBC"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Université de Liège,</w:t>
      </w:r>
    </w:p>
    <w:p w14:paraId="2432D3A4"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University of Oulu,</w:t>
      </w:r>
    </w:p>
    <w:p w14:paraId="4CEE0F06"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University of Zagreb</w:t>
      </w:r>
    </w:p>
    <w:p w14:paraId="63C327DA" w14:textId="77777777" w:rsidR="006B113F" w:rsidRDefault="006B113F">
      <w:pPr>
        <w:widowControl w:val="0"/>
        <w:tabs>
          <w:tab w:val="left" w:pos="818"/>
        </w:tabs>
        <w:spacing w:line="240" w:lineRule="auto"/>
        <w:rPr>
          <w:rFonts w:ascii="Calibri" w:eastAsia="Calibri" w:hAnsi="Calibri" w:cs="Calibri"/>
        </w:rPr>
      </w:pPr>
    </w:p>
    <w:p w14:paraId="50DCCBC2" w14:textId="77777777" w:rsidR="006B113F" w:rsidRDefault="006B113F">
      <w:pPr>
        <w:widowControl w:val="0"/>
        <w:tabs>
          <w:tab w:val="left" w:pos="818"/>
        </w:tabs>
        <w:spacing w:line="240" w:lineRule="auto"/>
        <w:rPr>
          <w:rFonts w:ascii="Calibri" w:eastAsia="Calibri" w:hAnsi="Calibri" w:cs="Calibri"/>
        </w:rPr>
      </w:pPr>
    </w:p>
    <w:p w14:paraId="4181AB17" w14:textId="77777777" w:rsidR="006B113F" w:rsidRDefault="006B113F">
      <w:pPr>
        <w:widowControl w:val="0"/>
        <w:tabs>
          <w:tab w:val="left" w:pos="818"/>
        </w:tabs>
        <w:spacing w:line="240" w:lineRule="auto"/>
        <w:rPr>
          <w:rFonts w:ascii="Calibri" w:eastAsia="Calibri" w:hAnsi="Calibri" w:cs="Calibri"/>
        </w:rPr>
      </w:pPr>
    </w:p>
    <w:p w14:paraId="268D747D" w14:textId="77777777" w:rsidR="006B113F" w:rsidRDefault="00000000">
      <w:pPr>
        <w:widowControl w:val="0"/>
        <w:spacing w:line="240" w:lineRule="auto"/>
        <w:rPr>
          <w:rFonts w:ascii="Calibri" w:eastAsia="Calibri" w:hAnsi="Calibri" w:cs="Calibri"/>
        </w:rPr>
      </w:pPr>
      <w:r>
        <w:rPr>
          <w:rFonts w:ascii="Calibri" w:eastAsia="Calibri" w:hAnsi="Calibri" w:cs="Calibri"/>
        </w:rPr>
        <w:t>Herewith,</w:t>
      </w:r>
    </w:p>
    <w:p w14:paraId="1BBA9ECD" w14:textId="77777777" w:rsidR="006B113F" w:rsidRDefault="006B113F">
      <w:pPr>
        <w:widowControl w:val="0"/>
        <w:spacing w:line="240" w:lineRule="auto"/>
        <w:rPr>
          <w:rFonts w:ascii="Calibri" w:eastAsia="Calibri" w:hAnsi="Calibri" w:cs="Calibri"/>
        </w:rPr>
      </w:pPr>
    </w:p>
    <w:p w14:paraId="616AEB92" w14:textId="77777777" w:rsidR="006B113F" w:rsidRDefault="00000000">
      <w:pPr>
        <w:widowControl w:val="0"/>
        <w:spacing w:line="240" w:lineRule="auto"/>
        <w:jc w:val="both"/>
        <w:rPr>
          <w:rFonts w:ascii="Calibri" w:eastAsia="Calibri" w:hAnsi="Calibri" w:cs="Calibri"/>
          <w:b/>
        </w:rPr>
      </w:pPr>
      <w:r>
        <w:rPr>
          <w:rFonts w:ascii="Calibri" w:eastAsia="Calibri" w:hAnsi="Calibri" w:cs="Calibri"/>
          <w:b/>
        </w:rPr>
        <w:t>University of Oulu,</w:t>
      </w:r>
    </w:p>
    <w:p w14:paraId="5DDC3CB8" w14:textId="56778B3F" w:rsidR="006B113F" w:rsidRDefault="00000000">
      <w:pPr>
        <w:widowControl w:val="0"/>
        <w:spacing w:line="240" w:lineRule="auto"/>
        <w:jc w:val="both"/>
        <w:rPr>
          <w:rFonts w:ascii="Calibri" w:eastAsia="Calibri" w:hAnsi="Calibri" w:cs="Calibri"/>
        </w:rPr>
      </w:pPr>
      <w:r>
        <w:rPr>
          <w:rFonts w:ascii="Calibri" w:eastAsia="Calibri" w:hAnsi="Calibri" w:cs="Calibri"/>
        </w:rPr>
        <w:t>represented for the purpose hereof by</w:t>
      </w:r>
      <w:r>
        <w:rPr>
          <w:rFonts w:ascii="Calibri" w:eastAsia="Calibri" w:hAnsi="Calibri" w:cs="Calibri"/>
          <w:b/>
        </w:rPr>
        <w:t>, Vice Rector for Education</w:t>
      </w:r>
      <w:r>
        <w:rPr>
          <w:rFonts w:ascii="Calibri" w:eastAsia="Calibri" w:hAnsi="Calibri" w:cs="Calibri"/>
        </w:rPr>
        <w:t xml:space="preserve">, established in OULU, Finland, acting as its legal authorised representative, and </w:t>
      </w:r>
      <w:r>
        <w:rPr>
          <w:rFonts w:ascii="Calibri" w:eastAsia="Calibri" w:hAnsi="Calibri" w:cs="Calibri"/>
          <w:b/>
          <w:bCs/>
        </w:rPr>
        <w:t>Vesa-Matti Sarenius, Director of Academic Affairs</w:t>
      </w:r>
      <w:r>
        <w:rPr>
          <w:rFonts w:ascii="Calibri" w:eastAsia="Calibri" w:hAnsi="Calibri" w:cs="Calibri"/>
        </w:rPr>
        <w:t>, hereby consents to become a Party to the Partnership Agreement for the Establishment of a Joint Master Degree Programme in  and accepts in accordance with the provisions of the aforementioned Partnership Agreement all the rights and obligations of a Party.</w:t>
      </w:r>
    </w:p>
    <w:p w14:paraId="65124246" w14:textId="77777777" w:rsidR="006B113F" w:rsidRDefault="006B113F">
      <w:pPr>
        <w:widowControl w:val="0"/>
        <w:spacing w:line="240" w:lineRule="auto"/>
        <w:rPr>
          <w:rFonts w:ascii="Calibri" w:eastAsia="Calibri" w:hAnsi="Calibri" w:cs="Calibri"/>
          <w:b/>
        </w:rPr>
      </w:pPr>
    </w:p>
    <w:p w14:paraId="088552B2" w14:textId="77777777" w:rsidR="006B113F" w:rsidRDefault="006B113F">
      <w:pPr>
        <w:widowControl w:val="0"/>
        <w:spacing w:line="240" w:lineRule="auto"/>
        <w:rPr>
          <w:rFonts w:ascii="Calibri" w:eastAsia="Calibri" w:hAnsi="Calibri" w:cs="Calibri"/>
          <w:b/>
        </w:rPr>
      </w:pPr>
    </w:p>
    <w:p w14:paraId="7DC23347" w14:textId="77777777" w:rsidR="006B113F" w:rsidRDefault="00000000">
      <w:pPr>
        <w:widowControl w:val="0"/>
        <w:spacing w:line="240" w:lineRule="auto"/>
        <w:rPr>
          <w:rFonts w:ascii="Calibri" w:eastAsia="Calibri" w:hAnsi="Calibri" w:cs="Calibri"/>
        </w:rPr>
      </w:pPr>
      <w:r>
        <w:rPr>
          <w:rFonts w:ascii="Calibri" w:eastAsia="Calibri" w:hAnsi="Calibri" w:cs="Calibri"/>
        </w:rPr>
        <w:t>Date:</w:t>
      </w:r>
    </w:p>
    <w:p w14:paraId="1E3628F9" w14:textId="77777777" w:rsidR="006B113F" w:rsidRDefault="006B113F">
      <w:pPr>
        <w:widowControl w:val="0"/>
        <w:spacing w:line="240" w:lineRule="auto"/>
        <w:rPr>
          <w:rFonts w:ascii="Calibri" w:eastAsia="Calibri" w:hAnsi="Calibri" w:cs="Calibri"/>
        </w:rPr>
      </w:pPr>
    </w:p>
    <w:p w14:paraId="1ECEADCD" w14:textId="77777777" w:rsidR="006B113F" w:rsidRDefault="00000000">
      <w:pPr>
        <w:widowControl w:val="0"/>
        <w:spacing w:line="240" w:lineRule="auto"/>
        <w:rPr>
          <w:rFonts w:ascii="Calibri" w:eastAsia="Calibri" w:hAnsi="Calibri" w:cs="Calibri"/>
        </w:rPr>
      </w:pPr>
      <w:r>
        <w:rPr>
          <w:rFonts w:ascii="Calibri" w:eastAsia="Calibri" w:hAnsi="Calibri" w:cs="Calibri"/>
        </w:rPr>
        <w:t>Signatures of legally authorised representatives:</w:t>
      </w:r>
    </w:p>
    <w:p w14:paraId="79EE670A" w14:textId="77777777" w:rsidR="006B113F" w:rsidRDefault="006B113F">
      <w:pPr>
        <w:widowControl w:val="0"/>
        <w:spacing w:line="240" w:lineRule="auto"/>
        <w:rPr>
          <w:rFonts w:ascii="Calibri" w:eastAsia="Calibri" w:hAnsi="Calibri" w:cs="Calibri"/>
        </w:rPr>
      </w:pPr>
    </w:p>
    <w:p w14:paraId="49F3D51B" w14:textId="77777777" w:rsidR="006B113F" w:rsidRDefault="006B113F">
      <w:pPr>
        <w:widowControl w:val="0"/>
        <w:spacing w:line="240" w:lineRule="auto"/>
        <w:rPr>
          <w:rFonts w:ascii="Calibri" w:eastAsia="Calibri" w:hAnsi="Calibri" w:cs="Calibri"/>
        </w:rPr>
      </w:pPr>
    </w:p>
    <w:p w14:paraId="2A434AFF" w14:textId="77777777" w:rsidR="006B113F" w:rsidRDefault="006B113F">
      <w:pPr>
        <w:widowControl w:val="0"/>
        <w:spacing w:line="240" w:lineRule="auto"/>
        <w:rPr>
          <w:rFonts w:ascii="Calibri" w:eastAsia="Calibri" w:hAnsi="Calibri" w:cs="Calibri"/>
        </w:rPr>
      </w:pPr>
    </w:p>
    <w:p w14:paraId="72A0D879" w14:textId="77777777" w:rsidR="006B113F" w:rsidRDefault="006B113F">
      <w:pPr>
        <w:widowControl w:val="0"/>
        <w:spacing w:line="240" w:lineRule="auto"/>
        <w:rPr>
          <w:rFonts w:ascii="Calibri" w:eastAsia="Calibri" w:hAnsi="Calibri" w:cs="Calibri"/>
        </w:rPr>
      </w:pPr>
    </w:p>
    <w:p w14:paraId="1F9D90DF" w14:textId="77777777" w:rsidR="006B113F" w:rsidRDefault="00000000">
      <w:pPr>
        <w:widowControl w:val="0"/>
        <w:spacing w:line="240" w:lineRule="auto"/>
        <w:rPr>
          <w:rFonts w:ascii="Calibri" w:eastAsia="Calibri" w:hAnsi="Calibri" w:cs="Calibri"/>
        </w:rPr>
      </w:pPr>
      <w:r>
        <w:rPr>
          <w:rFonts w:ascii="Calibri" w:eastAsia="Calibri" w:hAnsi="Calibri" w:cs="Calibri"/>
        </w:rPr>
        <w:t>Stamp of the organisation:</w:t>
      </w:r>
    </w:p>
    <w:p w14:paraId="7ACB78AD" w14:textId="77777777" w:rsidR="006B113F" w:rsidRDefault="006B113F">
      <w:pPr>
        <w:widowControl w:val="0"/>
        <w:spacing w:line="240" w:lineRule="auto"/>
        <w:rPr>
          <w:rFonts w:ascii="Calibri" w:eastAsia="Calibri" w:hAnsi="Calibri" w:cs="Calibri"/>
        </w:rPr>
      </w:pPr>
    </w:p>
    <w:p w14:paraId="6AE1717E" w14:textId="77777777" w:rsidR="006B113F" w:rsidRDefault="006B113F">
      <w:pPr>
        <w:widowControl w:val="0"/>
        <w:spacing w:line="240" w:lineRule="auto"/>
        <w:rPr>
          <w:rFonts w:ascii="Calibri" w:eastAsia="Calibri" w:hAnsi="Calibri" w:cs="Calibri"/>
        </w:rPr>
      </w:pPr>
    </w:p>
    <w:p w14:paraId="65CBD74C" w14:textId="77777777" w:rsidR="006B113F" w:rsidRDefault="006B113F">
      <w:pPr>
        <w:widowControl w:val="0"/>
        <w:spacing w:line="240" w:lineRule="auto"/>
        <w:rPr>
          <w:rFonts w:ascii="Calibri" w:eastAsia="Calibri" w:hAnsi="Calibri" w:cs="Calibri"/>
        </w:rPr>
      </w:pPr>
    </w:p>
    <w:p w14:paraId="580F676F" w14:textId="77777777" w:rsidR="006B113F" w:rsidRDefault="00000000">
      <w:pPr>
        <w:widowControl w:val="0"/>
        <w:spacing w:line="240" w:lineRule="auto"/>
        <w:jc w:val="both"/>
        <w:rPr>
          <w:rFonts w:ascii="Calibri" w:eastAsia="Calibri" w:hAnsi="Calibri" w:cs="Calibri"/>
          <w:color w:val="365F91"/>
        </w:rPr>
      </w:pPr>
      <w:r>
        <w:rPr>
          <w:rFonts w:ascii="Calibri" w:eastAsia="Calibri" w:hAnsi="Calibri" w:cs="Calibri"/>
        </w:rPr>
        <w:t xml:space="preserve"> </w:t>
      </w:r>
      <w:r>
        <w:br w:type="page" w:clear="all"/>
      </w:r>
    </w:p>
    <w:p w14:paraId="61FFEB95" w14:textId="77777777" w:rsidR="006B113F" w:rsidRDefault="00000000">
      <w:pPr>
        <w:pStyle w:val="berschrift3"/>
        <w:keepNext w:val="0"/>
        <w:keepLines w:val="0"/>
        <w:widowControl w:val="0"/>
        <w:spacing w:before="0" w:after="0" w:line="240" w:lineRule="auto"/>
        <w:rPr>
          <w:rFonts w:ascii="Calibri" w:eastAsia="Calibri" w:hAnsi="Calibri" w:cs="Calibri"/>
          <w:b/>
          <w:color w:val="000000"/>
          <w:sz w:val="22"/>
          <w:szCs w:val="22"/>
        </w:rPr>
      </w:pPr>
      <w:bookmarkStart w:id="149" w:name="_Toc141280009"/>
      <w:r>
        <w:rPr>
          <w:rFonts w:ascii="Calibri" w:eastAsia="Calibri" w:hAnsi="Calibri" w:cs="Calibri"/>
          <w:b/>
          <w:color w:val="000000"/>
          <w:sz w:val="22"/>
          <w:szCs w:val="22"/>
        </w:rPr>
        <w:lastRenderedPageBreak/>
        <w:t>Signature page University of Zagreb</w:t>
      </w:r>
      <w:bookmarkEnd w:id="149"/>
    </w:p>
    <w:p w14:paraId="31FDA04D"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the </w:t>
      </w:r>
    </w:p>
    <w:p w14:paraId="69FB7666" w14:textId="77777777" w:rsidR="006B113F" w:rsidRDefault="00000000">
      <w:pPr>
        <w:widowControl w:val="0"/>
        <w:spacing w:line="240" w:lineRule="auto"/>
        <w:rPr>
          <w:rFonts w:ascii="Calibri" w:eastAsia="Calibri" w:hAnsi="Calibri" w:cs="Calibri"/>
          <w:b/>
          <w:color w:val="003560"/>
        </w:rPr>
      </w:pPr>
      <w:r>
        <w:rPr>
          <w:rFonts w:ascii="Calibri" w:eastAsia="Calibri" w:hAnsi="Calibri" w:cs="Calibri"/>
          <w:b/>
          <w:color w:val="003560"/>
        </w:rPr>
        <w:t>Partnership Agreement</w:t>
      </w:r>
    </w:p>
    <w:p w14:paraId="6EFA0B62"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for the Establishment </w:t>
      </w:r>
    </w:p>
    <w:p w14:paraId="099390C3"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of a </w:t>
      </w:r>
    </w:p>
    <w:p w14:paraId="7D253A84"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Joint Master Degree Programme in </w:t>
      </w:r>
    </w:p>
    <w:p w14:paraId="1842C434" w14:textId="2ABBE8B4" w:rsidR="006B113F" w:rsidRDefault="00000000">
      <w:pPr>
        <w:widowControl w:val="0"/>
        <w:spacing w:line="240" w:lineRule="auto"/>
        <w:rPr>
          <w:rFonts w:ascii="Calibri" w:eastAsia="Calibri" w:hAnsi="Calibri" w:cs="Calibri"/>
          <w:b/>
          <w:color w:val="92D050"/>
        </w:rPr>
      </w:pPr>
      <w:r>
        <w:rPr>
          <w:rFonts w:ascii="Calibri" w:eastAsia="Calibri" w:hAnsi="Calibri" w:cs="Calibri"/>
          <w:b/>
          <w:color w:val="92D050"/>
        </w:rPr>
        <w:t xml:space="preserve"> (</w:t>
      </w:r>
      <w:r w:rsidR="00B270F7">
        <w:rPr>
          <w:rFonts w:ascii="Calibri" w:eastAsia="Calibri" w:hAnsi="Calibri" w:cs="Calibri"/>
          <w:b/>
          <w:color w:val="92D050"/>
        </w:rPr>
        <w:t>XX</w:t>
      </w:r>
      <w:r>
        <w:rPr>
          <w:rFonts w:ascii="Calibri" w:eastAsia="Calibri" w:hAnsi="Calibri" w:cs="Calibri"/>
          <w:b/>
          <w:color w:val="92D050"/>
        </w:rPr>
        <w:t>),</w:t>
      </w:r>
    </w:p>
    <w:p w14:paraId="546DC83F" w14:textId="77777777" w:rsidR="006B113F" w:rsidRDefault="00000000">
      <w:pPr>
        <w:widowControl w:val="0"/>
        <w:spacing w:line="240" w:lineRule="auto"/>
        <w:rPr>
          <w:rFonts w:ascii="Calibri" w:eastAsia="Calibri" w:hAnsi="Calibri" w:cs="Calibri"/>
        </w:rPr>
      </w:pPr>
      <w:r>
        <w:rPr>
          <w:rFonts w:ascii="Calibri" w:eastAsia="Calibri" w:hAnsi="Calibri" w:cs="Calibri"/>
          <w:color w:val="003560"/>
        </w:rPr>
        <w:t>jointly delivered by:</w:t>
      </w:r>
    </w:p>
    <w:p w14:paraId="12A7EC0F"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Ruhr-Universität Bochum,</w:t>
      </w:r>
    </w:p>
    <w:p w14:paraId="4F17C6C0"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University College Cork, </w:t>
      </w:r>
    </w:p>
    <w:p w14:paraId="5E30A2A4" w14:textId="77777777" w:rsidR="006B113F" w:rsidRDefault="00000000">
      <w:pPr>
        <w:widowControl w:val="0"/>
        <w:tabs>
          <w:tab w:val="left" w:pos="818"/>
        </w:tabs>
        <w:spacing w:line="240" w:lineRule="auto"/>
        <w:rPr>
          <w:rFonts w:ascii="Calibri" w:eastAsia="Calibri" w:hAnsi="Calibri" w:cs="Calibri"/>
          <w:lang w:val="eu-ES"/>
        </w:rPr>
      </w:pPr>
      <w:r>
        <w:rPr>
          <w:rFonts w:ascii="Calibri" w:eastAsia="Calibri" w:hAnsi="Calibri" w:cs="Calibri"/>
          <w:lang w:val="eu-ES"/>
        </w:rPr>
        <w:t xml:space="preserve">University of Deusto, </w:t>
      </w:r>
    </w:p>
    <w:p w14:paraId="0ADC6731"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Erasmus University Rotterdam, </w:t>
      </w:r>
    </w:p>
    <w:p w14:paraId="446F6EB5"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 xml:space="preserve">Koç University, </w:t>
      </w:r>
    </w:p>
    <w:p w14:paraId="01F70088"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Université de Liège,</w:t>
      </w:r>
    </w:p>
    <w:p w14:paraId="7BDC0EA9"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University of Oulu,</w:t>
      </w:r>
    </w:p>
    <w:p w14:paraId="442B5E83" w14:textId="77777777" w:rsidR="006B113F" w:rsidRDefault="00000000">
      <w:pPr>
        <w:widowControl w:val="0"/>
        <w:tabs>
          <w:tab w:val="left" w:pos="818"/>
        </w:tabs>
        <w:spacing w:line="240" w:lineRule="auto"/>
        <w:rPr>
          <w:rFonts w:ascii="Calibri" w:eastAsia="Calibri" w:hAnsi="Calibri" w:cs="Calibri"/>
        </w:rPr>
      </w:pPr>
      <w:r>
        <w:rPr>
          <w:rFonts w:ascii="Calibri" w:eastAsia="Calibri" w:hAnsi="Calibri" w:cs="Calibri"/>
        </w:rPr>
        <w:t>University of Zagreb</w:t>
      </w:r>
    </w:p>
    <w:p w14:paraId="4ED58E66" w14:textId="77777777" w:rsidR="006B113F" w:rsidRDefault="006B113F">
      <w:pPr>
        <w:widowControl w:val="0"/>
        <w:tabs>
          <w:tab w:val="left" w:pos="818"/>
        </w:tabs>
        <w:spacing w:line="240" w:lineRule="auto"/>
        <w:rPr>
          <w:rFonts w:ascii="Calibri" w:eastAsia="Calibri" w:hAnsi="Calibri" w:cs="Calibri"/>
        </w:rPr>
      </w:pPr>
    </w:p>
    <w:p w14:paraId="71C4AB7B" w14:textId="77777777" w:rsidR="006B113F" w:rsidRDefault="006B113F">
      <w:pPr>
        <w:widowControl w:val="0"/>
        <w:tabs>
          <w:tab w:val="left" w:pos="818"/>
        </w:tabs>
        <w:spacing w:line="240" w:lineRule="auto"/>
        <w:rPr>
          <w:rFonts w:ascii="Calibri" w:eastAsia="Calibri" w:hAnsi="Calibri" w:cs="Calibri"/>
        </w:rPr>
      </w:pPr>
    </w:p>
    <w:p w14:paraId="20F37204" w14:textId="77777777" w:rsidR="006B113F" w:rsidRDefault="006B113F">
      <w:pPr>
        <w:widowControl w:val="0"/>
        <w:tabs>
          <w:tab w:val="left" w:pos="818"/>
        </w:tabs>
        <w:spacing w:line="240" w:lineRule="auto"/>
        <w:rPr>
          <w:rFonts w:ascii="Calibri" w:eastAsia="Calibri" w:hAnsi="Calibri" w:cs="Calibri"/>
        </w:rPr>
      </w:pPr>
    </w:p>
    <w:p w14:paraId="3669BF52" w14:textId="77777777" w:rsidR="006B113F" w:rsidRDefault="00000000">
      <w:pPr>
        <w:widowControl w:val="0"/>
        <w:spacing w:line="240" w:lineRule="auto"/>
        <w:rPr>
          <w:rFonts w:ascii="Calibri" w:eastAsia="Calibri" w:hAnsi="Calibri" w:cs="Calibri"/>
        </w:rPr>
      </w:pPr>
      <w:r>
        <w:rPr>
          <w:rFonts w:ascii="Calibri" w:eastAsia="Calibri" w:hAnsi="Calibri" w:cs="Calibri"/>
        </w:rPr>
        <w:t>Herewith,</w:t>
      </w:r>
    </w:p>
    <w:p w14:paraId="11DD8BA7" w14:textId="77777777" w:rsidR="006B113F" w:rsidRDefault="006B113F">
      <w:pPr>
        <w:widowControl w:val="0"/>
        <w:spacing w:line="240" w:lineRule="auto"/>
        <w:rPr>
          <w:rFonts w:ascii="Calibri" w:eastAsia="Calibri" w:hAnsi="Calibri" w:cs="Calibri"/>
        </w:rPr>
      </w:pPr>
    </w:p>
    <w:p w14:paraId="7B43377E" w14:textId="77777777" w:rsidR="006B113F" w:rsidRDefault="00000000">
      <w:pPr>
        <w:widowControl w:val="0"/>
        <w:spacing w:line="240" w:lineRule="auto"/>
      </w:pPr>
      <w:r>
        <w:rPr>
          <w:rFonts w:ascii="Calibri" w:eastAsia="Calibri" w:hAnsi="Calibri" w:cs="Calibri"/>
          <w:b/>
        </w:rPr>
        <w:t>University of Zagreb</w:t>
      </w:r>
      <w:r>
        <w:rPr>
          <w:rFonts w:ascii="Calibri" w:eastAsia="Calibri" w:hAnsi="Calibri" w:cs="Calibri"/>
          <w:b/>
          <w:bCs/>
        </w:rPr>
        <w:t>,</w:t>
      </w:r>
    </w:p>
    <w:p w14:paraId="50125CDC" w14:textId="2CA8F293" w:rsidR="006B113F" w:rsidRDefault="00000000">
      <w:pPr>
        <w:widowControl w:val="0"/>
        <w:spacing w:line="240" w:lineRule="auto"/>
        <w:jc w:val="both"/>
        <w:rPr>
          <w:rFonts w:ascii="Calibri" w:eastAsia="Calibri" w:hAnsi="Calibri" w:cs="Calibri"/>
          <w:b/>
          <w:bCs/>
        </w:rPr>
      </w:pPr>
      <w:r>
        <w:rPr>
          <w:rFonts w:ascii="Calibri" w:eastAsia="Calibri" w:hAnsi="Calibri" w:cs="Calibri"/>
        </w:rPr>
        <w:t xml:space="preserve">established in ZAGREB, Croatia, as a bodies of public law under the Act on Higher Education and Scientific Activity (Official Gazette, no. 119/22) represented for the purpose hereof by </w:t>
      </w:r>
      <w:r>
        <w:rPr>
          <w:rFonts w:ascii="Calibri" w:eastAsia="Calibri" w:hAnsi="Calibri" w:cs="Calibri"/>
          <w:b/>
          <w:bCs/>
        </w:rPr>
        <w:t xml:space="preserve">Prof. Dr. Stjepan Lakušić, Rector, </w:t>
      </w:r>
      <w:r>
        <w:rPr>
          <w:rFonts w:ascii="Calibri" w:eastAsia="Calibri" w:hAnsi="Calibri" w:cs="Calibri"/>
        </w:rPr>
        <w:t>acting as its legal authorised representative, hereby consents to become a Party to the Partnership Agreement for the Establishment of a Joint Master Degree Programme in  and accepts in accordance with the provisions of the aforementioned Partnership Agreement all the rights and obligations of a Party.</w:t>
      </w:r>
    </w:p>
    <w:p w14:paraId="6B8156C9" w14:textId="77777777" w:rsidR="006B113F" w:rsidRDefault="006B113F">
      <w:pPr>
        <w:widowControl w:val="0"/>
        <w:spacing w:line="240" w:lineRule="auto"/>
        <w:jc w:val="both"/>
        <w:rPr>
          <w:rFonts w:ascii="Calibri" w:eastAsia="Calibri" w:hAnsi="Calibri" w:cs="Calibri"/>
          <w:b/>
          <w:bCs/>
        </w:rPr>
      </w:pPr>
    </w:p>
    <w:p w14:paraId="5BEB4851" w14:textId="77777777" w:rsidR="006B113F" w:rsidRDefault="006B113F">
      <w:pPr>
        <w:widowControl w:val="0"/>
        <w:spacing w:line="240" w:lineRule="auto"/>
        <w:rPr>
          <w:rFonts w:ascii="Calibri" w:eastAsia="Calibri" w:hAnsi="Calibri" w:cs="Calibri"/>
          <w:b/>
        </w:rPr>
      </w:pPr>
    </w:p>
    <w:p w14:paraId="6C422975" w14:textId="77777777" w:rsidR="006B113F" w:rsidRDefault="00000000">
      <w:pPr>
        <w:widowControl w:val="0"/>
        <w:spacing w:line="240" w:lineRule="auto"/>
        <w:rPr>
          <w:rFonts w:ascii="Calibri" w:eastAsia="Calibri" w:hAnsi="Calibri" w:cs="Calibri"/>
        </w:rPr>
      </w:pPr>
      <w:r>
        <w:rPr>
          <w:rFonts w:ascii="Calibri" w:eastAsia="Calibri" w:hAnsi="Calibri" w:cs="Calibri"/>
        </w:rPr>
        <w:t>Date:</w:t>
      </w:r>
    </w:p>
    <w:p w14:paraId="413D6C22" w14:textId="77777777" w:rsidR="006B113F" w:rsidRDefault="006B113F">
      <w:pPr>
        <w:widowControl w:val="0"/>
        <w:spacing w:line="240" w:lineRule="auto"/>
        <w:rPr>
          <w:rFonts w:ascii="Calibri" w:eastAsia="Calibri" w:hAnsi="Calibri" w:cs="Calibri"/>
        </w:rPr>
      </w:pPr>
    </w:p>
    <w:p w14:paraId="6C6A2D4A" w14:textId="77777777" w:rsidR="006B113F" w:rsidRDefault="00000000">
      <w:pPr>
        <w:widowControl w:val="0"/>
        <w:spacing w:line="240" w:lineRule="auto"/>
        <w:rPr>
          <w:rFonts w:ascii="Calibri" w:eastAsia="Calibri" w:hAnsi="Calibri" w:cs="Calibri"/>
        </w:rPr>
      </w:pPr>
      <w:r>
        <w:rPr>
          <w:rFonts w:ascii="Calibri" w:eastAsia="Calibri" w:hAnsi="Calibri" w:cs="Calibri"/>
        </w:rPr>
        <w:t>Signatures of legally authorised representatives:</w:t>
      </w:r>
    </w:p>
    <w:p w14:paraId="40586106" w14:textId="77777777" w:rsidR="006B113F" w:rsidRDefault="006B113F">
      <w:pPr>
        <w:widowControl w:val="0"/>
        <w:spacing w:line="240" w:lineRule="auto"/>
        <w:rPr>
          <w:rFonts w:ascii="Calibri" w:eastAsia="Calibri" w:hAnsi="Calibri" w:cs="Calibri"/>
        </w:rPr>
      </w:pPr>
    </w:p>
    <w:p w14:paraId="198F07D0" w14:textId="77777777" w:rsidR="006B113F" w:rsidRDefault="006B113F">
      <w:pPr>
        <w:widowControl w:val="0"/>
        <w:spacing w:line="240" w:lineRule="auto"/>
        <w:rPr>
          <w:rFonts w:ascii="Calibri" w:eastAsia="Calibri" w:hAnsi="Calibri" w:cs="Calibri"/>
        </w:rPr>
      </w:pPr>
    </w:p>
    <w:p w14:paraId="1F2B67DE" w14:textId="77777777" w:rsidR="006B113F" w:rsidRDefault="006B113F">
      <w:pPr>
        <w:widowControl w:val="0"/>
        <w:spacing w:line="240" w:lineRule="auto"/>
        <w:rPr>
          <w:rFonts w:ascii="Calibri" w:eastAsia="Calibri" w:hAnsi="Calibri" w:cs="Calibri"/>
        </w:rPr>
      </w:pPr>
    </w:p>
    <w:p w14:paraId="5F3C770E" w14:textId="77777777" w:rsidR="006B113F" w:rsidRDefault="006B113F">
      <w:pPr>
        <w:widowControl w:val="0"/>
        <w:spacing w:line="240" w:lineRule="auto"/>
        <w:rPr>
          <w:rFonts w:ascii="Calibri" w:eastAsia="Calibri" w:hAnsi="Calibri" w:cs="Calibri"/>
        </w:rPr>
      </w:pPr>
    </w:p>
    <w:p w14:paraId="2DB031E6" w14:textId="77777777" w:rsidR="006B113F" w:rsidRDefault="00000000">
      <w:pPr>
        <w:widowControl w:val="0"/>
        <w:spacing w:line="240" w:lineRule="auto"/>
        <w:rPr>
          <w:rFonts w:ascii="Calibri" w:eastAsia="Calibri" w:hAnsi="Calibri" w:cs="Calibri"/>
        </w:rPr>
      </w:pPr>
      <w:r>
        <w:rPr>
          <w:rFonts w:ascii="Calibri" w:eastAsia="Calibri" w:hAnsi="Calibri" w:cs="Calibri"/>
        </w:rPr>
        <w:t xml:space="preserve">Stamp of the organisations: </w:t>
      </w:r>
    </w:p>
    <w:p w14:paraId="5B7707EA" w14:textId="77777777" w:rsidR="006B113F" w:rsidRDefault="006B113F">
      <w:pPr>
        <w:widowControl w:val="0"/>
        <w:spacing w:line="240" w:lineRule="auto"/>
        <w:rPr>
          <w:rFonts w:ascii="Calibri" w:eastAsia="Calibri" w:hAnsi="Calibri" w:cs="Calibri"/>
        </w:rPr>
      </w:pPr>
    </w:p>
    <w:p w14:paraId="0077812A" w14:textId="77777777" w:rsidR="006B113F" w:rsidRDefault="006B113F">
      <w:pPr>
        <w:widowControl w:val="0"/>
        <w:spacing w:line="240" w:lineRule="auto"/>
        <w:rPr>
          <w:rFonts w:ascii="Calibri" w:eastAsia="Calibri" w:hAnsi="Calibri" w:cs="Calibri"/>
        </w:rPr>
      </w:pPr>
    </w:p>
    <w:p w14:paraId="03A2E3FB" w14:textId="77777777" w:rsidR="006B113F" w:rsidRDefault="006B113F">
      <w:pPr>
        <w:widowControl w:val="0"/>
        <w:spacing w:line="240" w:lineRule="auto"/>
        <w:rPr>
          <w:rFonts w:ascii="Calibri" w:eastAsia="Calibri" w:hAnsi="Calibri" w:cs="Calibri"/>
        </w:rPr>
      </w:pPr>
    </w:p>
    <w:p w14:paraId="1B10BEBF" w14:textId="77777777" w:rsidR="006B113F" w:rsidRDefault="00000000">
      <w:pPr>
        <w:widowControl w:val="0"/>
        <w:spacing w:line="240" w:lineRule="auto"/>
        <w:jc w:val="both"/>
        <w:rPr>
          <w:rFonts w:ascii="Calibri" w:eastAsia="Calibri" w:hAnsi="Calibri" w:cs="Calibri"/>
          <w:color w:val="365F91"/>
        </w:rPr>
      </w:pPr>
      <w:r>
        <w:br w:type="page" w:clear="all"/>
      </w:r>
    </w:p>
    <w:p w14:paraId="6C726AF3" w14:textId="77777777" w:rsidR="006B113F" w:rsidRDefault="00000000">
      <w:pPr>
        <w:pStyle w:val="berschrift1"/>
        <w:keepNext w:val="0"/>
        <w:keepLines w:val="0"/>
        <w:widowControl w:val="0"/>
        <w:tabs>
          <w:tab w:val="left" w:pos="1701"/>
        </w:tabs>
        <w:spacing w:before="0" w:after="0" w:line="240" w:lineRule="auto"/>
        <w:jc w:val="both"/>
        <w:rPr>
          <w:rFonts w:ascii="Cambria" w:eastAsia="Cambria" w:hAnsi="Cambria" w:cs="Cambria"/>
          <w:b/>
          <w:color w:val="365F91"/>
          <w:sz w:val="36"/>
          <w:szCs w:val="36"/>
        </w:rPr>
      </w:pPr>
      <w:bookmarkStart w:id="150" w:name="_Toc141280010"/>
      <w:r>
        <w:rPr>
          <w:rFonts w:ascii="Calibri" w:eastAsia="Calibri" w:hAnsi="Calibri" w:cs="Calibri"/>
          <w:b/>
          <w:color w:val="365F91"/>
          <w:sz w:val="36"/>
          <w:szCs w:val="36"/>
        </w:rPr>
        <w:lastRenderedPageBreak/>
        <w:t>Annexes</w:t>
      </w:r>
      <w:bookmarkEnd w:id="150"/>
    </w:p>
    <w:p w14:paraId="7C7DEAB7" w14:textId="77777777" w:rsidR="006B113F" w:rsidRDefault="006B113F">
      <w:pPr>
        <w:widowControl w:val="0"/>
        <w:spacing w:line="240" w:lineRule="auto"/>
        <w:ind w:left="100" w:right="60" w:hanging="360"/>
        <w:jc w:val="both"/>
        <w:rPr>
          <w:rFonts w:ascii="Calibri" w:eastAsia="Calibri" w:hAnsi="Calibri" w:cs="Calibri"/>
        </w:rPr>
      </w:pPr>
    </w:p>
    <w:p w14:paraId="05A26F70" w14:textId="77777777" w:rsidR="006B113F" w:rsidRDefault="006B113F">
      <w:pPr>
        <w:widowControl w:val="0"/>
        <w:spacing w:line="240" w:lineRule="auto"/>
        <w:ind w:left="100" w:right="60" w:hanging="360"/>
        <w:jc w:val="both"/>
        <w:rPr>
          <w:rFonts w:ascii="Calibri" w:eastAsia="Calibri" w:hAnsi="Calibri" w:cs="Calibri"/>
        </w:rPr>
      </w:pPr>
    </w:p>
    <w:p w14:paraId="4399C007" w14:textId="3F1543AF" w:rsidR="006B113F" w:rsidRDefault="00000000">
      <w:pPr>
        <w:pStyle w:val="berschrift2"/>
        <w:keepNext w:val="0"/>
        <w:keepLines w:val="0"/>
        <w:widowControl w:val="0"/>
        <w:numPr>
          <w:ilvl w:val="1"/>
          <w:numId w:val="42"/>
        </w:numPr>
        <w:spacing w:before="0" w:after="0" w:line="240" w:lineRule="auto"/>
        <w:ind w:left="425" w:hanging="425"/>
        <w:rPr>
          <w:rFonts w:ascii="Cambria" w:eastAsia="Cambria" w:hAnsi="Cambria" w:cs="Cambria"/>
          <w:b/>
          <w:sz w:val="26"/>
          <w:szCs w:val="26"/>
        </w:rPr>
      </w:pPr>
      <w:bookmarkStart w:id="151" w:name="_Toc141280011"/>
      <w:r>
        <w:rPr>
          <w:rFonts w:ascii="Calibri" w:eastAsia="Calibri" w:hAnsi="Calibri" w:cs="Calibri"/>
          <w:b/>
          <w:bCs/>
          <w:sz w:val="26"/>
          <w:szCs w:val="26"/>
        </w:rPr>
        <w:t xml:space="preserve">ANNEX </w:t>
      </w:r>
      <w:r>
        <w:rPr>
          <w:rFonts w:ascii="Calibri" w:eastAsia="Calibri" w:hAnsi="Calibri" w:cs="Calibri"/>
          <w:b/>
          <w:sz w:val="26"/>
          <w:szCs w:val="26"/>
        </w:rPr>
        <w:t xml:space="preserve">Conversion table for grades in the </w:t>
      </w:r>
      <w:r w:rsidR="00B270F7">
        <w:rPr>
          <w:rFonts w:ascii="Calibri" w:eastAsia="Calibri" w:hAnsi="Calibri" w:cs="Calibri"/>
          <w:b/>
          <w:sz w:val="26"/>
          <w:szCs w:val="26"/>
        </w:rPr>
        <w:t>XX</w:t>
      </w:r>
      <w:r>
        <w:rPr>
          <w:rFonts w:ascii="Calibri" w:eastAsia="Calibri" w:hAnsi="Calibri" w:cs="Calibri"/>
          <w:b/>
          <w:sz w:val="26"/>
          <w:szCs w:val="26"/>
        </w:rPr>
        <w:t xml:space="preserve"> joint Master programme</w:t>
      </w:r>
      <w:bookmarkEnd w:id="151"/>
      <w:r>
        <w:rPr>
          <w:rFonts w:ascii="Calibri" w:eastAsia="Calibri" w:hAnsi="Calibri" w:cs="Calibri"/>
          <w:b/>
          <w:sz w:val="26"/>
          <w:szCs w:val="26"/>
        </w:rPr>
        <w:t xml:space="preserve"> </w:t>
      </w:r>
    </w:p>
    <w:p w14:paraId="7C68AA0D" w14:textId="77777777" w:rsidR="006B113F" w:rsidRDefault="006B113F">
      <w:pPr>
        <w:widowControl w:val="0"/>
        <w:spacing w:line="240" w:lineRule="auto"/>
        <w:rPr>
          <w:rFonts w:ascii="Calibri" w:eastAsia="Calibri" w:hAnsi="Calibri" w:cs="Calibri"/>
          <w:b/>
          <w:sz w:val="24"/>
          <w:szCs w:val="24"/>
        </w:rPr>
      </w:pPr>
    </w:p>
    <w:tbl>
      <w:tblPr>
        <w:tblStyle w:val="StGen2"/>
        <w:tblW w:w="9417" w:type="dxa"/>
        <w:tblInd w:w="0" w:type="dxa"/>
        <w:tblLayout w:type="fixed"/>
        <w:tblLook w:val="0400" w:firstRow="0" w:lastRow="0" w:firstColumn="0" w:lastColumn="0" w:noHBand="0" w:noVBand="1"/>
      </w:tblPr>
      <w:tblGrid>
        <w:gridCol w:w="689"/>
        <w:gridCol w:w="1245"/>
        <w:gridCol w:w="844"/>
        <w:gridCol w:w="754"/>
        <w:gridCol w:w="1068"/>
        <w:gridCol w:w="1060"/>
        <w:gridCol w:w="993"/>
        <w:gridCol w:w="836"/>
        <w:gridCol w:w="865"/>
        <w:gridCol w:w="1063"/>
      </w:tblGrid>
      <w:tr w:rsidR="006B113F" w14:paraId="483F0461" w14:textId="77777777">
        <w:trPr>
          <w:trHeight w:val="925"/>
        </w:trPr>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0A8EF" w14:textId="77777777" w:rsidR="006B113F" w:rsidRDefault="006B113F">
            <w:pPr>
              <w:widowControl w:val="0"/>
              <w:spacing w:line="240" w:lineRule="auto"/>
              <w:rPr>
                <w:rFonts w:ascii="Times New Roman" w:eastAsia="Times New Roman" w:hAnsi="Times New Roman" w:cs="Times New Roman"/>
                <w:sz w:val="20"/>
                <w:szCs w:val="20"/>
              </w:rPr>
            </w:pPr>
          </w:p>
          <w:p w14:paraId="6F6DCE89" w14:textId="77777777" w:rsidR="006B113F" w:rsidRDefault="006B113F">
            <w:pPr>
              <w:widowControl w:val="0"/>
              <w:spacing w:line="240" w:lineRule="auto"/>
              <w:rPr>
                <w:rFonts w:ascii="Times New Roman" w:eastAsia="Times New Roman" w:hAnsi="Times New Roman" w:cs="Times New Roman"/>
                <w:sz w:val="20"/>
                <w:szCs w:val="20"/>
              </w:rPr>
            </w:pPr>
          </w:p>
          <w:p w14:paraId="62994552"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ECTS </w:t>
            </w:r>
          </w:p>
          <w:p w14:paraId="2D0535D4"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Mark</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ED417" w14:textId="77777777" w:rsidR="006B113F" w:rsidRDefault="006B113F">
            <w:pPr>
              <w:widowControl w:val="0"/>
              <w:spacing w:line="240" w:lineRule="auto"/>
              <w:rPr>
                <w:rFonts w:ascii="Times New Roman" w:eastAsia="Times New Roman" w:hAnsi="Times New Roman" w:cs="Times New Roman"/>
                <w:sz w:val="20"/>
                <w:szCs w:val="20"/>
              </w:rPr>
            </w:pPr>
          </w:p>
          <w:p w14:paraId="544B5A89" w14:textId="77777777" w:rsidR="006B113F" w:rsidRDefault="006B113F">
            <w:pPr>
              <w:widowControl w:val="0"/>
              <w:spacing w:line="240" w:lineRule="auto"/>
              <w:rPr>
                <w:rFonts w:ascii="Times New Roman" w:eastAsia="Times New Roman" w:hAnsi="Times New Roman" w:cs="Times New Roman"/>
                <w:sz w:val="20"/>
                <w:szCs w:val="20"/>
              </w:rPr>
            </w:pPr>
          </w:p>
          <w:p w14:paraId="69DD0DF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Appreciation</w:t>
            </w:r>
          </w:p>
        </w:tc>
        <w:tc>
          <w:tcPr>
            <w:tcW w:w="844" w:type="dxa"/>
            <w:tcBorders>
              <w:top w:val="single" w:sz="8" w:space="0" w:color="000000"/>
              <w:left w:val="single" w:sz="8" w:space="0" w:color="000000"/>
              <w:bottom w:val="single" w:sz="8" w:space="0" w:color="000000"/>
              <w:right w:val="single" w:sz="8" w:space="0" w:color="000000"/>
            </w:tcBorders>
          </w:tcPr>
          <w:p w14:paraId="606E830B"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Germany</w:t>
            </w:r>
          </w:p>
          <w:p w14:paraId="0AA61890" w14:textId="77777777" w:rsidR="006B113F" w:rsidRDefault="006B113F">
            <w:pPr>
              <w:widowControl w:val="0"/>
              <w:spacing w:line="240" w:lineRule="auto"/>
              <w:jc w:val="center"/>
              <w:rPr>
                <w:rFonts w:ascii="Times New Roman" w:eastAsia="Times New Roman" w:hAnsi="Times New Roman" w:cs="Times New Roman"/>
                <w:sz w:val="20"/>
                <w:szCs w:val="20"/>
              </w:rPr>
            </w:pPr>
          </w:p>
        </w:tc>
        <w:tc>
          <w:tcPr>
            <w:tcW w:w="754" w:type="dxa"/>
            <w:tcBorders>
              <w:top w:val="single" w:sz="8" w:space="0" w:color="000000"/>
              <w:left w:val="single" w:sz="8" w:space="0" w:color="000000"/>
              <w:bottom w:val="single" w:sz="8" w:space="0" w:color="000000"/>
              <w:right w:val="single" w:sz="8" w:space="0" w:color="000000"/>
            </w:tcBorders>
          </w:tcPr>
          <w:p w14:paraId="2108FE71"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Türkiye</w:t>
            </w:r>
          </w:p>
        </w:tc>
        <w:tc>
          <w:tcPr>
            <w:tcW w:w="1068" w:type="dxa"/>
            <w:tcBorders>
              <w:top w:val="single" w:sz="8" w:space="0" w:color="000000"/>
              <w:left w:val="single" w:sz="8" w:space="0" w:color="000000"/>
              <w:bottom w:val="single" w:sz="8" w:space="0" w:color="000000"/>
              <w:right w:val="single" w:sz="8" w:space="0" w:color="000000"/>
            </w:tcBorders>
          </w:tcPr>
          <w:p w14:paraId="7115FC61"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Ireland</w:t>
            </w:r>
          </w:p>
        </w:tc>
        <w:tc>
          <w:tcPr>
            <w:tcW w:w="1060" w:type="dxa"/>
            <w:tcBorders>
              <w:top w:val="single" w:sz="8" w:space="0" w:color="000000"/>
              <w:left w:val="single" w:sz="8" w:space="0" w:color="000000"/>
              <w:bottom w:val="single" w:sz="8" w:space="0" w:color="000000"/>
              <w:right w:val="single" w:sz="8" w:space="0" w:color="000000"/>
            </w:tcBorders>
          </w:tcPr>
          <w:p w14:paraId="73801271"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The</w:t>
            </w:r>
          </w:p>
          <w:p w14:paraId="135066F9"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Netherlands</w:t>
            </w:r>
          </w:p>
        </w:tc>
        <w:tc>
          <w:tcPr>
            <w:tcW w:w="993" w:type="dxa"/>
            <w:tcBorders>
              <w:top w:val="single" w:sz="8" w:space="0" w:color="000000"/>
              <w:left w:val="single" w:sz="8" w:space="0" w:color="000000"/>
              <w:bottom w:val="single" w:sz="8" w:space="0" w:color="000000"/>
              <w:right w:val="single" w:sz="8" w:space="0" w:color="000000"/>
            </w:tcBorders>
          </w:tcPr>
          <w:p w14:paraId="0E8B23EB"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Belgium (French-speaking part)</w:t>
            </w:r>
          </w:p>
        </w:tc>
        <w:tc>
          <w:tcPr>
            <w:tcW w:w="836" w:type="dxa"/>
            <w:tcBorders>
              <w:top w:val="single" w:sz="8" w:space="0" w:color="000000"/>
              <w:left w:val="single" w:sz="8" w:space="0" w:color="000000"/>
              <w:bottom w:val="single" w:sz="8" w:space="0" w:color="000000"/>
              <w:right w:val="single" w:sz="8" w:space="0" w:color="000000"/>
            </w:tcBorders>
          </w:tcPr>
          <w:p w14:paraId="0AEDB076"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Finland</w:t>
            </w:r>
          </w:p>
        </w:tc>
        <w:tc>
          <w:tcPr>
            <w:tcW w:w="865" w:type="dxa"/>
            <w:tcBorders>
              <w:top w:val="single" w:sz="8" w:space="0" w:color="000000"/>
              <w:left w:val="single" w:sz="8" w:space="0" w:color="000000"/>
              <w:bottom w:val="single" w:sz="8" w:space="0" w:color="000000"/>
              <w:right w:val="single" w:sz="8" w:space="0" w:color="000000"/>
            </w:tcBorders>
          </w:tcPr>
          <w:p w14:paraId="5B975A49"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Croatia</w:t>
            </w:r>
          </w:p>
        </w:tc>
        <w:tc>
          <w:tcPr>
            <w:tcW w:w="1063" w:type="dxa"/>
            <w:tcBorders>
              <w:top w:val="single" w:sz="8" w:space="0" w:color="000000"/>
              <w:left w:val="single" w:sz="8" w:space="0" w:color="000000"/>
              <w:bottom w:val="single" w:sz="8" w:space="0" w:color="000000"/>
              <w:right w:val="single" w:sz="8" w:space="0" w:color="000000"/>
            </w:tcBorders>
          </w:tcPr>
          <w:p w14:paraId="586F7DEE"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Spain</w:t>
            </w:r>
          </w:p>
        </w:tc>
      </w:tr>
      <w:tr w:rsidR="006B113F" w14:paraId="148DABC7" w14:textId="77777777">
        <w:trPr>
          <w:trHeight w:val="227"/>
        </w:trPr>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7CCD0"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91DA8"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w:t>
            </w:r>
          </w:p>
        </w:tc>
        <w:tc>
          <w:tcPr>
            <w:tcW w:w="844" w:type="dxa"/>
            <w:tcBorders>
              <w:top w:val="single" w:sz="8" w:space="0" w:color="000000"/>
              <w:left w:val="single" w:sz="8" w:space="0" w:color="000000"/>
              <w:bottom w:val="single" w:sz="8" w:space="0" w:color="000000"/>
              <w:right w:val="single" w:sz="8" w:space="0" w:color="000000"/>
            </w:tcBorders>
          </w:tcPr>
          <w:p w14:paraId="1313848F"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[1.0-1.3]</w:t>
            </w:r>
          </w:p>
        </w:tc>
        <w:tc>
          <w:tcPr>
            <w:tcW w:w="754" w:type="dxa"/>
            <w:tcBorders>
              <w:top w:val="single" w:sz="8" w:space="0" w:color="000000"/>
              <w:left w:val="single" w:sz="8" w:space="0" w:color="000000"/>
              <w:bottom w:val="single" w:sz="8" w:space="0" w:color="000000"/>
              <w:right w:val="single" w:sz="8" w:space="0" w:color="000000"/>
            </w:tcBorders>
          </w:tcPr>
          <w:p w14:paraId="6ED12336"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4</w:t>
            </w:r>
          </w:p>
        </w:tc>
        <w:tc>
          <w:tcPr>
            <w:tcW w:w="1068" w:type="dxa"/>
            <w:tcBorders>
              <w:top w:val="single" w:sz="8" w:space="0" w:color="000000"/>
              <w:left w:val="single" w:sz="8" w:space="0" w:color="000000"/>
              <w:bottom w:val="single" w:sz="8" w:space="0" w:color="000000"/>
              <w:right w:val="single" w:sz="8" w:space="0" w:color="000000"/>
            </w:tcBorders>
          </w:tcPr>
          <w:p w14:paraId="6840B079"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70-100%</w:t>
            </w:r>
          </w:p>
        </w:tc>
        <w:tc>
          <w:tcPr>
            <w:tcW w:w="1060" w:type="dxa"/>
            <w:tcBorders>
              <w:top w:val="single" w:sz="8" w:space="0" w:color="000000"/>
              <w:left w:val="single" w:sz="8" w:space="0" w:color="000000"/>
              <w:bottom w:val="single" w:sz="8" w:space="0" w:color="000000"/>
              <w:right w:val="single" w:sz="8" w:space="0" w:color="000000"/>
            </w:tcBorders>
          </w:tcPr>
          <w:p w14:paraId="14BEF47E"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9,5-10</w:t>
            </w:r>
          </w:p>
        </w:tc>
        <w:tc>
          <w:tcPr>
            <w:tcW w:w="993" w:type="dxa"/>
            <w:tcBorders>
              <w:top w:val="single" w:sz="8" w:space="0" w:color="000000"/>
              <w:left w:val="single" w:sz="8" w:space="0" w:color="000000"/>
              <w:bottom w:val="single" w:sz="8" w:space="0" w:color="000000"/>
              <w:right w:val="single" w:sz="8" w:space="0" w:color="000000"/>
            </w:tcBorders>
          </w:tcPr>
          <w:p w14:paraId="7CB633C7"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836" w:type="dxa"/>
            <w:tcBorders>
              <w:top w:val="single" w:sz="8" w:space="0" w:color="000000"/>
              <w:left w:val="single" w:sz="8" w:space="0" w:color="000000"/>
              <w:bottom w:val="single" w:sz="8" w:space="0" w:color="000000"/>
              <w:right w:val="single" w:sz="8" w:space="0" w:color="000000"/>
            </w:tcBorders>
          </w:tcPr>
          <w:p w14:paraId="74ED475C"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65" w:type="dxa"/>
            <w:tcBorders>
              <w:top w:val="single" w:sz="8" w:space="0" w:color="000000"/>
              <w:left w:val="single" w:sz="8" w:space="0" w:color="000000"/>
              <w:bottom w:val="single" w:sz="8" w:space="0" w:color="000000"/>
              <w:right w:val="single" w:sz="8" w:space="0" w:color="000000"/>
            </w:tcBorders>
          </w:tcPr>
          <w:p w14:paraId="4DD78E2E"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63" w:type="dxa"/>
            <w:tcBorders>
              <w:top w:val="single" w:sz="8" w:space="0" w:color="000000"/>
              <w:left w:val="single" w:sz="8" w:space="0" w:color="000000"/>
              <w:bottom w:val="single" w:sz="8" w:space="0" w:color="000000"/>
              <w:right w:val="single" w:sz="8" w:space="0" w:color="000000"/>
            </w:tcBorders>
          </w:tcPr>
          <w:p w14:paraId="61765AFE"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9,0-10</w:t>
            </w:r>
          </w:p>
        </w:tc>
      </w:tr>
      <w:tr w:rsidR="006B113F" w14:paraId="1C625CCB" w14:textId="77777777">
        <w:trPr>
          <w:trHeight w:val="227"/>
        </w:trPr>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39B2E"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4FBCB"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c>
          <w:tcPr>
            <w:tcW w:w="844" w:type="dxa"/>
            <w:tcBorders>
              <w:top w:val="single" w:sz="8" w:space="0" w:color="000000"/>
              <w:left w:val="single" w:sz="8" w:space="0" w:color="000000"/>
              <w:bottom w:val="single" w:sz="8" w:space="0" w:color="000000"/>
              <w:right w:val="single" w:sz="8" w:space="0" w:color="000000"/>
            </w:tcBorders>
          </w:tcPr>
          <w:p w14:paraId="181C6A8C"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tc>
          <w:tcPr>
            <w:tcW w:w="754" w:type="dxa"/>
            <w:tcBorders>
              <w:top w:val="single" w:sz="8" w:space="0" w:color="000000"/>
              <w:left w:val="single" w:sz="8" w:space="0" w:color="000000"/>
              <w:bottom w:val="single" w:sz="8" w:space="0" w:color="000000"/>
              <w:right w:val="single" w:sz="8" w:space="0" w:color="000000"/>
            </w:tcBorders>
          </w:tcPr>
          <w:p w14:paraId="1530417F"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 / 3,3</w:t>
            </w:r>
          </w:p>
        </w:tc>
        <w:tc>
          <w:tcPr>
            <w:tcW w:w="1068" w:type="dxa"/>
            <w:tcBorders>
              <w:top w:val="single" w:sz="8" w:space="0" w:color="000000"/>
              <w:left w:val="single" w:sz="8" w:space="0" w:color="000000"/>
              <w:bottom w:val="single" w:sz="8" w:space="0" w:color="000000"/>
              <w:right w:val="single" w:sz="8" w:space="0" w:color="000000"/>
            </w:tcBorders>
          </w:tcPr>
          <w:p w14:paraId="774D674C"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60-69%</w:t>
            </w:r>
          </w:p>
        </w:tc>
        <w:tc>
          <w:tcPr>
            <w:tcW w:w="1060" w:type="dxa"/>
            <w:tcBorders>
              <w:top w:val="single" w:sz="8" w:space="0" w:color="000000"/>
              <w:left w:val="single" w:sz="8" w:space="0" w:color="000000"/>
              <w:bottom w:val="single" w:sz="8" w:space="0" w:color="000000"/>
              <w:right w:val="single" w:sz="8" w:space="0" w:color="000000"/>
            </w:tcBorders>
          </w:tcPr>
          <w:p w14:paraId="6F80B75B"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8,5-9,4</w:t>
            </w:r>
          </w:p>
        </w:tc>
        <w:tc>
          <w:tcPr>
            <w:tcW w:w="993" w:type="dxa"/>
            <w:tcBorders>
              <w:top w:val="single" w:sz="8" w:space="0" w:color="000000"/>
              <w:left w:val="single" w:sz="8" w:space="0" w:color="000000"/>
              <w:bottom w:val="single" w:sz="8" w:space="0" w:color="000000"/>
              <w:right w:val="single" w:sz="8" w:space="0" w:color="000000"/>
            </w:tcBorders>
          </w:tcPr>
          <w:p w14:paraId="38071BD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[16-18[</w:t>
            </w:r>
          </w:p>
        </w:tc>
        <w:tc>
          <w:tcPr>
            <w:tcW w:w="836" w:type="dxa"/>
            <w:tcBorders>
              <w:top w:val="single" w:sz="8" w:space="0" w:color="000000"/>
              <w:left w:val="single" w:sz="8" w:space="0" w:color="000000"/>
              <w:bottom w:val="single" w:sz="8" w:space="0" w:color="000000"/>
              <w:right w:val="single" w:sz="8" w:space="0" w:color="000000"/>
            </w:tcBorders>
          </w:tcPr>
          <w:p w14:paraId="03C4C63B"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65" w:type="dxa"/>
            <w:tcBorders>
              <w:top w:val="single" w:sz="8" w:space="0" w:color="000000"/>
              <w:left w:val="single" w:sz="8" w:space="0" w:color="000000"/>
              <w:bottom w:val="single" w:sz="8" w:space="0" w:color="000000"/>
              <w:right w:val="single" w:sz="8" w:space="0" w:color="000000"/>
            </w:tcBorders>
          </w:tcPr>
          <w:p w14:paraId="2EF569D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63" w:type="dxa"/>
            <w:tcBorders>
              <w:top w:val="single" w:sz="8" w:space="0" w:color="000000"/>
              <w:left w:val="single" w:sz="8" w:space="0" w:color="000000"/>
              <w:bottom w:val="single" w:sz="8" w:space="0" w:color="000000"/>
              <w:right w:val="single" w:sz="8" w:space="0" w:color="000000"/>
            </w:tcBorders>
          </w:tcPr>
          <w:p w14:paraId="17EA8E50"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8,0-8,9</w:t>
            </w:r>
          </w:p>
        </w:tc>
      </w:tr>
      <w:tr w:rsidR="006B113F" w14:paraId="3EDA5157" w14:textId="77777777">
        <w:trPr>
          <w:trHeight w:val="227"/>
        </w:trPr>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EA766"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8AAC0"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844" w:type="dxa"/>
            <w:tcBorders>
              <w:top w:val="single" w:sz="8" w:space="0" w:color="000000"/>
              <w:left w:val="single" w:sz="8" w:space="0" w:color="000000"/>
              <w:bottom w:val="single" w:sz="8" w:space="0" w:color="000000"/>
              <w:right w:val="single" w:sz="8" w:space="0" w:color="000000"/>
            </w:tcBorders>
          </w:tcPr>
          <w:p w14:paraId="1A7B7885"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]2.0-2.7]</w:t>
            </w:r>
          </w:p>
        </w:tc>
        <w:tc>
          <w:tcPr>
            <w:tcW w:w="754" w:type="dxa"/>
            <w:tcBorders>
              <w:top w:val="single" w:sz="8" w:space="0" w:color="000000"/>
              <w:left w:val="single" w:sz="8" w:space="0" w:color="000000"/>
              <w:bottom w:val="single" w:sz="8" w:space="0" w:color="000000"/>
              <w:right w:val="single" w:sz="8" w:space="0" w:color="000000"/>
            </w:tcBorders>
          </w:tcPr>
          <w:p w14:paraId="0DCB4808"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 / 2,7</w:t>
            </w:r>
          </w:p>
        </w:tc>
        <w:tc>
          <w:tcPr>
            <w:tcW w:w="1068" w:type="dxa"/>
            <w:tcBorders>
              <w:top w:val="single" w:sz="8" w:space="0" w:color="000000"/>
              <w:left w:val="single" w:sz="8" w:space="0" w:color="000000"/>
              <w:bottom w:val="single" w:sz="8" w:space="0" w:color="000000"/>
              <w:right w:val="single" w:sz="8" w:space="0" w:color="000000"/>
            </w:tcBorders>
          </w:tcPr>
          <w:p w14:paraId="4A9719D8"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50-59%</w:t>
            </w:r>
          </w:p>
        </w:tc>
        <w:tc>
          <w:tcPr>
            <w:tcW w:w="1060" w:type="dxa"/>
            <w:tcBorders>
              <w:top w:val="single" w:sz="8" w:space="0" w:color="000000"/>
              <w:left w:val="single" w:sz="8" w:space="0" w:color="000000"/>
              <w:bottom w:val="single" w:sz="8" w:space="0" w:color="000000"/>
              <w:right w:val="single" w:sz="8" w:space="0" w:color="000000"/>
            </w:tcBorders>
          </w:tcPr>
          <w:p w14:paraId="21C7637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7,5-8,4</w:t>
            </w:r>
          </w:p>
        </w:tc>
        <w:tc>
          <w:tcPr>
            <w:tcW w:w="993" w:type="dxa"/>
            <w:tcBorders>
              <w:top w:val="single" w:sz="8" w:space="0" w:color="000000"/>
              <w:left w:val="single" w:sz="8" w:space="0" w:color="000000"/>
              <w:bottom w:val="single" w:sz="8" w:space="0" w:color="000000"/>
              <w:right w:val="single" w:sz="8" w:space="0" w:color="000000"/>
            </w:tcBorders>
          </w:tcPr>
          <w:p w14:paraId="79407B16"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[14-16[</w:t>
            </w:r>
          </w:p>
        </w:tc>
        <w:tc>
          <w:tcPr>
            <w:tcW w:w="836" w:type="dxa"/>
            <w:tcBorders>
              <w:top w:val="single" w:sz="8" w:space="0" w:color="000000"/>
              <w:left w:val="single" w:sz="8" w:space="0" w:color="000000"/>
              <w:bottom w:val="single" w:sz="8" w:space="0" w:color="000000"/>
              <w:right w:val="single" w:sz="8" w:space="0" w:color="000000"/>
            </w:tcBorders>
          </w:tcPr>
          <w:p w14:paraId="39BF028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65" w:type="dxa"/>
            <w:tcBorders>
              <w:top w:val="single" w:sz="8" w:space="0" w:color="000000"/>
              <w:left w:val="single" w:sz="8" w:space="0" w:color="000000"/>
              <w:bottom w:val="single" w:sz="8" w:space="0" w:color="000000"/>
              <w:right w:val="single" w:sz="8" w:space="0" w:color="000000"/>
            </w:tcBorders>
          </w:tcPr>
          <w:p w14:paraId="6FD1323C"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63" w:type="dxa"/>
            <w:tcBorders>
              <w:top w:val="single" w:sz="8" w:space="0" w:color="000000"/>
              <w:left w:val="single" w:sz="8" w:space="0" w:color="000000"/>
              <w:bottom w:val="single" w:sz="8" w:space="0" w:color="000000"/>
              <w:right w:val="single" w:sz="8" w:space="0" w:color="000000"/>
            </w:tcBorders>
          </w:tcPr>
          <w:p w14:paraId="47811A4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7,0-7,9</w:t>
            </w:r>
          </w:p>
        </w:tc>
      </w:tr>
      <w:tr w:rsidR="006B113F" w14:paraId="5609917B" w14:textId="77777777">
        <w:trPr>
          <w:trHeight w:val="227"/>
        </w:trPr>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F42E2"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5AE7F"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Satisfactory</w:t>
            </w:r>
          </w:p>
        </w:tc>
        <w:tc>
          <w:tcPr>
            <w:tcW w:w="844" w:type="dxa"/>
            <w:tcBorders>
              <w:top w:val="single" w:sz="8" w:space="0" w:color="000000"/>
              <w:left w:val="single" w:sz="8" w:space="0" w:color="000000"/>
              <w:bottom w:val="single" w:sz="8" w:space="0" w:color="000000"/>
              <w:right w:val="single" w:sz="8" w:space="0" w:color="000000"/>
            </w:tcBorders>
          </w:tcPr>
          <w:p w14:paraId="3AE4022C"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]2.7-3.3]</w:t>
            </w:r>
          </w:p>
        </w:tc>
        <w:tc>
          <w:tcPr>
            <w:tcW w:w="754" w:type="dxa"/>
            <w:tcBorders>
              <w:top w:val="single" w:sz="8" w:space="0" w:color="000000"/>
              <w:left w:val="single" w:sz="8" w:space="0" w:color="000000"/>
              <w:bottom w:val="single" w:sz="8" w:space="0" w:color="000000"/>
              <w:right w:val="single" w:sz="8" w:space="0" w:color="000000"/>
            </w:tcBorders>
          </w:tcPr>
          <w:p w14:paraId="58342920"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 / 2,3</w:t>
            </w:r>
          </w:p>
        </w:tc>
        <w:tc>
          <w:tcPr>
            <w:tcW w:w="1068" w:type="dxa"/>
            <w:tcBorders>
              <w:top w:val="single" w:sz="8" w:space="0" w:color="000000"/>
              <w:left w:val="single" w:sz="8" w:space="0" w:color="000000"/>
              <w:bottom w:val="single" w:sz="8" w:space="0" w:color="000000"/>
              <w:right w:val="single" w:sz="8" w:space="0" w:color="000000"/>
            </w:tcBorders>
          </w:tcPr>
          <w:p w14:paraId="641A93F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45-49%</w:t>
            </w:r>
          </w:p>
        </w:tc>
        <w:tc>
          <w:tcPr>
            <w:tcW w:w="1060" w:type="dxa"/>
            <w:tcBorders>
              <w:top w:val="single" w:sz="8" w:space="0" w:color="000000"/>
              <w:left w:val="single" w:sz="8" w:space="0" w:color="000000"/>
              <w:bottom w:val="single" w:sz="8" w:space="0" w:color="000000"/>
              <w:right w:val="single" w:sz="8" w:space="0" w:color="000000"/>
            </w:tcBorders>
          </w:tcPr>
          <w:p w14:paraId="6AABD87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6,5-7,4</w:t>
            </w:r>
          </w:p>
        </w:tc>
        <w:tc>
          <w:tcPr>
            <w:tcW w:w="993" w:type="dxa"/>
            <w:tcBorders>
              <w:top w:val="single" w:sz="8" w:space="0" w:color="000000"/>
              <w:left w:val="single" w:sz="8" w:space="0" w:color="000000"/>
              <w:bottom w:val="single" w:sz="8" w:space="0" w:color="000000"/>
              <w:right w:val="single" w:sz="8" w:space="0" w:color="000000"/>
            </w:tcBorders>
          </w:tcPr>
          <w:p w14:paraId="5D9CA76C"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[12-14[</w:t>
            </w:r>
          </w:p>
        </w:tc>
        <w:tc>
          <w:tcPr>
            <w:tcW w:w="836" w:type="dxa"/>
            <w:tcBorders>
              <w:top w:val="single" w:sz="8" w:space="0" w:color="000000"/>
              <w:left w:val="single" w:sz="8" w:space="0" w:color="000000"/>
              <w:bottom w:val="single" w:sz="8" w:space="0" w:color="000000"/>
              <w:right w:val="single" w:sz="8" w:space="0" w:color="000000"/>
            </w:tcBorders>
          </w:tcPr>
          <w:p w14:paraId="5DCFB1A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65" w:type="dxa"/>
            <w:tcBorders>
              <w:top w:val="single" w:sz="8" w:space="0" w:color="000000"/>
              <w:left w:val="single" w:sz="8" w:space="0" w:color="000000"/>
              <w:bottom w:val="single" w:sz="8" w:space="0" w:color="000000"/>
              <w:right w:val="single" w:sz="8" w:space="0" w:color="000000"/>
            </w:tcBorders>
          </w:tcPr>
          <w:p w14:paraId="03E012B7"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63" w:type="dxa"/>
            <w:tcBorders>
              <w:top w:val="single" w:sz="8" w:space="0" w:color="000000"/>
              <w:left w:val="single" w:sz="8" w:space="0" w:color="000000"/>
              <w:bottom w:val="single" w:sz="8" w:space="0" w:color="000000"/>
              <w:right w:val="single" w:sz="8" w:space="0" w:color="000000"/>
            </w:tcBorders>
          </w:tcPr>
          <w:p w14:paraId="463ABA4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6,0-6,9</w:t>
            </w:r>
          </w:p>
        </w:tc>
      </w:tr>
      <w:tr w:rsidR="006B113F" w14:paraId="1C85B698" w14:textId="77777777">
        <w:trPr>
          <w:trHeight w:val="227"/>
        </w:trPr>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F0B67"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54196"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Sufficient</w:t>
            </w:r>
          </w:p>
        </w:tc>
        <w:tc>
          <w:tcPr>
            <w:tcW w:w="844" w:type="dxa"/>
            <w:tcBorders>
              <w:top w:val="single" w:sz="8" w:space="0" w:color="000000"/>
              <w:left w:val="single" w:sz="8" w:space="0" w:color="000000"/>
              <w:bottom w:val="single" w:sz="8" w:space="0" w:color="000000"/>
              <w:right w:val="single" w:sz="8" w:space="0" w:color="000000"/>
            </w:tcBorders>
          </w:tcPr>
          <w:p w14:paraId="66B20928"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]3.3-4.0]</w:t>
            </w:r>
          </w:p>
        </w:tc>
        <w:tc>
          <w:tcPr>
            <w:tcW w:w="754" w:type="dxa"/>
            <w:tcBorders>
              <w:top w:val="single" w:sz="8" w:space="0" w:color="000000"/>
              <w:left w:val="single" w:sz="8" w:space="0" w:color="000000"/>
              <w:bottom w:val="single" w:sz="8" w:space="0" w:color="000000"/>
              <w:right w:val="single" w:sz="8" w:space="0" w:color="000000"/>
            </w:tcBorders>
          </w:tcPr>
          <w:p w14:paraId="5716326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 / 2</w:t>
            </w:r>
          </w:p>
        </w:tc>
        <w:tc>
          <w:tcPr>
            <w:tcW w:w="1068" w:type="dxa"/>
            <w:tcBorders>
              <w:top w:val="single" w:sz="8" w:space="0" w:color="000000"/>
              <w:left w:val="single" w:sz="8" w:space="0" w:color="000000"/>
              <w:bottom w:val="single" w:sz="8" w:space="0" w:color="000000"/>
              <w:right w:val="single" w:sz="8" w:space="0" w:color="000000"/>
            </w:tcBorders>
          </w:tcPr>
          <w:p w14:paraId="099952D9"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40-44%</w:t>
            </w:r>
          </w:p>
        </w:tc>
        <w:tc>
          <w:tcPr>
            <w:tcW w:w="1060" w:type="dxa"/>
            <w:tcBorders>
              <w:top w:val="single" w:sz="8" w:space="0" w:color="000000"/>
              <w:left w:val="single" w:sz="8" w:space="0" w:color="000000"/>
              <w:bottom w:val="single" w:sz="8" w:space="0" w:color="000000"/>
              <w:right w:val="single" w:sz="8" w:space="0" w:color="000000"/>
            </w:tcBorders>
          </w:tcPr>
          <w:p w14:paraId="5A0BFAB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5,5-6,4</w:t>
            </w:r>
          </w:p>
        </w:tc>
        <w:tc>
          <w:tcPr>
            <w:tcW w:w="993" w:type="dxa"/>
            <w:tcBorders>
              <w:top w:val="single" w:sz="8" w:space="0" w:color="000000"/>
              <w:left w:val="single" w:sz="8" w:space="0" w:color="000000"/>
              <w:bottom w:val="single" w:sz="8" w:space="0" w:color="000000"/>
              <w:right w:val="single" w:sz="8" w:space="0" w:color="000000"/>
            </w:tcBorders>
          </w:tcPr>
          <w:p w14:paraId="189F0F70"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[10-12[</w:t>
            </w:r>
          </w:p>
        </w:tc>
        <w:tc>
          <w:tcPr>
            <w:tcW w:w="836" w:type="dxa"/>
            <w:tcBorders>
              <w:top w:val="single" w:sz="8" w:space="0" w:color="000000"/>
              <w:left w:val="single" w:sz="8" w:space="0" w:color="000000"/>
              <w:bottom w:val="single" w:sz="8" w:space="0" w:color="000000"/>
              <w:right w:val="single" w:sz="8" w:space="0" w:color="000000"/>
            </w:tcBorders>
          </w:tcPr>
          <w:p w14:paraId="291FE8F2"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65" w:type="dxa"/>
            <w:tcBorders>
              <w:top w:val="single" w:sz="8" w:space="0" w:color="000000"/>
              <w:left w:val="single" w:sz="8" w:space="0" w:color="000000"/>
              <w:bottom w:val="single" w:sz="8" w:space="0" w:color="000000"/>
              <w:right w:val="single" w:sz="8" w:space="0" w:color="000000"/>
            </w:tcBorders>
          </w:tcPr>
          <w:p w14:paraId="48385AA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63" w:type="dxa"/>
            <w:tcBorders>
              <w:top w:val="single" w:sz="8" w:space="0" w:color="000000"/>
              <w:left w:val="single" w:sz="8" w:space="0" w:color="000000"/>
              <w:bottom w:val="single" w:sz="8" w:space="0" w:color="000000"/>
              <w:right w:val="single" w:sz="8" w:space="0" w:color="000000"/>
            </w:tcBorders>
          </w:tcPr>
          <w:p w14:paraId="34FB01E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5,0-5,9</w:t>
            </w:r>
          </w:p>
        </w:tc>
      </w:tr>
      <w:tr w:rsidR="006B113F" w14:paraId="3BC17BCB" w14:textId="77777777">
        <w:trPr>
          <w:trHeight w:val="343"/>
        </w:trPr>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AA25C"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385A8"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w:t>
            </w:r>
          </w:p>
        </w:tc>
        <w:tc>
          <w:tcPr>
            <w:tcW w:w="844" w:type="dxa"/>
            <w:tcBorders>
              <w:top w:val="single" w:sz="8" w:space="0" w:color="000000"/>
              <w:left w:val="single" w:sz="8" w:space="0" w:color="000000"/>
              <w:bottom w:val="single" w:sz="8" w:space="0" w:color="000000"/>
              <w:right w:val="single" w:sz="8" w:space="0" w:color="000000"/>
            </w:tcBorders>
          </w:tcPr>
          <w:p w14:paraId="735B3686"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754" w:type="dxa"/>
            <w:tcBorders>
              <w:top w:val="single" w:sz="8" w:space="0" w:color="000000"/>
              <w:left w:val="single" w:sz="8" w:space="0" w:color="000000"/>
              <w:bottom w:val="single" w:sz="8" w:space="0" w:color="000000"/>
              <w:right w:val="single" w:sz="8" w:space="0" w:color="000000"/>
            </w:tcBorders>
          </w:tcPr>
          <w:p w14:paraId="0D47B13D"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 D + F / 0</w:t>
            </w:r>
          </w:p>
        </w:tc>
        <w:tc>
          <w:tcPr>
            <w:tcW w:w="1068" w:type="dxa"/>
            <w:tcBorders>
              <w:top w:val="single" w:sz="8" w:space="0" w:color="000000"/>
              <w:left w:val="single" w:sz="8" w:space="0" w:color="000000"/>
              <w:bottom w:val="single" w:sz="8" w:space="0" w:color="000000"/>
              <w:right w:val="single" w:sz="8" w:space="0" w:color="000000"/>
            </w:tcBorders>
          </w:tcPr>
          <w:p w14:paraId="12671CB2"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c>
          <w:tcPr>
            <w:tcW w:w="1060" w:type="dxa"/>
            <w:tcBorders>
              <w:top w:val="single" w:sz="8" w:space="0" w:color="000000"/>
              <w:left w:val="single" w:sz="8" w:space="0" w:color="000000"/>
              <w:bottom w:val="single" w:sz="8" w:space="0" w:color="000000"/>
              <w:right w:val="single" w:sz="8" w:space="0" w:color="000000"/>
            </w:tcBorders>
          </w:tcPr>
          <w:p w14:paraId="18C4A099"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1,0-5,4</w:t>
            </w:r>
          </w:p>
        </w:tc>
        <w:tc>
          <w:tcPr>
            <w:tcW w:w="993" w:type="dxa"/>
            <w:tcBorders>
              <w:top w:val="single" w:sz="8" w:space="0" w:color="000000"/>
              <w:left w:val="single" w:sz="8" w:space="0" w:color="000000"/>
              <w:bottom w:val="single" w:sz="8" w:space="0" w:color="000000"/>
              <w:right w:val="single" w:sz="8" w:space="0" w:color="000000"/>
            </w:tcBorders>
          </w:tcPr>
          <w:p w14:paraId="4A51CF72"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836" w:type="dxa"/>
            <w:tcBorders>
              <w:top w:val="single" w:sz="8" w:space="0" w:color="000000"/>
              <w:left w:val="single" w:sz="8" w:space="0" w:color="000000"/>
              <w:bottom w:val="single" w:sz="8" w:space="0" w:color="000000"/>
              <w:right w:val="single" w:sz="8" w:space="0" w:color="000000"/>
            </w:tcBorders>
          </w:tcPr>
          <w:p w14:paraId="3F90154A"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5" w:type="dxa"/>
            <w:tcBorders>
              <w:top w:val="single" w:sz="8" w:space="0" w:color="000000"/>
              <w:left w:val="single" w:sz="8" w:space="0" w:color="000000"/>
              <w:bottom w:val="single" w:sz="8" w:space="0" w:color="000000"/>
              <w:right w:val="single" w:sz="8" w:space="0" w:color="000000"/>
            </w:tcBorders>
          </w:tcPr>
          <w:p w14:paraId="158D9FA9"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63" w:type="dxa"/>
            <w:tcBorders>
              <w:top w:val="single" w:sz="8" w:space="0" w:color="000000"/>
              <w:left w:val="single" w:sz="8" w:space="0" w:color="000000"/>
              <w:bottom w:val="single" w:sz="8" w:space="0" w:color="000000"/>
              <w:right w:val="single" w:sz="8" w:space="0" w:color="000000"/>
            </w:tcBorders>
          </w:tcPr>
          <w:p w14:paraId="7532DFD2" w14:textId="77777777" w:rsidR="006B113F"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0-4,9</w:t>
            </w:r>
          </w:p>
        </w:tc>
      </w:tr>
    </w:tbl>
    <w:p w14:paraId="08B6E202" w14:textId="77777777" w:rsidR="006B113F" w:rsidRDefault="006B113F">
      <w:pPr>
        <w:widowControl w:val="0"/>
        <w:spacing w:line="240" w:lineRule="auto"/>
        <w:rPr>
          <w:rFonts w:ascii="Calibri" w:eastAsia="Calibri" w:hAnsi="Calibri" w:cs="Calibri"/>
        </w:rPr>
      </w:pPr>
    </w:p>
    <w:p w14:paraId="6B09103C" w14:textId="77777777" w:rsidR="006B113F" w:rsidRDefault="00000000">
      <w:pPr>
        <w:widowControl w:val="0"/>
        <w:spacing w:line="240" w:lineRule="auto"/>
        <w:rPr>
          <w:rFonts w:ascii="Calibri" w:eastAsia="Calibri" w:hAnsi="Calibri" w:cs="Calibri"/>
        </w:rPr>
      </w:pPr>
      <w:r>
        <w:rPr>
          <w:rFonts w:ascii="Calibri" w:eastAsia="Calibri" w:hAnsi="Calibri" w:cs="Calibri"/>
        </w:rPr>
        <w:t>Definitions:</w:t>
      </w:r>
    </w:p>
    <w:p w14:paraId="55C0BFC3" w14:textId="77777777" w:rsidR="006B113F" w:rsidRDefault="00000000">
      <w:pPr>
        <w:widowControl w:val="0"/>
        <w:spacing w:line="240" w:lineRule="auto"/>
        <w:ind w:left="360"/>
        <w:jc w:val="both"/>
        <w:rPr>
          <w:rFonts w:ascii="Calibri" w:eastAsia="Calibri" w:hAnsi="Calibri" w:cs="Calibri"/>
        </w:rPr>
      </w:pPr>
      <w:r>
        <w:rPr>
          <w:rFonts w:ascii="Calibri" w:eastAsia="Calibri" w:hAnsi="Calibri" w:cs="Calibri"/>
        </w:rPr>
        <w:t>A</w:t>
      </w:r>
      <w:r>
        <w:rPr>
          <w:rFonts w:ascii="Calibri" w:eastAsia="Calibri" w:hAnsi="Calibri" w:cs="Calibri"/>
        </w:rPr>
        <w:tab/>
        <w:t xml:space="preserve">EXCELLENT - outstanding performance with none or only minor errors </w:t>
      </w:r>
    </w:p>
    <w:p w14:paraId="5E898051" w14:textId="77777777" w:rsidR="006B113F" w:rsidRDefault="00000000">
      <w:pPr>
        <w:widowControl w:val="0"/>
        <w:spacing w:line="240" w:lineRule="auto"/>
        <w:ind w:left="360"/>
        <w:rPr>
          <w:rFonts w:ascii="Calibri" w:eastAsia="Calibri" w:hAnsi="Calibri" w:cs="Calibri"/>
        </w:rPr>
      </w:pPr>
      <w:r>
        <w:rPr>
          <w:rFonts w:ascii="Calibri" w:eastAsia="Calibri" w:hAnsi="Calibri" w:cs="Calibri"/>
        </w:rPr>
        <w:t>B</w:t>
      </w:r>
      <w:r>
        <w:rPr>
          <w:rFonts w:ascii="Calibri" w:eastAsia="Calibri" w:hAnsi="Calibri" w:cs="Calibri"/>
        </w:rPr>
        <w:tab/>
        <w:t xml:space="preserve">VERY GOOD - above the average standard but with some errors </w:t>
      </w:r>
    </w:p>
    <w:p w14:paraId="5C0C9384" w14:textId="77777777" w:rsidR="006B113F" w:rsidRDefault="00000000">
      <w:pPr>
        <w:widowControl w:val="0"/>
        <w:spacing w:line="240" w:lineRule="auto"/>
        <w:ind w:left="360"/>
        <w:jc w:val="both"/>
        <w:rPr>
          <w:rFonts w:ascii="Calibri" w:eastAsia="Calibri" w:hAnsi="Calibri" w:cs="Calibri"/>
        </w:rPr>
      </w:pPr>
      <w:r>
        <w:rPr>
          <w:rFonts w:ascii="Calibri" w:eastAsia="Calibri" w:hAnsi="Calibri" w:cs="Calibri"/>
        </w:rPr>
        <w:t>C</w:t>
      </w:r>
      <w:r>
        <w:rPr>
          <w:rFonts w:ascii="Calibri" w:eastAsia="Calibri" w:hAnsi="Calibri" w:cs="Calibri"/>
        </w:rPr>
        <w:tab/>
        <w:t xml:space="preserve">GOOD - generally sound work with a number of notable errors </w:t>
      </w:r>
    </w:p>
    <w:p w14:paraId="698424F7" w14:textId="77777777" w:rsidR="006B113F" w:rsidRDefault="00000000">
      <w:pPr>
        <w:widowControl w:val="0"/>
        <w:spacing w:line="240" w:lineRule="auto"/>
        <w:ind w:left="360"/>
        <w:jc w:val="both"/>
        <w:rPr>
          <w:rFonts w:ascii="Calibri" w:eastAsia="Calibri" w:hAnsi="Calibri" w:cs="Calibri"/>
        </w:rPr>
      </w:pPr>
      <w:r>
        <w:rPr>
          <w:rFonts w:ascii="Calibri" w:eastAsia="Calibri" w:hAnsi="Calibri" w:cs="Calibri"/>
        </w:rPr>
        <w:t>D</w:t>
      </w:r>
      <w:r>
        <w:rPr>
          <w:rFonts w:ascii="Calibri" w:eastAsia="Calibri" w:hAnsi="Calibri" w:cs="Calibri"/>
        </w:rPr>
        <w:tab/>
        <w:t xml:space="preserve">SATISFACTORY - fair but with significant shortcomings </w:t>
      </w:r>
    </w:p>
    <w:p w14:paraId="0D8AF4CB" w14:textId="77777777" w:rsidR="006B113F" w:rsidRDefault="00000000">
      <w:pPr>
        <w:widowControl w:val="0"/>
        <w:spacing w:line="240" w:lineRule="auto"/>
        <w:ind w:left="360"/>
        <w:jc w:val="both"/>
        <w:rPr>
          <w:rFonts w:ascii="Calibri" w:eastAsia="Calibri" w:hAnsi="Calibri" w:cs="Calibri"/>
        </w:rPr>
      </w:pPr>
      <w:r>
        <w:rPr>
          <w:rFonts w:ascii="Calibri" w:eastAsia="Calibri" w:hAnsi="Calibri" w:cs="Calibri"/>
        </w:rPr>
        <w:t>E</w:t>
      </w:r>
      <w:r>
        <w:rPr>
          <w:rFonts w:ascii="Calibri" w:eastAsia="Calibri" w:hAnsi="Calibri" w:cs="Calibri"/>
        </w:rPr>
        <w:tab/>
        <w:t xml:space="preserve">SUFFICIENT - performance meets the minimum criteria </w:t>
      </w:r>
    </w:p>
    <w:p w14:paraId="26DDDA27" w14:textId="77777777" w:rsidR="006B113F" w:rsidRDefault="00000000">
      <w:pPr>
        <w:widowControl w:val="0"/>
        <w:spacing w:line="240" w:lineRule="auto"/>
        <w:ind w:left="360"/>
        <w:jc w:val="both"/>
        <w:rPr>
          <w:rFonts w:ascii="Calibri" w:eastAsia="Calibri" w:hAnsi="Calibri" w:cs="Calibri"/>
        </w:rPr>
      </w:pPr>
      <w:r>
        <w:rPr>
          <w:rFonts w:ascii="Calibri" w:eastAsia="Calibri" w:hAnsi="Calibri" w:cs="Calibri"/>
        </w:rPr>
        <w:t>F</w:t>
      </w:r>
      <w:r>
        <w:rPr>
          <w:rFonts w:ascii="Calibri" w:eastAsia="Calibri" w:hAnsi="Calibri" w:cs="Calibri"/>
        </w:rPr>
        <w:tab/>
        <w:t>FAIL - considerable further work is required</w:t>
      </w:r>
    </w:p>
    <w:p w14:paraId="2806CBCF" w14:textId="77777777" w:rsidR="006B113F" w:rsidRDefault="006B113F">
      <w:pPr>
        <w:widowControl w:val="0"/>
        <w:spacing w:line="240" w:lineRule="auto"/>
        <w:ind w:left="360"/>
        <w:jc w:val="both"/>
        <w:rPr>
          <w:rFonts w:ascii="Calibri" w:eastAsia="Calibri" w:hAnsi="Calibri" w:cs="Calibri"/>
        </w:rPr>
      </w:pPr>
    </w:p>
    <w:p w14:paraId="27C57C2C" w14:textId="77777777" w:rsidR="006B113F" w:rsidRDefault="00000000">
      <w:pPr>
        <w:widowControl w:val="0"/>
        <w:spacing w:line="240" w:lineRule="auto"/>
        <w:jc w:val="both"/>
        <w:rPr>
          <w:rFonts w:ascii="Calibri" w:eastAsia="Calibri" w:hAnsi="Calibri" w:cs="Calibri"/>
          <w:sz w:val="18"/>
          <w:szCs w:val="18"/>
        </w:rPr>
      </w:pPr>
      <w:r>
        <w:rPr>
          <w:rFonts w:ascii="Calibri" w:eastAsia="Calibri" w:hAnsi="Calibri" w:cs="Calibri"/>
          <w:sz w:val="18"/>
          <w:szCs w:val="18"/>
        </w:rPr>
        <w:t xml:space="preserve">Note: The above table serves for conversion of grades only and does not involve any information about progress in the degree programme. </w:t>
      </w:r>
      <w:r>
        <w:rPr>
          <w:rStyle w:val="cf01"/>
          <w:sz w:val="16"/>
          <w:szCs w:val="16"/>
        </w:rPr>
        <w:t>Different faculty and study level academic requirements may apply.</w:t>
      </w:r>
    </w:p>
    <w:p w14:paraId="5E3971C2" w14:textId="77777777" w:rsidR="006B113F" w:rsidRDefault="006B113F">
      <w:pPr>
        <w:widowControl w:val="0"/>
        <w:spacing w:line="240" w:lineRule="auto"/>
        <w:ind w:left="360"/>
        <w:jc w:val="both"/>
        <w:rPr>
          <w:rFonts w:ascii="Calibri" w:eastAsia="Calibri" w:hAnsi="Calibri" w:cs="Calibri"/>
        </w:rPr>
      </w:pPr>
    </w:p>
    <w:p w14:paraId="5CCE0E25" w14:textId="77777777" w:rsidR="006B113F" w:rsidRDefault="006B113F">
      <w:pPr>
        <w:widowControl w:val="0"/>
        <w:spacing w:line="240" w:lineRule="auto"/>
        <w:ind w:left="360"/>
        <w:jc w:val="both"/>
        <w:rPr>
          <w:rFonts w:ascii="Calibri" w:eastAsia="Calibri" w:hAnsi="Calibri" w:cs="Calibri"/>
        </w:rPr>
      </w:pPr>
    </w:p>
    <w:p w14:paraId="68018625" w14:textId="77777777" w:rsidR="006B113F" w:rsidRDefault="006B113F">
      <w:pPr>
        <w:widowControl w:val="0"/>
        <w:spacing w:line="240" w:lineRule="auto"/>
        <w:ind w:left="360"/>
        <w:jc w:val="both"/>
        <w:rPr>
          <w:rFonts w:ascii="Calibri" w:eastAsia="Calibri" w:hAnsi="Calibri" w:cs="Calibri"/>
        </w:rPr>
      </w:pPr>
    </w:p>
    <w:p w14:paraId="1D841814" w14:textId="77777777" w:rsidR="006B113F" w:rsidRDefault="006B113F">
      <w:pPr>
        <w:widowControl w:val="0"/>
        <w:spacing w:line="240" w:lineRule="auto"/>
        <w:ind w:left="360"/>
        <w:jc w:val="both"/>
        <w:rPr>
          <w:rFonts w:ascii="Calibri" w:eastAsia="Calibri" w:hAnsi="Calibri" w:cs="Calibri"/>
        </w:rPr>
      </w:pPr>
    </w:p>
    <w:p w14:paraId="6F9C7A8C" w14:textId="77777777" w:rsidR="006B113F" w:rsidRDefault="00000000">
      <w:pPr>
        <w:spacing w:line="240" w:lineRule="auto"/>
        <w:rPr>
          <w:rFonts w:ascii="Calibri" w:eastAsia="Calibri" w:hAnsi="Calibri" w:cs="Calibri"/>
        </w:rPr>
      </w:pPr>
      <w:r>
        <w:rPr>
          <w:rFonts w:ascii="Calibri" w:eastAsia="Calibri" w:hAnsi="Calibri" w:cs="Calibri"/>
        </w:rPr>
        <w:br w:type="page" w:clear="all"/>
      </w:r>
    </w:p>
    <w:p w14:paraId="61165168" w14:textId="2DEBFE49" w:rsidR="006B113F" w:rsidRDefault="00000000">
      <w:pPr>
        <w:pStyle w:val="berschrift2"/>
        <w:keepNext w:val="0"/>
        <w:keepLines w:val="0"/>
        <w:widowControl w:val="0"/>
        <w:numPr>
          <w:ilvl w:val="1"/>
          <w:numId w:val="42"/>
        </w:numPr>
        <w:spacing w:before="0" w:after="0" w:line="240" w:lineRule="auto"/>
        <w:ind w:left="425" w:hanging="425"/>
        <w:rPr>
          <w:rFonts w:asciiTheme="majorHAnsi" w:eastAsia="Cambria" w:hAnsiTheme="majorHAnsi" w:cstheme="majorHAnsi"/>
          <w:b/>
          <w:sz w:val="26"/>
          <w:szCs w:val="26"/>
        </w:rPr>
      </w:pPr>
      <w:bookmarkStart w:id="152" w:name="_Toc141280012"/>
      <w:r>
        <w:rPr>
          <w:rFonts w:ascii="Calibri" w:eastAsia="Calibri" w:hAnsi="Calibri" w:cs="Calibri"/>
          <w:b/>
          <w:bCs/>
          <w:sz w:val="26"/>
          <w:szCs w:val="26"/>
        </w:rPr>
        <w:lastRenderedPageBreak/>
        <w:t xml:space="preserve">ANNEX Usage of personal data in </w:t>
      </w:r>
      <w:bookmarkEnd w:id="152"/>
      <w:r w:rsidR="00B270F7">
        <w:rPr>
          <w:rFonts w:ascii="Calibri" w:eastAsia="Calibri" w:hAnsi="Calibri" w:cs="Calibri"/>
          <w:b/>
          <w:bCs/>
          <w:sz w:val="26"/>
          <w:szCs w:val="26"/>
        </w:rPr>
        <w:t>XX</w:t>
      </w:r>
    </w:p>
    <w:p w14:paraId="303DE90F" w14:textId="77777777" w:rsidR="006B113F" w:rsidRDefault="006B113F">
      <w:pPr>
        <w:spacing w:line="240" w:lineRule="auto"/>
      </w:pPr>
    </w:p>
    <w:p w14:paraId="5222BBF7" w14:textId="3BEB8DC4"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sz w:val="28"/>
        </w:rPr>
        <w:t xml:space="preserve">Annex to the </w:t>
      </w:r>
      <w:r w:rsidR="00B270F7">
        <w:rPr>
          <w:rFonts w:ascii="Calibri" w:eastAsia="Calibri" w:hAnsi="Calibri" w:cs="Calibri"/>
          <w:b/>
          <w:color w:val="000000"/>
          <w:sz w:val="28"/>
        </w:rPr>
        <w:t>XX</w:t>
      </w:r>
      <w:r>
        <w:rPr>
          <w:rFonts w:ascii="Calibri" w:eastAsia="Calibri" w:hAnsi="Calibri" w:cs="Calibri"/>
          <w:b/>
          <w:color w:val="000000"/>
          <w:sz w:val="28"/>
        </w:rPr>
        <w:t xml:space="preserve"> Partnership Agreement on data flow, purposes and dataset that will be processed for the exchange of personal data in the joint Master programme </w:t>
      </w:r>
      <w:r w:rsidR="00B270F7">
        <w:rPr>
          <w:rFonts w:ascii="Calibri" w:eastAsia="Calibri" w:hAnsi="Calibri" w:cs="Calibri"/>
          <w:b/>
          <w:color w:val="000000"/>
          <w:sz w:val="28"/>
        </w:rPr>
        <w:t>XX</w:t>
      </w:r>
    </w:p>
    <w:p w14:paraId="1991D291" w14:textId="49CB576F"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The </w:t>
      </w:r>
      <w:r w:rsidR="00B270F7">
        <w:rPr>
          <w:rFonts w:ascii="Calibri" w:eastAsia="Calibri" w:hAnsi="Calibri" w:cs="Calibri"/>
          <w:color w:val="000000"/>
        </w:rPr>
        <w:t>XX</w:t>
      </w:r>
      <w:r>
        <w:rPr>
          <w:rFonts w:ascii="Calibri" w:eastAsia="Calibri" w:hAnsi="Calibri" w:cs="Calibri"/>
          <w:color w:val="000000"/>
        </w:rPr>
        <w:t xml:space="preserve"> Managementhandles personal data of applicants, who become students and later alumni of the </w:t>
      </w:r>
      <w:r w:rsidR="00B270F7">
        <w:rPr>
          <w:rFonts w:ascii="Calibri" w:eastAsia="Calibri" w:hAnsi="Calibri" w:cs="Calibri"/>
          <w:color w:val="000000"/>
        </w:rPr>
        <w:t>XX</w:t>
      </w:r>
      <w:r>
        <w:rPr>
          <w:rFonts w:ascii="Calibri" w:eastAsia="Calibri" w:hAnsi="Calibri" w:cs="Calibri"/>
          <w:color w:val="000000"/>
        </w:rPr>
        <w:t xml:space="preserve"> programme. Data are submitted by students at different points of time and means to 1) Ruhr University Bochum, Germany (the Coordinating University, and the university of the first semester of all </w:t>
      </w:r>
      <w:r w:rsidR="00B270F7">
        <w:rPr>
          <w:rFonts w:ascii="Calibri" w:eastAsia="Calibri" w:hAnsi="Calibri" w:cs="Calibri"/>
          <w:color w:val="000000"/>
        </w:rPr>
        <w:t>XX</w:t>
      </w:r>
      <w:r>
        <w:rPr>
          <w:rFonts w:ascii="Calibri" w:eastAsia="Calibri" w:hAnsi="Calibri" w:cs="Calibri"/>
          <w:color w:val="000000"/>
        </w:rPr>
        <w:t xml:space="preserve"> students), through the online application portal, 2) to the seven other partner universities and their offices / unit in charge for enrolment. In the following all procedures and types of data are mentioned in order of the different points in time, application, admission, enrolment at partner universities, graduation and alumni (relations). </w:t>
      </w:r>
    </w:p>
    <w:p w14:paraId="0A47C45E"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Application: </w:t>
      </w:r>
    </w:p>
    <w:p w14:paraId="7E450CC2"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Data that students submit themselves upon application are:</w:t>
      </w:r>
    </w:p>
    <w:p w14:paraId="3A075AAC"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Full name</w:t>
      </w:r>
    </w:p>
    <w:p w14:paraId="472E5D6A"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Gender</w:t>
      </w:r>
    </w:p>
    <w:p w14:paraId="58C278AF"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Email address</w:t>
      </w:r>
    </w:p>
    <w:p w14:paraId="379CAEDC"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Date, place, country of birth</w:t>
      </w:r>
    </w:p>
    <w:p w14:paraId="10ED0D3C"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Nationality</w:t>
      </w:r>
    </w:p>
    <w:p w14:paraId="71216C11"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Country of residence including a document as proof thereof</w:t>
      </w:r>
    </w:p>
    <w:p w14:paraId="2A3BCE00"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Passport copy</w:t>
      </w:r>
    </w:p>
    <w:p w14:paraId="535A995C"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Student picture</w:t>
      </w:r>
    </w:p>
    <w:p w14:paraId="55BA4393"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Diploma and transcript copies, name of previous degree issuing institution</w:t>
      </w:r>
    </w:p>
    <w:p w14:paraId="65BF407B"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 xml:space="preserve">CV (which may include a home address, phone number, email address etc). </w:t>
      </w:r>
    </w:p>
    <w:p w14:paraId="7519A5F7" w14:textId="77777777" w:rsidR="006B113F" w:rsidRDefault="00000000">
      <w:pPr>
        <w:numPr>
          <w:ilvl w:val="0"/>
          <w:numId w:val="64"/>
        </w:num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Motivation letter </w:t>
      </w:r>
    </w:p>
    <w:p w14:paraId="7400FB86"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u w:val="single"/>
        </w:rPr>
        <w:t>Data that is added per student on their behalf:</w:t>
      </w:r>
    </w:p>
    <w:p w14:paraId="64BE3B30" w14:textId="77777777" w:rsidR="006B113F" w:rsidRDefault="00000000">
      <w:pPr>
        <w:numPr>
          <w:ilvl w:val="0"/>
          <w:numId w:val="65"/>
        </w:num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Up to two letters of reference from a supervisor/colleague/employer</w:t>
      </w:r>
    </w:p>
    <w:p w14:paraId="70F195D9" w14:textId="4E24B72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The </w:t>
      </w:r>
      <w:r w:rsidR="00B270F7">
        <w:rPr>
          <w:rFonts w:ascii="Calibri" w:eastAsia="Calibri" w:hAnsi="Calibri" w:cs="Calibri"/>
          <w:color w:val="000000"/>
        </w:rPr>
        <w:t>XX</w:t>
      </w:r>
      <w:r>
        <w:rPr>
          <w:rFonts w:ascii="Calibri" w:eastAsia="Calibri" w:hAnsi="Calibri" w:cs="Calibri"/>
          <w:color w:val="000000"/>
        </w:rPr>
        <w:t xml:space="preserve"> Student Management Departmenthas access to this data and grants access to the student documents to the reviewers assessing the applications. The reviewers have only access to the data of students who have submitted their full applications, not to students who only started a draft. Access is granted through the application portal with username and password. Reviewers apply scores to the applicants’ portfolios. </w:t>
      </w:r>
    </w:p>
    <w:p w14:paraId="7F0E97DF" w14:textId="7E599010"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The </w:t>
      </w:r>
      <w:r w:rsidR="00B270F7">
        <w:rPr>
          <w:rFonts w:ascii="Calibri" w:eastAsia="Calibri" w:hAnsi="Calibri" w:cs="Calibri"/>
          <w:color w:val="000000"/>
        </w:rPr>
        <w:t>XX</w:t>
      </w:r>
      <w:r>
        <w:rPr>
          <w:rFonts w:ascii="Calibri" w:eastAsia="Calibri" w:hAnsi="Calibri" w:cs="Calibri"/>
          <w:color w:val="000000"/>
        </w:rPr>
        <w:t xml:space="preserve"> Student Management Departmentdownloads the following student data after the review is completed to establish the ranking to be presented to a joint selection panel, staffed by members of the </w:t>
      </w:r>
      <w:r>
        <w:rPr>
          <w:rFonts w:ascii="Calibri" w:eastAsia="Calibri" w:hAnsi="Calibri" w:cs="Calibri"/>
          <w:color w:val="000000"/>
          <w:highlight w:val="white"/>
        </w:rPr>
        <w:t>Academic Stud</w:t>
      </w:r>
      <w:r>
        <w:rPr>
          <w:rFonts w:ascii="Calibri" w:eastAsia="Calibri" w:hAnsi="Calibri" w:cs="Calibri"/>
          <w:color w:val="000000"/>
        </w:rPr>
        <w:t xml:space="preserve">ies Board of </w:t>
      </w:r>
      <w:r w:rsidR="00B270F7">
        <w:rPr>
          <w:rFonts w:ascii="Calibri" w:eastAsia="Calibri" w:hAnsi="Calibri" w:cs="Calibri"/>
          <w:color w:val="000000"/>
        </w:rPr>
        <w:t>XX</w:t>
      </w:r>
      <w:r>
        <w:rPr>
          <w:rFonts w:ascii="Calibri" w:eastAsia="Calibri" w:hAnsi="Calibri" w:cs="Calibri"/>
          <w:color w:val="000000"/>
        </w:rPr>
        <w:t>, i.e., academic coordinators of the Partner Universities:</w:t>
      </w:r>
    </w:p>
    <w:p w14:paraId="6DE53188" w14:textId="77777777" w:rsidR="006B113F" w:rsidRDefault="00000000">
      <w:pPr>
        <w:numPr>
          <w:ilvl w:val="0"/>
          <w:numId w:val="66"/>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Full name</w:t>
      </w:r>
    </w:p>
    <w:p w14:paraId="0CAA216D" w14:textId="77777777" w:rsidR="006B113F" w:rsidRDefault="00000000">
      <w:pPr>
        <w:numPr>
          <w:ilvl w:val="0"/>
          <w:numId w:val="66"/>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Email address (will not be forwarded to the selection panel)</w:t>
      </w:r>
    </w:p>
    <w:p w14:paraId="75D0FF2D" w14:textId="77777777" w:rsidR="006B113F" w:rsidRDefault="00000000">
      <w:pPr>
        <w:numPr>
          <w:ilvl w:val="0"/>
          <w:numId w:val="66"/>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Nationality</w:t>
      </w:r>
    </w:p>
    <w:p w14:paraId="6DDA6478" w14:textId="77777777" w:rsidR="006B113F" w:rsidRDefault="00000000">
      <w:pPr>
        <w:numPr>
          <w:ilvl w:val="0"/>
          <w:numId w:val="66"/>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Residence information (without documentation)</w:t>
      </w:r>
    </w:p>
    <w:p w14:paraId="6E4D4B00" w14:textId="77777777" w:rsidR="006B113F" w:rsidRDefault="00000000">
      <w:pPr>
        <w:numPr>
          <w:ilvl w:val="0"/>
          <w:numId w:val="66"/>
        </w:num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Scores of the reviewers</w:t>
      </w:r>
    </w:p>
    <w:p w14:paraId="26431F23" w14:textId="7DECB7DE"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The members of the selection panel will decide on a cut-off score for admission and also – if applicable – scholarship nominations, respecting the regulations of potential donors (e.g., the European Commission). If members of the selection panel would like to double-check applicants’ submitted </w:t>
      </w:r>
      <w:r>
        <w:rPr>
          <w:rFonts w:ascii="Calibri" w:eastAsia="Calibri" w:hAnsi="Calibri" w:cs="Calibri"/>
          <w:color w:val="000000"/>
        </w:rPr>
        <w:lastRenderedPageBreak/>
        <w:t xml:space="preserve">documents, they may request specific access to individual files, forwarded by the </w:t>
      </w:r>
      <w:r w:rsidR="00B270F7">
        <w:rPr>
          <w:rFonts w:ascii="Calibri" w:eastAsia="Calibri" w:hAnsi="Calibri" w:cs="Calibri"/>
          <w:color w:val="000000"/>
        </w:rPr>
        <w:t>XX</w:t>
      </w:r>
      <w:r>
        <w:rPr>
          <w:rFonts w:ascii="Calibri" w:eastAsia="Calibri" w:hAnsi="Calibri" w:cs="Calibri"/>
          <w:color w:val="000000"/>
        </w:rPr>
        <w:t xml:space="preserve"> Management by an online data transfer system. </w:t>
      </w:r>
    </w:p>
    <w:p w14:paraId="780E36FC"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Admission: </w:t>
      </w:r>
    </w:p>
    <w:p w14:paraId="5460675E"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For all students who have submitted their completed application, if admitted or not, the following documents are downloaded and kept for 10 years (in case students’ have complaints later on): </w:t>
      </w:r>
    </w:p>
    <w:p w14:paraId="116A6AE0" w14:textId="77777777" w:rsidR="006B113F" w:rsidRDefault="00000000">
      <w:pPr>
        <w:numPr>
          <w:ilvl w:val="0"/>
          <w:numId w:val="67"/>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Copies of diplomas and transcript of records</w:t>
      </w:r>
    </w:p>
    <w:p w14:paraId="3A92D22A" w14:textId="77777777" w:rsidR="006B113F" w:rsidRDefault="00000000">
      <w:pPr>
        <w:numPr>
          <w:ilvl w:val="0"/>
          <w:numId w:val="67"/>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CV</w:t>
      </w:r>
    </w:p>
    <w:p w14:paraId="2D957757" w14:textId="77777777" w:rsidR="006B113F" w:rsidRDefault="00000000">
      <w:pPr>
        <w:numPr>
          <w:ilvl w:val="0"/>
          <w:numId w:val="67"/>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Motivation letter</w:t>
      </w:r>
    </w:p>
    <w:p w14:paraId="5A101587" w14:textId="77777777" w:rsidR="006B113F" w:rsidRDefault="00000000">
      <w:pPr>
        <w:numPr>
          <w:ilvl w:val="0"/>
          <w:numId w:val="67"/>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Reference letters</w:t>
      </w:r>
    </w:p>
    <w:p w14:paraId="3616BC7A" w14:textId="77777777" w:rsidR="006B113F" w:rsidRDefault="00000000">
      <w:pPr>
        <w:numPr>
          <w:ilvl w:val="0"/>
          <w:numId w:val="67"/>
        </w:num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Documents for proof of residence (if submitted)</w:t>
      </w:r>
    </w:p>
    <w:p w14:paraId="21496565" w14:textId="02C04EBE"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From students who are invited for admission and accepted their place, also passport copies, pictures and eventually proof of English proficiency are downloaded and saved to the computer into individual folders by student name and per academic year. Also, preferences for </w:t>
      </w:r>
      <w:r w:rsidR="00B270F7">
        <w:rPr>
          <w:rFonts w:ascii="Calibri" w:eastAsia="Calibri" w:hAnsi="Calibri" w:cs="Calibri"/>
          <w:color w:val="000000"/>
        </w:rPr>
        <w:t>XX</w:t>
      </w:r>
      <w:r>
        <w:rPr>
          <w:rFonts w:ascii="Calibri" w:eastAsia="Calibri" w:hAnsi="Calibri" w:cs="Calibri"/>
          <w:color w:val="000000"/>
        </w:rPr>
        <w:t xml:space="preserve"> locations/tracks are downloaded and stored. At this point, different student lists will be established for the purpose of allocation of students, checklists for participation fee payments and submission of important hardcopy documents. Subsequently, a student list will be compiled from the following data: </w:t>
      </w:r>
    </w:p>
    <w:p w14:paraId="17C39BB3" w14:textId="6C2A2369" w:rsidR="006B113F" w:rsidRDefault="00B270F7">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XX</w:t>
      </w:r>
      <w:r w:rsidR="00000000">
        <w:rPr>
          <w:rFonts w:ascii="Calibri" w:eastAsia="Calibri" w:hAnsi="Calibri" w:cs="Calibri"/>
          <w:color w:val="000000"/>
        </w:rPr>
        <w:t xml:space="preserve"> ID</w:t>
      </w:r>
    </w:p>
    <w:p w14:paraId="4638EADC"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Student ID at RUB (university of first semester)</w:t>
      </w:r>
    </w:p>
    <w:p w14:paraId="1096C2AE"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Application status (activation of status in the RUB database)</w:t>
      </w:r>
    </w:p>
    <w:p w14:paraId="02B74F01"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Financial status (regular EU/regular non-EU/scholarship EU or non-EU/waiver EU or non-EU, etc.)</w:t>
      </w:r>
    </w:p>
    <w:p w14:paraId="4D5E78E8"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First, middle, last name</w:t>
      </w:r>
    </w:p>
    <w:p w14:paraId="3C51482E"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Gender</w:t>
      </w:r>
    </w:p>
    <w:p w14:paraId="154AECC6"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Date, place, country of birth</w:t>
      </w:r>
    </w:p>
    <w:p w14:paraId="766A1628"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Age</w:t>
      </w:r>
    </w:p>
    <w:p w14:paraId="5EE0FF81"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Country issuing passport (nationality)</w:t>
      </w:r>
    </w:p>
    <w:p w14:paraId="78B6E52E"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Second nationality (if applicable)</w:t>
      </w:r>
    </w:p>
    <w:p w14:paraId="1B831671"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Country of residence</w:t>
      </w:r>
    </w:p>
    <w:p w14:paraId="0F00A2ED"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Personal email address</w:t>
      </w:r>
    </w:p>
    <w:p w14:paraId="26772894"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email address</w:t>
      </w:r>
    </w:p>
    <w:p w14:paraId="445C7E5F"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Location of and name of track in which student participates in semester 2</w:t>
      </w:r>
    </w:p>
    <w:p w14:paraId="2B68DCBA" w14:textId="77777777" w:rsidR="006B113F" w:rsidRDefault="00000000">
      <w:pPr>
        <w:numPr>
          <w:ilvl w:val="0"/>
          <w:numId w:val="68"/>
        </w:num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Previous studies (field, degree)</w:t>
      </w:r>
    </w:p>
    <w:p w14:paraId="70E899B8"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Some of the data (nationalities, countries, track information, gender, and age) are used to prepare general student statistics for Board Meetings or other representative purposes without providing any personal information. </w:t>
      </w:r>
    </w:p>
    <w:p w14:paraId="265E12FE"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Each Partner University receives a list of all students with those marked who will attend their university for purposes of contacting students by email and provide local information to them. Students take care of (providing personal data for) registration locally at the different universities themselves, and for the purpose of immigration, if necessary. These lists are transferred by online data transfer services. </w:t>
      </w:r>
    </w:p>
    <w:p w14:paraId="020B6A87" w14:textId="113680A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The </w:t>
      </w:r>
      <w:r w:rsidR="00B270F7">
        <w:rPr>
          <w:rFonts w:ascii="Calibri" w:eastAsia="Calibri" w:hAnsi="Calibri" w:cs="Calibri"/>
          <w:color w:val="000000"/>
        </w:rPr>
        <w:t>XX</w:t>
      </w:r>
      <w:r>
        <w:rPr>
          <w:rFonts w:ascii="Calibri" w:eastAsia="Calibri" w:hAnsi="Calibri" w:cs="Calibri"/>
          <w:color w:val="000000"/>
        </w:rPr>
        <w:t xml:space="preserve"> Student Management Departmentprovides a list of all students per academic year (name, </w:t>
      </w:r>
      <w:r w:rsidR="00B270F7">
        <w:rPr>
          <w:rFonts w:ascii="Calibri" w:eastAsia="Calibri" w:hAnsi="Calibri" w:cs="Calibri"/>
          <w:color w:val="000000"/>
        </w:rPr>
        <w:t>XX</w:t>
      </w:r>
      <w:r>
        <w:rPr>
          <w:rFonts w:ascii="Calibri" w:eastAsia="Calibri" w:hAnsi="Calibri" w:cs="Calibri"/>
          <w:color w:val="000000"/>
        </w:rPr>
        <w:t xml:space="preserve"> locations/term and email addresses) to all registered students, as well as the </w:t>
      </w:r>
      <w:r w:rsidR="00B270F7">
        <w:rPr>
          <w:rFonts w:ascii="Calibri" w:eastAsia="Calibri" w:hAnsi="Calibri" w:cs="Calibri"/>
          <w:color w:val="000000"/>
        </w:rPr>
        <w:t>XX</w:t>
      </w:r>
      <w:r>
        <w:rPr>
          <w:rFonts w:ascii="Calibri" w:eastAsia="Calibri" w:hAnsi="Calibri" w:cs="Calibri"/>
          <w:color w:val="000000"/>
        </w:rPr>
        <w:t xml:space="preserve"> Student Agreement, which students receive personally by email or in a printed version. The local </w:t>
      </w:r>
    </w:p>
    <w:p w14:paraId="0B025EC4" w14:textId="52F8003D" w:rsidR="006B113F" w:rsidRDefault="00B270F7">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XX</w:t>
      </w:r>
      <w:r w:rsidR="00000000">
        <w:rPr>
          <w:rFonts w:ascii="Calibri" w:eastAsia="Calibri" w:hAnsi="Calibri" w:cs="Calibri"/>
          <w:color w:val="000000"/>
        </w:rPr>
        <w:t xml:space="preserve"> management offices of the partner universities provide names and pictures, information about previous studies (see above) and nationality, to lecturers, either by email or in printed versions, to use in their classes.</w:t>
      </w:r>
    </w:p>
    <w:p w14:paraId="74FA2EA3"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lastRenderedPageBreak/>
        <w:t>Student progress/grades:</w:t>
      </w:r>
    </w:p>
    <w:p w14:paraId="3CDC2535" w14:textId="75F7B864"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Student grades are registered by each Partner University (in the universities’ student database) and then sent in excel lists by email to the </w:t>
      </w:r>
      <w:r w:rsidR="00B270F7">
        <w:rPr>
          <w:rFonts w:ascii="Calibri" w:eastAsia="Calibri" w:hAnsi="Calibri" w:cs="Calibri"/>
          <w:color w:val="000000"/>
        </w:rPr>
        <w:t>XX</w:t>
      </w:r>
      <w:r>
        <w:rPr>
          <w:rFonts w:ascii="Calibri" w:eastAsia="Calibri" w:hAnsi="Calibri" w:cs="Calibri"/>
          <w:color w:val="000000"/>
        </w:rPr>
        <w:t xml:space="preserve"> Student Management Department. The lists contain the name of the student and their </w:t>
      </w:r>
      <w:r w:rsidR="00B270F7">
        <w:rPr>
          <w:rFonts w:ascii="Calibri" w:eastAsia="Calibri" w:hAnsi="Calibri" w:cs="Calibri"/>
          <w:color w:val="000000"/>
        </w:rPr>
        <w:t>XX</w:t>
      </w:r>
      <w:r>
        <w:rPr>
          <w:rFonts w:ascii="Calibri" w:eastAsia="Calibri" w:hAnsi="Calibri" w:cs="Calibri"/>
          <w:color w:val="000000"/>
        </w:rPr>
        <w:t xml:space="preserve"> ID, the name of the course and the grade. These grades are then sent by email to the </w:t>
      </w:r>
      <w:r w:rsidR="00B270F7">
        <w:rPr>
          <w:rFonts w:ascii="Calibri" w:eastAsia="Calibri" w:hAnsi="Calibri" w:cs="Calibri"/>
          <w:color w:val="000000"/>
        </w:rPr>
        <w:t>XX</w:t>
      </w:r>
      <w:r>
        <w:rPr>
          <w:rFonts w:ascii="Calibri" w:eastAsia="Calibri" w:hAnsi="Calibri" w:cs="Calibri"/>
          <w:color w:val="000000"/>
        </w:rPr>
        <w:t xml:space="preserve"> exam administration in excel lists containing course name and code, student name, RUB student number and grades. The grades are then entered per course to the student progress database.   </w:t>
      </w:r>
    </w:p>
    <w:p w14:paraId="648C3280" w14:textId="319E7C94"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During the academic year the </w:t>
      </w:r>
      <w:r w:rsidR="00B270F7">
        <w:rPr>
          <w:rFonts w:ascii="Calibri" w:eastAsia="Calibri" w:hAnsi="Calibri" w:cs="Calibri"/>
          <w:color w:val="000000"/>
        </w:rPr>
        <w:t>XX</w:t>
      </w:r>
      <w:r>
        <w:rPr>
          <w:rFonts w:ascii="Calibri" w:eastAsia="Calibri" w:hAnsi="Calibri" w:cs="Calibri"/>
          <w:color w:val="000000"/>
        </w:rPr>
        <w:t xml:space="preserve"> Student Management Departmentkeeps track of all grades in a Master file (excel, access restricted, shared files at the RUB). The Examination Committee is taking the graduation decision for all students, based on a full list of all students (name, </w:t>
      </w:r>
      <w:r w:rsidR="00B270F7">
        <w:rPr>
          <w:rFonts w:ascii="Calibri" w:eastAsia="Calibri" w:hAnsi="Calibri" w:cs="Calibri"/>
          <w:color w:val="000000"/>
        </w:rPr>
        <w:t>XX</w:t>
      </w:r>
      <w:r>
        <w:rPr>
          <w:rFonts w:ascii="Calibri" w:eastAsia="Calibri" w:hAnsi="Calibri" w:cs="Calibri"/>
          <w:color w:val="000000"/>
        </w:rPr>
        <w:t xml:space="preserve"> locations, all grades/course, thesis grades, average grade, ranking, information about failing or passing and distinctions). These lists are shared by email from the </w:t>
      </w:r>
      <w:r w:rsidR="00B270F7">
        <w:rPr>
          <w:rFonts w:ascii="Calibri" w:eastAsia="Calibri" w:hAnsi="Calibri" w:cs="Calibri"/>
          <w:color w:val="000000"/>
        </w:rPr>
        <w:t>XX</w:t>
      </w:r>
      <w:r>
        <w:rPr>
          <w:rFonts w:ascii="Calibri" w:eastAsia="Calibri" w:hAnsi="Calibri" w:cs="Calibri"/>
          <w:color w:val="000000"/>
        </w:rPr>
        <w:t xml:space="preserve"> Student Management Departmentwith the Examination Committee members.</w:t>
      </w:r>
    </w:p>
    <w:p w14:paraId="717A46F1"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Students will receive then by email the decision of graduation and a final transcript of records as pdf files by email with only their own personal information.</w:t>
      </w:r>
    </w:p>
    <w:p w14:paraId="7B0081B6"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Diploma issuing: </w:t>
      </w:r>
    </w:p>
    <w:p w14:paraId="5D7D0E30" w14:textId="52C4622E"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As the Partner Universities award a joint degree, each of them receives the final grades of all students for all </w:t>
      </w:r>
      <w:r w:rsidR="00B270F7">
        <w:rPr>
          <w:rFonts w:ascii="Calibri" w:eastAsia="Calibri" w:hAnsi="Calibri" w:cs="Calibri"/>
          <w:color w:val="000000"/>
        </w:rPr>
        <w:t>XX</w:t>
      </w:r>
      <w:r>
        <w:rPr>
          <w:rFonts w:ascii="Calibri" w:eastAsia="Calibri" w:hAnsi="Calibri" w:cs="Calibri"/>
          <w:color w:val="000000"/>
        </w:rPr>
        <w:t xml:space="preserve"> courses, including thesis grades and titles, together with their personal rank, the average class average and total points average of the class by email from the </w:t>
      </w:r>
      <w:r w:rsidR="00B270F7">
        <w:rPr>
          <w:rFonts w:ascii="Calibri" w:eastAsia="Calibri" w:hAnsi="Calibri" w:cs="Calibri"/>
          <w:color w:val="000000"/>
        </w:rPr>
        <w:t>XX</w:t>
      </w:r>
      <w:r>
        <w:rPr>
          <w:rFonts w:ascii="Calibri" w:eastAsia="Calibri" w:hAnsi="Calibri" w:cs="Calibri"/>
          <w:color w:val="000000"/>
        </w:rPr>
        <w:t xml:space="preserve"> Student Management Department, which is arranging issuing of the degree. It is noted that UCC is also a member of the federal National University of Ireland (NUI) and will transfer student data to the NUI for the NUI graduate register.  </w:t>
      </w:r>
    </w:p>
    <w:p w14:paraId="21963702"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rPr>
          <w:rFonts w:ascii="Calibri" w:eastAsia="Calibri" w:hAnsi="Calibri" w:cs="Calibri"/>
          <w:color w:val="000000"/>
        </w:rPr>
      </w:pPr>
      <w:r>
        <w:rPr>
          <w:rFonts w:ascii="Calibri" w:eastAsia="Calibri" w:hAnsi="Calibri" w:cs="Calibri"/>
          <w:color w:val="000000"/>
        </w:rPr>
        <w:t xml:space="preserve">The Joint Degrees are prepared at the Ruhr University Bochum (RUB), where all grades, including thesis grades are registered. Diplomas and Diploma Supplements are prepared by the Ruhr University Bochum. Scans thereof are also to be entered into the student database. </w:t>
      </w:r>
    </w:p>
    <w:p w14:paraId="1AC90CF7"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Graduate databases:</w:t>
      </w:r>
    </w:p>
    <w:p w14:paraId="2E030CEA" w14:textId="10EA226E"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The </w:t>
      </w:r>
      <w:r w:rsidR="00B270F7">
        <w:rPr>
          <w:rFonts w:ascii="Calibri" w:eastAsia="Calibri" w:hAnsi="Calibri" w:cs="Calibri"/>
          <w:color w:val="000000"/>
        </w:rPr>
        <w:t>XX</w:t>
      </w:r>
      <w:r>
        <w:rPr>
          <w:rFonts w:ascii="Calibri" w:eastAsia="Calibri" w:hAnsi="Calibri" w:cs="Calibri"/>
          <w:color w:val="000000"/>
        </w:rPr>
        <w:t xml:space="preserve"> Student Management Departmentkeeps the files with all student names, </w:t>
      </w:r>
      <w:r w:rsidR="00B270F7">
        <w:rPr>
          <w:rFonts w:ascii="Calibri" w:eastAsia="Calibri" w:hAnsi="Calibri" w:cs="Calibri"/>
          <w:color w:val="000000"/>
        </w:rPr>
        <w:t>XX</w:t>
      </w:r>
      <w:r>
        <w:rPr>
          <w:rFonts w:ascii="Calibri" w:eastAsia="Calibri" w:hAnsi="Calibri" w:cs="Calibri"/>
          <w:color w:val="000000"/>
        </w:rPr>
        <w:t xml:space="preserve"> locations, email addresses, graduation information and – as much as possible – scans of diplomas and Diploma Supplements. This is for verification purposes of degree, grades, and successful graduation. Here all students can request verification of their degrees also years after.</w:t>
      </w:r>
    </w:p>
    <w:p w14:paraId="461334CA"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Alumni relations: </w:t>
      </w:r>
    </w:p>
    <w:p w14:paraId="69DD03AB" w14:textId="521006CA"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For statistical and representative purposes, the </w:t>
      </w:r>
      <w:r w:rsidR="00B270F7">
        <w:rPr>
          <w:rFonts w:ascii="Calibri" w:eastAsia="Calibri" w:hAnsi="Calibri" w:cs="Calibri"/>
          <w:color w:val="000000"/>
        </w:rPr>
        <w:t>XX</w:t>
      </w:r>
      <w:r>
        <w:rPr>
          <w:rFonts w:ascii="Calibri" w:eastAsia="Calibri" w:hAnsi="Calibri" w:cs="Calibri"/>
          <w:color w:val="000000"/>
        </w:rPr>
        <w:t xml:space="preserve"> Student Management Department will keep updates about who the </w:t>
      </w:r>
      <w:r w:rsidR="00B270F7">
        <w:rPr>
          <w:rFonts w:ascii="Calibri" w:eastAsia="Calibri" w:hAnsi="Calibri" w:cs="Calibri"/>
          <w:color w:val="000000"/>
        </w:rPr>
        <w:t>XX</w:t>
      </w:r>
      <w:r>
        <w:rPr>
          <w:rFonts w:ascii="Calibri" w:eastAsia="Calibri" w:hAnsi="Calibri" w:cs="Calibri"/>
          <w:color w:val="000000"/>
        </w:rPr>
        <w:t xml:space="preserve"> alumni are, where they are from, where they work/in which position and which universities they attended and in which </w:t>
      </w:r>
      <w:r w:rsidR="00B270F7">
        <w:rPr>
          <w:rFonts w:ascii="Calibri" w:eastAsia="Calibri" w:hAnsi="Calibri" w:cs="Calibri"/>
          <w:color w:val="000000"/>
        </w:rPr>
        <w:t>XX</w:t>
      </w:r>
      <w:r>
        <w:rPr>
          <w:rFonts w:ascii="Calibri" w:eastAsia="Calibri" w:hAnsi="Calibri" w:cs="Calibri"/>
          <w:color w:val="000000"/>
        </w:rPr>
        <w:t xml:space="preserve"> academic year they graduated, by means of an alumni database. For this, the </w:t>
      </w:r>
      <w:r w:rsidR="00B270F7">
        <w:rPr>
          <w:rFonts w:ascii="Calibri" w:eastAsia="Calibri" w:hAnsi="Calibri" w:cs="Calibri"/>
          <w:color w:val="000000"/>
        </w:rPr>
        <w:t>XX</w:t>
      </w:r>
      <w:r>
        <w:rPr>
          <w:rFonts w:ascii="Calibri" w:eastAsia="Calibri" w:hAnsi="Calibri" w:cs="Calibri"/>
          <w:color w:val="000000"/>
        </w:rPr>
        <w:t xml:space="preserve"> Student Management Department maintains (initially) an excel file with all available data, including data that alumni will provide though affinity telephone campaigns that shall be conducted annually. Data is supposed to be transferred to a database in collaboration with a </w:t>
      </w:r>
      <w:r w:rsidR="00B270F7">
        <w:rPr>
          <w:rFonts w:ascii="Calibri" w:eastAsia="Calibri" w:hAnsi="Calibri" w:cs="Calibri"/>
          <w:color w:val="000000"/>
        </w:rPr>
        <w:t>XX</w:t>
      </w:r>
      <w:r>
        <w:rPr>
          <w:rFonts w:ascii="Calibri" w:eastAsia="Calibri" w:hAnsi="Calibri" w:cs="Calibri"/>
          <w:color w:val="000000"/>
        </w:rPr>
        <w:t xml:space="preserve"> alumni relations unit. Alumni will be asked if </w:t>
      </w:r>
      <w:r w:rsidR="00B270F7">
        <w:rPr>
          <w:rFonts w:ascii="Calibri" w:eastAsia="Calibri" w:hAnsi="Calibri" w:cs="Calibri"/>
          <w:color w:val="000000"/>
        </w:rPr>
        <w:t>XX</w:t>
      </w:r>
      <w:r>
        <w:rPr>
          <w:rFonts w:ascii="Calibri" w:eastAsia="Calibri" w:hAnsi="Calibri" w:cs="Calibri"/>
          <w:color w:val="000000"/>
        </w:rPr>
        <w:t xml:space="preserve"> were allowed to keep their personal data for alumni relations management. Data that allows tracking individuals will be removed, whenever requested. </w:t>
      </w:r>
    </w:p>
    <w:p w14:paraId="5EE2B29A" w14:textId="1E7048F7"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Reporting responsibilities towards the EACEA of the European Commission (in case of EMJM status of </w:t>
      </w:r>
      <w:r w:rsidR="00B270F7">
        <w:rPr>
          <w:rFonts w:ascii="Calibri" w:eastAsia="Calibri" w:hAnsi="Calibri" w:cs="Calibri"/>
          <w:b/>
          <w:color w:val="000000"/>
          <w:u w:val="single"/>
        </w:rPr>
        <w:t>XX</w:t>
      </w:r>
      <w:r>
        <w:rPr>
          <w:rFonts w:ascii="Calibri" w:eastAsia="Calibri" w:hAnsi="Calibri" w:cs="Calibri"/>
          <w:b/>
          <w:color w:val="000000"/>
          <w:u w:val="single"/>
        </w:rPr>
        <w:t>):</w:t>
      </w:r>
    </w:p>
    <w:p w14:paraId="39EAA4F9" w14:textId="2DBD65CB"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In case of EMJM status of </w:t>
      </w:r>
      <w:r w:rsidR="00B270F7">
        <w:rPr>
          <w:rFonts w:ascii="Calibri" w:eastAsia="Calibri" w:hAnsi="Calibri" w:cs="Calibri"/>
          <w:b/>
          <w:color w:val="000000"/>
          <w:u w:val="single"/>
        </w:rPr>
        <w:t>XX</w:t>
      </w:r>
      <w:r>
        <w:rPr>
          <w:rFonts w:ascii="Calibri" w:eastAsia="Calibri" w:hAnsi="Calibri" w:cs="Calibri"/>
          <w:b/>
          <w:color w:val="000000"/>
          <w:u w:val="single"/>
        </w:rPr>
        <w:t xml:space="preserve">, </w:t>
      </w:r>
      <w:r>
        <w:rPr>
          <w:rFonts w:ascii="Calibri" w:eastAsia="Calibri" w:hAnsi="Calibri" w:cs="Calibri"/>
          <w:color w:val="000000"/>
        </w:rPr>
        <w:t xml:space="preserve">the </w:t>
      </w:r>
      <w:r w:rsidR="00B270F7">
        <w:rPr>
          <w:rFonts w:ascii="Calibri" w:eastAsia="Calibri" w:hAnsi="Calibri" w:cs="Calibri"/>
          <w:color w:val="000000"/>
        </w:rPr>
        <w:t>XX</w:t>
      </w:r>
      <w:r>
        <w:rPr>
          <w:rFonts w:ascii="Calibri" w:eastAsia="Calibri" w:hAnsi="Calibri" w:cs="Calibri"/>
          <w:color w:val="000000"/>
        </w:rPr>
        <w:t xml:space="preserve"> Management is responsible to provide data of applicants to the EACEA. Depending on the status of each applicant (nominated for scholarship, waiting list, etc.), </w:t>
      </w:r>
      <w:r>
        <w:rPr>
          <w:rFonts w:ascii="Calibri" w:eastAsia="Calibri" w:hAnsi="Calibri" w:cs="Calibri"/>
          <w:color w:val="000000"/>
        </w:rPr>
        <w:lastRenderedPageBreak/>
        <w:t xml:space="preserve">different information is required to be entered. For students nominated for an Erasmus Mundus scholarship and on the waiting list, name, gender, application rank, nationality, residence, mobility, and name and country of last degree-issuing university are required. </w:t>
      </w:r>
    </w:p>
    <w:p w14:paraId="79C7B4ED" w14:textId="7DA0F2B2"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Payment of scholarships to </w:t>
      </w:r>
      <w:r w:rsidR="00B270F7">
        <w:rPr>
          <w:rFonts w:ascii="Calibri" w:eastAsia="Calibri" w:hAnsi="Calibri" w:cs="Calibri"/>
          <w:b/>
          <w:color w:val="000000"/>
          <w:u w:val="single"/>
        </w:rPr>
        <w:t>XX</w:t>
      </w:r>
      <w:r>
        <w:rPr>
          <w:rFonts w:ascii="Calibri" w:eastAsia="Calibri" w:hAnsi="Calibri" w:cs="Calibri"/>
          <w:b/>
          <w:color w:val="000000"/>
          <w:u w:val="single"/>
        </w:rPr>
        <w:t xml:space="preserve"> EMJM scholarship holders:</w:t>
      </w:r>
    </w:p>
    <w:p w14:paraId="7D74EB72" w14:textId="1AE0F428"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 xml:space="preserve">Scholarships are paid from money provided to the </w:t>
      </w:r>
      <w:r w:rsidR="00B270F7">
        <w:rPr>
          <w:rFonts w:ascii="Calibri" w:eastAsia="Calibri" w:hAnsi="Calibri" w:cs="Calibri"/>
          <w:color w:val="000000"/>
        </w:rPr>
        <w:t>XX</w:t>
      </w:r>
      <w:r>
        <w:rPr>
          <w:rFonts w:ascii="Calibri" w:eastAsia="Calibri" w:hAnsi="Calibri" w:cs="Calibri"/>
          <w:color w:val="000000"/>
        </w:rPr>
        <w:t xml:space="preserve"> consortium through the </w:t>
      </w:r>
      <w:r w:rsidR="00B270F7">
        <w:rPr>
          <w:rFonts w:ascii="Calibri" w:eastAsia="Calibri" w:hAnsi="Calibri" w:cs="Calibri"/>
          <w:color w:val="000000"/>
        </w:rPr>
        <w:t>XX</w:t>
      </w:r>
      <w:r>
        <w:rPr>
          <w:rFonts w:ascii="Calibri" w:eastAsia="Calibri" w:hAnsi="Calibri" w:cs="Calibri"/>
          <w:color w:val="000000"/>
        </w:rPr>
        <w:t xml:space="preserve"> coordinating university, currently Ruhr University Bochum. For this purpose, scholarship holders are asked to open a European bank account and provide their banking information and registered address in Europe to the </w:t>
      </w:r>
      <w:r w:rsidR="00B270F7">
        <w:rPr>
          <w:rFonts w:ascii="Calibri" w:eastAsia="Calibri" w:hAnsi="Calibri" w:cs="Calibri"/>
          <w:color w:val="000000"/>
        </w:rPr>
        <w:t>XX</w:t>
      </w:r>
      <w:r>
        <w:rPr>
          <w:rFonts w:ascii="Calibri" w:eastAsia="Calibri" w:hAnsi="Calibri" w:cs="Calibri"/>
          <w:color w:val="000000"/>
        </w:rPr>
        <w:t xml:space="preserve"> Student Management Department, who requests regular bank transfers from Ruhr University Bochum to each scholarship holder. For this purpose, the following information are communicated in a secure manner to the finance department of RUB:</w:t>
      </w:r>
    </w:p>
    <w:p w14:paraId="09795E4B" w14:textId="77777777" w:rsidR="006B113F" w:rsidRDefault="00000000">
      <w:pPr>
        <w:numPr>
          <w:ilvl w:val="0"/>
          <w:numId w:val="69"/>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Name</w:t>
      </w:r>
    </w:p>
    <w:p w14:paraId="102309B0" w14:textId="77777777" w:rsidR="006B113F" w:rsidRDefault="00000000">
      <w:pPr>
        <w:numPr>
          <w:ilvl w:val="0"/>
          <w:numId w:val="69"/>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Residential address (EU)</w:t>
      </w:r>
    </w:p>
    <w:p w14:paraId="2B375F62" w14:textId="77777777" w:rsidR="006B113F" w:rsidRDefault="00000000">
      <w:pPr>
        <w:numPr>
          <w:ilvl w:val="0"/>
          <w:numId w:val="69"/>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IBAN number, SWIFT and name of EU bank</w:t>
      </w:r>
    </w:p>
    <w:p w14:paraId="06530028" w14:textId="77777777" w:rsidR="006B113F" w:rsidRDefault="00000000">
      <w:pPr>
        <w:numPr>
          <w:ilvl w:val="0"/>
          <w:numId w:val="69"/>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Date of birth</w:t>
      </w:r>
    </w:p>
    <w:p w14:paraId="3939B1EF" w14:textId="77777777" w:rsidR="006B113F" w:rsidRDefault="00000000">
      <w:pPr>
        <w:numPr>
          <w:ilvl w:val="0"/>
          <w:numId w:val="69"/>
        </w:numPr>
        <w:pBdr>
          <w:top w:val="none" w:sz="4" w:space="0" w:color="000000"/>
          <w:left w:val="none" w:sz="4" w:space="0" w:color="000000"/>
          <w:bottom w:val="none" w:sz="4" w:space="0" w:color="000000"/>
          <w:right w:val="none" w:sz="4" w:space="0" w:color="000000"/>
        </w:pBdr>
        <w:spacing w:line="240" w:lineRule="auto"/>
        <w:jc w:val="both"/>
      </w:pPr>
      <w:r>
        <w:rPr>
          <w:rFonts w:ascii="Calibri" w:eastAsia="Calibri" w:hAnsi="Calibri" w:cs="Calibri"/>
          <w:color w:val="000000"/>
        </w:rPr>
        <w:t>Scan of bank pass</w:t>
      </w:r>
    </w:p>
    <w:p w14:paraId="756BE886" w14:textId="77777777" w:rsidR="006B113F" w:rsidRDefault="00000000">
      <w:pPr>
        <w:numPr>
          <w:ilvl w:val="0"/>
          <w:numId w:val="69"/>
        </w:num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color w:val="000000"/>
        </w:rPr>
        <w:t>Documentation of account owner information (e.g., letter showing account number, scholarship holder name and address)</w:t>
      </w:r>
    </w:p>
    <w:p w14:paraId="47C4608E" w14:textId="7579D4B1" w:rsidR="006B113F" w:rsidRDefault="00000000">
      <w:pPr>
        <w:pBdr>
          <w:top w:val="none" w:sz="4" w:space="0" w:color="000000"/>
          <w:left w:val="none" w:sz="4" w:space="0" w:color="000000"/>
          <w:bottom w:val="none" w:sz="4" w:space="0" w:color="000000"/>
          <w:right w:val="none" w:sz="4" w:space="0" w:color="000000"/>
        </w:pBdr>
        <w:spacing w:after="160" w:line="240" w:lineRule="auto"/>
        <w:jc w:val="both"/>
      </w:pPr>
      <w:r>
        <w:rPr>
          <w:rFonts w:ascii="Calibri" w:eastAsia="Calibri" w:hAnsi="Calibri" w:cs="Calibri"/>
          <w:b/>
          <w:color w:val="000000"/>
          <w:u w:val="single"/>
        </w:rPr>
        <w:t xml:space="preserve">List of contacts concerning usage of personal data in </w:t>
      </w:r>
      <w:r w:rsidR="00B270F7">
        <w:rPr>
          <w:rFonts w:ascii="Calibri" w:eastAsia="Calibri" w:hAnsi="Calibri" w:cs="Calibri"/>
          <w:b/>
          <w:color w:val="000000"/>
          <w:u w:val="single"/>
        </w:rPr>
        <w:t>XX</w:t>
      </w:r>
    </w:p>
    <w:tbl>
      <w:tblPr>
        <w:tblStyle w:val="Tabellenraste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97"/>
        <w:gridCol w:w="4994"/>
      </w:tblGrid>
      <w:tr w:rsidR="006B113F" w14:paraId="6D74F5F3" w14:textId="77777777">
        <w:tc>
          <w:tcPr>
            <w:tcW w:w="35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B8F570"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Ruhr-Universität Bochum (RUB):</w:t>
            </w:r>
          </w:p>
        </w:tc>
        <w:tc>
          <w:tcPr>
            <w:tcW w:w="499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79AC98F5"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 xml:space="preserve">Data Protection Officer, </w:t>
            </w:r>
            <w:r>
              <w:fldChar w:fldCharType="begin"/>
            </w:r>
            <w:r>
              <w:instrText>HYPERLINK "mailto:dsb@rub.de" \o "mailto:dsb@rub.de"</w:instrText>
            </w:r>
            <w:r>
              <w:fldChar w:fldCharType="separate"/>
            </w:r>
            <w:r>
              <w:rPr>
                <w:rStyle w:val="Hyperlink"/>
                <w:rFonts w:ascii="Calibri" w:eastAsia="Calibri" w:hAnsi="Calibri" w:cs="Calibri"/>
              </w:rPr>
              <w:t>dsb@rub.de</w:t>
            </w:r>
            <w:r>
              <w:rPr>
                <w:rStyle w:val="Hyperlink"/>
                <w:rFonts w:ascii="Calibri" w:eastAsia="Calibri" w:hAnsi="Calibri" w:cs="Calibri"/>
              </w:rPr>
              <w:fldChar w:fldCharType="end"/>
            </w:r>
            <w:r>
              <w:rPr>
                <w:rStyle w:val="Hyperlink"/>
              </w:rPr>
              <w:t xml:space="preserve"> </w:t>
            </w:r>
          </w:p>
        </w:tc>
      </w:tr>
      <w:tr w:rsidR="006B113F" w14:paraId="1023CBA6" w14:textId="77777777">
        <w:tc>
          <w:tcPr>
            <w:tcW w:w="359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0C4A5D"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University College Cork (UCC):</w:t>
            </w:r>
          </w:p>
        </w:tc>
        <w:tc>
          <w:tcPr>
            <w:tcW w:w="49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18D9897"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Data Protection Officer,</w:t>
            </w:r>
            <w:r>
              <w:rPr>
                <w:rFonts w:asciiTheme="majorHAnsi" w:eastAsia="Calibri" w:hAnsiTheme="majorHAnsi" w:cstheme="majorHAnsi"/>
                <w:color w:val="000000"/>
              </w:rPr>
              <w:t xml:space="preserve"> </w:t>
            </w:r>
            <w:hyperlink r:id="rId44" w:tooltip="mailto:gdpr@ucc.ie" w:history="1">
              <w:r>
                <w:rPr>
                  <w:rStyle w:val="Hyperlink"/>
                  <w:rFonts w:asciiTheme="majorHAnsi" w:hAnsiTheme="majorHAnsi" w:cstheme="majorHAnsi"/>
                </w:rPr>
                <w:t>gdpr@ucc.ie</w:t>
              </w:r>
            </w:hyperlink>
          </w:p>
        </w:tc>
      </w:tr>
      <w:tr w:rsidR="006B113F" w14:paraId="75751C98" w14:textId="77777777">
        <w:tc>
          <w:tcPr>
            <w:tcW w:w="359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485D45"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University of Deusto (UDeusto):</w:t>
            </w:r>
          </w:p>
        </w:tc>
        <w:tc>
          <w:tcPr>
            <w:tcW w:w="49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2F023A" w14:textId="77777777" w:rsidR="006B113F" w:rsidRDefault="00000000">
            <w:pPr>
              <w:spacing w:line="360" w:lineRule="auto"/>
            </w:pPr>
            <w:r>
              <w:rPr>
                <w:rFonts w:ascii="Calibri" w:eastAsia="Calibri" w:hAnsi="Calibri" w:cs="Calibri"/>
                <w:color w:val="000000"/>
              </w:rPr>
              <w:t>Data Protection Officer</w:t>
            </w:r>
            <w:r>
              <w:rPr>
                <w:rFonts w:asciiTheme="majorHAnsi" w:eastAsia="Calibri" w:hAnsiTheme="majorHAnsi" w:cstheme="majorHAnsi"/>
                <w:color w:val="000000"/>
              </w:rPr>
              <w:t xml:space="preserve">, </w:t>
            </w:r>
            <w:hyperlink r:id="rId45" w:tooltip="mailto:unic.ud@deusto.es" w:history="1">
              <w:r>
                <w:rPr>
                  <w:rStyle w:val="Hyperlink"/>
                  <w:rFonts w:asciiTheme="majorHAnsi" w:hAnsiTheme="majorHAnsi" w:cstheme="majorHAnsi"/>
                </w:rPr>
                <w:t>unic.ud@deusto.es</w:t>
              </w:r>
            </w:hyperlink>
            <w:r>
              <w:rPr>
                <w:rFonts w:asciiTheme="majorHAnsi" w:hAnsiTheme="majorHAnsi" w:cstheme="majorHAnsi"/>
              </w:rPr>
              <w:t xml:space="preserve"> </w:t>
            </w:r>
          </w:p>
        </w:tc>
      </w:tr>
      <w:tr w:rsidR="006B113F" w14:paraId="08F80F11" w14:textId="77777777">
        <w:tc>
          <w:tcPr>
            <w:tcW w:w="359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D6F5E5"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Erasmus University Rotterdam (EUR):</w:t>
            </w:r>
          </w:p>
        </w:tc>
        <w:tc>
          <w:tcPr>
            <w:tcW w:w="49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A423A3"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 xml:space="preserve">Data Protection Officer, </w:t>
            </w:r>
            <w:r>
              <w:fldChar w:fldCharType="begin"/>
            </w:r>
            <w:r>
              <w:instrText>HYPERLINK "mailto:fg@eur.nl" \o "mailto:fg@eur.nl"</w:instrText>
            </w:r>
            <w:r>
              <w:fldChar w:fldCharType="separate"/>
            </w:r>
            <w:r>
              <w:rPr>
                <w:rStyle w:val="Hyperlink"/>
                <w:rFonts w:ascii="Calibri" w:eastAsia="Calibri" w:hAnsi="Calibri" w:cs="Calibri"/>
              </w:rPr>
              <w:t>fg@eur.nl</w:t>
            </w:r>
            <w:r>
              <w:rPr>
                <w:rStyle w:val="Hyperlink"/>
                <w:rFonts w:ascii="Calibri" w:eastAsia="Calibri" w:hAnsi="Calibri" w:cs="Calibri"/>
              </w:rPr>
              <w:fldChar w:fldCharType="end"/>
            </w:r>
          </w:p>
        </w:tc>
      </w:tr>
      <w:tr w:rsidR="006B113F" w14:paraId="3BB53FE7" w14:textId="77777777">
        <w:tc>
          <w:tcPr>
            <w:tcW w:w="359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66B367"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Koç University (KU):</w:t>
            </w:r>
          </w:p>
        </w:tc>
        <w:tc>
          <w:tcPr>
            <w:tcW w:w="49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1FD410D"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 xml:space="preserve">Data Privacy Coordinator, </w:t>
            </w:r>
            <w:r>
              <w:fldChar w:fldCharType="begin"/>
            </w:r>
            <w:r>
              <w:instrText>HYPERLINK "http://bilgiguvenligi@ku.edu.tr" \o "http://bilgiguvenligi@ku.edu.tr"</w:instrText>
            </w:r>
            <w:r>
              <w:fldChar w:fldCharType="separate"/>
            </w:r>
            <w:r>
              <w:rPr>
                <w:rStyle w:val="Hyperlink"/>
                <w:rFonts w:ascii="Calibri" w:eastAsia="Calibri" w:hAnsi="Calibri" w:cs="Calibri"/>
              </w:rPr>
              <w:t>bilgiguvenligi@ku.edu.tr</w:t>
            </w:r>
            <w:r>
              <w:rPr>
                <w:rStyle w:val="Hyperlink"/>
                <w:rFonts w:ascii="Calibri" w:eastAsia="Calibri" w:hAnsi="Calibri" w:cs="Calibri"/>
              </w:rPr>
              <w:fldChar w:fldCharType="end"/>
            </w:r>
            <w:r>
              <w:rPr>
                <w:rFonts w:ascii="Calibri" w:eastAsia="Calibri" w:hAnsi="Calibri" w:cs="Calibri"/>
                <w:color w:val="000000"/>
              </w:rPr>
              <w:t xml:space="preserve"> </w:t>
            </w:r>
          </w:p>
        </w:tc>
      </w:tr>
      <w:tr w:rsidR="006B113F" w14:paraId="53229AAC" w14:textId="77777777">
        <w:tc>
          <w:tcPr>
            <w:tcW w:w="359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6152E4"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Université de Liège (ULiège):</w:t>
            </w:r>
          </w:p>
        </w:tc>
        <w:tc>
          <w:tcPr>
            <w:tcW w:w="49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B5C3BA"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 xml:space="preserve">Data Protection Officer, </w:t>
            </w:r>
            <w:r>
              <w:fldChar w:fldCharType="begin"/>
            </w:r>
            <w:r>
              <w:instrText>HYPERLINK "mailto:dpo@uliege.be" \o "mailto:dpo@uliege.be"</w:instrText>
            </w:r>
            <w:r>
              <w:fldChar w:fldCharType="separate"/>
            </w:r>
            <w:r>
              <w:rPr>
                <w:rStyle w:val="Hyperlink"/>
                <w:rFonts w:ascii="Calibri" w:eastAsia="Calibri" w:hAnsi="Calibri" w:cs="Calibri"/>
                <w:color w:val="0000FF"/>
                <w:u w:val="none"/>
              </w:rPr>
              <w:t>dpo@uliege.be</w:t>
            </w:r>
            <w:r>
              <w:rPr>
                <w:rStyle w:val="Hyperlink"/>
                <w:rFonts w:ascii="Calibri" w:eastAsia="Calibri" w:hAnsi="Calibri" w:cs="Calibri"/>
                <w:color w:val="0000FF"/>
                <w:u w:val="none"/>
              </w:rPr>
              <w:fldChar w:fldCharType="end"/>
            </w:r>
          </w:p>
        </w:tc>
      </w:tr>
      <w:tr w:rsidR="006B113F" w14:paraId="2D0E0195" w14:textId="77777777">
        <w:tc>
          <w:tcPr>
            <w:tcW w:w="359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94AC19"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University of Oulu (UOulu):</w:t>
            </w:r>
          </w:p>
        </w:tc>
        <w:tc>
          <w:tcPr>
            <w:tcW w:w="49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F9B1F55"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Theme="majorHAnsi" w:hAnsiTheme="majorHAnsi" w:cstheme="majorHAnsi"/>
                <w:lang w:val="en-US"/>
              </w:rPr>
              <w:t xml:space="preserve">Data Protection Officer, </w:t>
            </w:r>
            <w:hyperlink r:id="rId46" w:tooltip="mailto:dpo@oulu.fi" w:history="1">
              <w:r>
                <w:rPr>
                  <w:rStyle w:val="Hyperlink"/>
                  <w:rFonts w:asciiTheme="majorHAnsi" w:hAnsiTheme="majorHAnsi" w:cstheme="majorHAnsi"/>
                  <w:lang w:val="en-US"/>
                </w:rPr>
                <w:t>dpo@oulu.fi</w:t>
              </w:r>
            </w:hyperlink>
          </w:p>
        </w:tc>
      </w:tr>
      <w:tr w:rsidR="006B113F" w14:paraId="17C7F66E" w14:textId="77777777">
        <w:trPr>
          <w:trHeight w:val="241"/>
        </w:trPr>
        <w:tc>
          <w:tcPr>
            <w:tcW w:w="359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5F74CB" w14:textId="77777777" w:rsidR="006B113F" w:rsidRDefault="00000000">
            <w:pPr>
              <w:pBdr>
                <w:top w:val="none" w:sz="4" w:space="0" w:color="000000"/>
                <w:left w:val="none" w:sz="4" w:space="0" w:color="000000"/>
                <w:bottom w:val="none" w:sz="4" w:space="0" w:color="000000"/>
                <w:right w:val="none" w:sz="4" w:space="0" w:color="000000"/>
              </w:pBdr>
              <w:spacing w:line="360" w:lineRule="auto"/>
              <w:jc w:val="both"/>
            </w:pPr>
            <w:r>
              <w:rPr>
                <w:rFonts w:ascii="Calibri" w:eastAsia="Calibri" w:hAnsi="Calibri" w:cs="Calibri"/>
                <w:color w:val="000000"/>
              </w:rPr>
              <w:t>University of Zagreb (UniZG):</w:t>
            </w:r>
          </w:p>
        </w:tc>
        <w:tc>
          <w:tcPr>
            <w:tcW w:w="49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210440C" w14:textId="77777777" w:rsidR="006B113F" w:rsidRDefault="00000000">
            <w:pPr>
              <w:spacing w:line="360" w:lineRule="auto"/>
              <w:rPr>
                <w:rFonts w:asciiTheme="majorHAnsi" w:hAnsiTheme="majorHAnsi" w:cstheme="majorHAnsi"/>
              </w:rPr>
            </w:pPr>
            <w:commentRangeStart w:id="153"/>
            <w:r>
              <w:rPr>
                <w:rFonts w:asciiTheme="majorHAnsi" w:hAnsiTheme="majorHAnsi" w:cstheme="majorHAnsi"/>
              </w:rPr>
              <w:t>Data</w:t>
            </w:r>
            <w:r>
              <w:rPr>
                <w:rFonts w:asciiTheme="majorHAnsi" w:hAnsiTheme="majorHAnsi" w:cstheme="majorHAnsi"/>
                <w:color w:val="000000"/>
              </w:rPr>
              <w:t xml:space="preserve"> Protection O</w:t>
            </w:r>
            <w:r>
              <w:rPr>
                <w:rFonts w:asciiTheme="majorHAnsi" w:hAnsiTheme="majorHAnsi" w:cstheme="majorHAnsi"/>
              </w:rPr>
              <w:t xml:space="preserve">fficer, </w:t>
            </w:r>
            <w:hyperlink r:id="rId47" w:tooltip="mailto:petar.ceronja@pravo.hr" w:history="1">
              <w:r>
                <w:rPr>
                  <w:rStyle w:val="Hyperlink"/>
                  <w:rFonts w:asciiTheme="majorHAnsi" w:hAnsiTheme="majorHAnsi" w:cstheme="majorHAnsi"/>
                </w:rPr>
                <w:t>petar.ceronja@pravo.hr</w:t>
              </w:r>
            </w:hyperlink>
            <w:commentRangeEnd w:id="153"/>
            <w:r>
              <w:commentReference w:id="153"/>
            </w:r>
          </w:p>
        </w:tc>
      </w:tr>
    </w:tbl>
    <w:p w14:paraId="6D4585F1" w14:textId="77777777" w:rsidR="006B113F" w:rsidRDefault="006B113F">
      <w:pPr>
        <w:pBdr>
          <w:top w:val="none" w:sz="4" w:space="0" w:color="000000"/>
          <w:left w:val="none" w:sz="4" w:space="0" w:color="000000"/>
          <w:bottom w:val="none" w:sz="4" w:space="0" w:color="000000"/>
          <w:right w:val="none" w:sz="4" w:space="0" w:color="000000"/>
        </w:pBdr>
        <w:spacing w:after="160" w:line="240" w:lineRule="auto"/>
        <w:jc w:val="both"/>
      </w:pPr>
    </w:p>
    <w:p w14:paraId="1F30604B" w14:textId="77777777" w:rsidR="006B113F" w:rsidRDefault="00000000">
      <w:pPr>
        <w:pBdr>
          <w:top w:val="none" w:sz="4" w:space="0" w:color="000000"/>
          <w:left w:val="none" w:sz="4" w:space="0" w:color="000000"/>
          <w:bottom w:val="none" w:sz="4" w:space="0" w:color="000000"/>
          <w:right w:val="none" w:sz="4" w:space="0" w:color="000000"/>
        </w:pBdr>
        <w:spacing w:after="160" w:line="240" w:lineRule="auto"/>
        <w:jc w:val="both"/>
        <w:rPr>
          <w:rFonts w:ascii="Calibri" w:eastAsia="Calibri" w:hAnsi="Calibri" w:cs="Calibri"/>
          <w:color w:val="000000"/>
        </w:rPr>
      </w:pPr>
      <w:r>
        <w:rPr>
          <w:rFonts w:ascii="Calibri" w:eastAsia="Calibri" w:hAnsi="Calibri" w:cs="Calibri"/>
          <w:color w:val="000000"/>
        </w:rPr>
        <w:t> </w:t>
      </w:r>
    </w:p>
    <w:p w14:paraId="1DEAECE6" w14:textId="77777777" w:rsidR="006B113F" w:rsidRDefault="00000000">
      <w:pPr>
        <w:spacing w:line="240" w:lineRule="auto"/>
      </w:pPr>
      <w:r>
        <w:br w:type="page" w:clear="all"/>
      </w:r>
    </w:p>
    <w:p w14:paraId="588EEA40" w14:textId="3099A7E4" w:rsidR="006B113F" w:rsidRDefault="00000000">
      <w:pPr>
        <w:pStyle w:val="berschrift2"/>
        <w:keepNext w:val="0"/>
        <w:keepLines w:val="0"/>
        <w:widowControl w:val="0"/>
        <w:numPr>
          <w:ilvl w:val="1"/>
          <w:numId w:val="42"/>
        </w:numPr>
        <w:spacing w:before="0" w:after="0" w:line="240" w:lineRule="auto"/>
        <w:ind w:left="425" w:hanging="425"/>
        <w:rPr>
          <w:rFonts w:ascii="Calibri" w:eastAsia="Calibri" w:hAnsi="Calibri" w:cs="Calibri"/>
          <w:b/>
          <w:bCs/>
          <w:sz w:val="26"/>
          <w:szCs w:val="26"/>
        </w:rPr>
      </w:pPr>
      <w:bookmarkStart w:id="154" w:name="_Toc141280013"/>
      <w:commentRangeStart w:id="155"/>
      <w:r>
        <w:rPr>
          <w:rFonts w:ascii="Calibri" w:eastAsia="Calibri" w:hAnsi="Calibri" w:cs="Calibri"/>
          <w:b/>
          <w:bCs/>
          <w:sz w:val="26"/>
          <w:szCs w:val="26"/>
        </w:rPr>
        <w:lastRenderedPageBreak/>
        <w:t xml:space="preserve">The ANNEX Description of the financial management </w:t>
      </w:r>
      <w:commentRangeEnd w:id="155"/>
      <w:r>
        <w:commentReference w:id="155"/>
      </w:r>
      <w:r>
        <w:rPr>
          <w:rFonts w:ascii="Calibri" w:eastAsia="Calibri" w:hAnsi="Calibri" w:cs="Calibri"/>
          <w:b/>
          <w:bCs/>
          <w:sz w:val="26"/>
          <w:szCs w:val="26"/>
        </w:rPr>
        <w:t xml:space="preserve">of </w:t>
      </w:r>
      <w:bookmarkEnd w:id="154"/>
      <w:r w:rsidR="00B270F7">
        <w:rPr>
          <w:rFonts w:ascii="Calibri" w:eastAsia="Calibri" w:hAnsi="Calibri" w:cs="Calibri"/>
          <w:b/>
          <w:bCs/>
          <w:sz w:val="26"/>
          <w:szCs w:val="26"/>
        </w:rPr>
        <w:t>XX</w:t>
      </w:r>
    </w:p>
    <w:p w14:paraId="6B64A374" w14:textId="249A4923" w:rsidR="006B113F" w:rsidRDefault="00000000">
      <w:pPr>
        <w:spacing w:before="120" w:line="240" w:lineRule="auto"/>
      </w:pPr>
      <w:r>
        <w:rPr>
          <w:rStyle w:val="docdata"/>
          <w:rFonts w:asciiTheme="minorHAnsi" w:hAnsiTheme="minorHAnsi" w:cstheme="minorHAnsi"/>
          <w:b/>
          <w:bCs/>
          <w:color w:val="000000"/>
          <w:sz w:val="28"/>
          <w:szCs w:val="28"/>
        </w:rPr>
        <w:t xml:space="preserve">Description of the Financial Management of </w:t>
      </w:r>
      <w:r w:rsidR="00B270F7">
        <w:rPr>
          <w:rStyle w:val="docdata"/>
          <w:rFonts w:asciiTheme="minorHAnsi" w:hAnsiTheme="minorHAnsi" w:cstheme="minorHAnsi"/>
          <w:b/>
          <w:bCs/>
          <w:color w:val="000000"/>
          <w:sz w:val="28"/>
          <w:szCs w:val="28"/>
        </w:rPr>
        <w:t>XX</w:t>
      </w:r>
    </w:p>
    <w:p w14:paraId="0EDF777B" w14:textId="07FCB99B" w:rsidR="006B113F" w:rsidRDefault="00000000">
      <w:pPr>
        <w:pBdr>
          <w:bottom w:val="single" w:sz="4" w:space="1" w:color="000000"/>
        </w:pBdr>
        <w:spacing w:line="240" w:lineRule="auto"/>
        <w:jc w:val="both"/>
        <w:rPr>
          <w:rFonts w:asciiTheme="minorHAnsi" w:hAnsiTheme="minorHAnsi" w:cstheme="minorHAnsi"/>
          <w:lang w:val="en-GB"/>
        </w:rPr>
      </w:pPr>
      <w:r>
        <w:rPr>
          <w:rFonts w:asciiTheme="minorHAnsi" w:hAnsiTheme="minorHAnsi" w:cstheme="minorHAnsi"/>
          <w:lang w:val="en-GB"/>
        </w:rPr>
        <w:t xml:space="preserve">The following principles of the financial management of </w:t>
      </w:r>
      <w:r w:rsidR="00B270F7">
        <w:rPr>
          <w:rFonts w:asciiTheme="minorHAnsi" w:hAnsiTheme="minorHAnsi" w:cstheme="minorHAnsi"/>
          <w:lang w:val="en-GB"/>
        </w:rPr>
        <w:t>XX</w:t>
      </w:r>
      <w:r>
        <w:rPr>
          <w:rFonts w:asciiTheme="minorHAnsi" w:hAnsiTheme="minorHAnsi" w:cstheme="minorHAnsi"/>
          <w:lang w:val="en-GB"/>
        </w:rPr>
        <w:t xml:space="preserve"> have been agreed between the participating universities on senior management level. The following description of the financial management of </w:t>
      </w:r>
      <w:r w:rsidR="00B270F7">
        <w:rPr>
          <w:rFonts w:asciiTheme="minorHAnsi" w:hAnsiTheme="minorHAnsi" w:cstheme="minorHAnsi"/>
          <w:lang w:val="en-GB"/>
        </w:rPr>
        <w:t>XX</w:t>
      </w:r>
      <w:r>
        <w:rPr>
          <w:rFonts w:asciiTheme="minorHAnsi" w:hAnsiTheme="minorHAnsi" w:cstheme="minorHAnsi"/>
          <w:lang w:val="en-GB"/>
        </w:rPr>
        <w:t xml:space="preserve"> is based on “UNIC Financial Working Group: Recommended Decisions for Joint Programme Finances” approved by the UNIC General Executive Office and UNIC Management Board on 14</w:t>
      </w:r>
      <w:r>
        <w:rPr>
          <w:rFonts w:asciiTheme="minorHAnsi" w:hAnsiTheme="minorHAnsi" w:cstheme="minorHAnsi"/>
          <w:vertAlign w:val="superscript"/>
          <w:lang w:val="en-GB"/>
        </w:rPr>
        <w:t>th</w:t>
      </w:r>
      <w:r>
        <w:rPr>
          <w:rFonts w:asciiTheme="minorHAnsi" w:hAnsiTheme="minorHAnsi" w:cstheme="minorHAnsi"/>
          <w:lang w:val="en-GB"/>
        </w:rPr>
        <w:t xml:space="preserve"> June 2022.</w:t>
      </w:r>
    </w:p>
    <w:p w14:paraId="2DF7512C" w14:textId="77777777" w:rsidR="006B113F" w:rsidRDefault="00000000">
      <w:pPr>
        <w:spacing w:before="120" w:line="240" w:lineRule="auto"/>
        <w:rPr>
          <w:b/>
          <w:bCs/>
          <w:sz w:val="24"/>
          <w:szCs w:val="24"/>
        </w:rPr>
      </w:pPr>
      <w:r>
        <w:rPr>
          <w:b/>
          <w:bCs/>
          <w:sz w:val="24"/>
          <w:szCs w:val="24"/>
        </w:rPr>
        <w:t>Introduction</w:t>
      </w:r>
    </w:p>
    <w:p w14:paraId="03F1D443" w14:textId="30118C0B"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For </w:t>
      </w:r>
      <w:r w:rsidR="00B270F7">
        <w:rPr>
          <w:rFonts w:asciiTheme="minorHAnsi" w:hAnsiTheme="minorHAnsi" w:cstheme="minorHAnsi"/>
          <w:lang w:val="en-GB"/>
        </w:rPr>
        <w:t>XX</w:t>
      </w:r>
      <w:r>
        <w:rPr>
          <w:rFonts w:asciiTheme="minorHAnsi" w:hAnsiTheme="minorHAnsi" w:cstheme="minorHAnsi"/>
          <w:lang w:val="en-GB"/>
        </w:rPr>
        <w:t>, a designated funding scheme had to be developed, as the funding contexts of the consortium partners differ widely. For example, some partners depend largely on tuition fees to finance educational offerings, while others are bound to a nationally subsidised low tuition or tuition-free education. Equally, some partners are required to implement lower tuition fee schemes for EU or EEA compared to international citizens, while others do not normally differentiate.</w:t>
      </w:r>
    </w:p>
    <w:p w14:paraId="6F68C88E" w14:textId="39B93195"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The </w:t>
      </w:r>
      <w:r w:rsidR="00B270F7">
        <w:rPr>
          <w:rFonts w:asciiTheme="minorHAnsi" w:hAnsiTheme="minorHAnsi" w:cstheme="minorHAnsi"/>
          <w:lang w:val="en-GB"/>
        </w:rPr>
        <w:t>XX</w:t>
      </w:r>
      <w:r>
        <w:rPr>
          <w:rFonts w:asciiTheme="minorHAnsi" w:hAnsiTheme="minorHAnsi" w:cstheme="minorHAnsi"/>
          <w:lang w:val="en-GB"/>
        </w:rPr>
        <w:t xml:space="preserve"> programme income considered for distribution derives from tuition fees paid by students, and, where applicable, external funding (e.g., Erasmus Mundus). </w:t>
      </w:r>
    </w:p>
    <w:p w14:paraId="21E2F4F6"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Other funding, such as compensation from regional or national governments, may be generated on a local level, and are not considered for re-distribution.</w:t>
      </w:r>
    </w:p>
    <w:p w14:paraId="1ADC4122" w14:textId="77777777" w:rsidR="006B113F" w:rsidRDefault="00000000">
      <w:pPr>
        <w:spacing w:line="240" w:lineRule="auto"/>
        <w:jc w:val="both"/>
        <w:rPr>
          <w:rFonts w:asciiTheme="minorHAnsi" w:hAnsiTheme="minorHAnsi" w:cstheme="minorHAnsi"/>
          <w:lang w:val="en-IE"/>
        </w:rPr>
      </w:pPr>
      <w:r>
        <w:rPr>
          <w:rFonts w:asciiTheme="minorHAnsi" w:hAnsiTheme="minorHAnsi" w:cstheme="minorHAnsi"/>
          <w:lang w:val="en-IE"/>
        </w:rPr>
        <w:t xml:space="preserve">The validated Financial Model is based on a two-step approach: a first cost calculation of the total cost of the programme according to already agreed standard units (see </w:t>
      </w:r>
      <w:r>
        <w:rPr>
          <w:rFonts w:asciiTheme="minorHAnsi" w:hAnsiTheme="minorHAnsi" w:cstheme="minorHAnsi"/>
          <w:lang w:val="en-IE"/>
        </w:rPr>
        <w:fldChar w:fldCharType="begin"/>
      </w:r>
      <w:r>
        <w:rPr>
          <w:rFonts w:asciiTheme="minorHAnsi" w:hAnsiTheme="minorHAnsi" w:cstheme="minorHAnsi"/>
          <w:lang w:val="en-IE"/>
        </w:rPr>
        <w:instrText xml:space="preserve"> REF _Ref127369093 \h  \* MERGEFORMAT </w:instrText>
      </w:r>
      <w:r>
        <w:rPr>
          <w:rFonts w:asciiTheme="minorHAnsi" w:hAnsiTheme="minorHAnsi" w:cstheme="minorHAnsi"/>
          <w:lang w:val="en-IE"/>
        </w:rPr>
      </w:r>
      <w:r>
        <w:rPr>
          <w:rFonts w:asciiTheme="minorHAnsi" w:hAnsiTheme="minorHAnsi" w:cstheme="minorHAnsi"/>
          <w:lang w:val="en-IE"/>
        </w:rPr>
        <w:fldChar w:fldCharType="separate"/>
      </w:r>
      <w:r>
        <w:rPr>
          <w:rFonts w:asciiTheme="minorHAnsi" w:hAnsiTheme="minorHAnsi" w:cstheme="minorHAnsi"/>
          <w:lang w:val="en-IE"/>
        </w:rPr>
        <w:t>Cost Calculation</w:t>
      </w:r>
      <w:r>
        <w:rPr>
          <w:rFonts w:asciiTheme="minorHAnsi" w:hAnsiTheme="minorHAnsi" w:cstheme="minorHAnsi"/>
          <w:lang w:val="en-IE"/>
        </w:rPr>
        <w:fldChar w:fldCharType="end"/>
      </w:r>
      <w:r>
        <w:rPr>
          <w:rFonts w:asciiTheme="minorHAnsi" w:hAnsiTheme="minorHAnsi" w:cstheme="minorHAnsi"/>
          <w:lang w:val="en-IE"/>
        </w:rPr>
        <w:t xml:space="preserve">) and a model for Tuition Fee Distribution (see </w:t>
      </w:r>
      <w:r>
        <w:rPr>
          <w:rFonts w:asciiTheme="minorHAnsi" w:hAnsiTheme="minorHAnsi" w:cstheme="minorHAnsi"/>
          <w:lang w:val="en-IE"/>
        </w:rPr>
        <w:fldChar w:fldCharType="begin"/>
      </w:r>
      <w:r>
        <w:rPr>
          <w:rFonts w:asciiTheme="minorHAnsi" w:hAnsiTheme="minorHAnsi" w:cstheme="minorHAnsi"/>
          <w:lang w:val="en-IE"/>
        </w:rPr>
        <w:instrText xml:space="preserve"> REF _Ref127369153 \h  \* MERGEFORMAT </w:instrText>
      </w:r>
      <w:r>
        <w:rPr>
          <w:rFonts w:asciiTheme="minorHAnsi" w:hAnsiTheme="minorHAnsi" w:cstheme="minorHAnsi"/>
          <w:lang w:val="en-IE"/>
        </w:rPr>
      </w:r>
      <w:r>
        <w:rPr>
          <w:rFonts w:asciiTheme="minorHAnsi" w:hAnsiTheme="minorHAnsi" w:cstheme="minorHAnsi"/>
          <w:lang w:val="en-IE"/>
        </w:rPr>
        <w:fldChar w:fldCharType="separate"/>
      </w:r>
      <w:r>
        <w:rPr>
          <w:rFonts w:asciiTheme="minorHAnsi" w:hAnsiTheme="minorHAnsi" w:cstheme="minorHAnsi"/>
          <w:lang w:val="en-IE"/>
        </w:rPr>
        <w:t>Part I. Tuition Fee Distribution</w:t>
      </w:r>
      <w:r>
        <w:rPr>
          <w:rFonts w:asciiTheme="minorHAnsi" w:hAnsiTheme="minorHAnsi" w:cstheme="minorHAnsi"/>
          <w:lang w:val="en-IE"/>
        </w:rPr>
        <w:fldChar w:fldCharType="end"/>
      </w:r>
      <w:r>
        <w:rPr>
          <w:rFonts w:asciiTheme="minorHAnsi" w:hAnsiTheme="minorHAnsi" w:cstheme="minorHAnsi"/>
          <w:lang w:val="en-IE"/>
        </w:rPr>
        <w:t xml:space="preserve">). </w:t>
      </w:r>
    </w:p>
    <w:p w14:paraId="0EBB7EEF"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The first part of this annex addresses how the tuition fee income only is allocated among partners. Other conceivable external income sources, such as funding through the Erasmus Mundus programme, will not automatically follow this distribution model. </w:t>
      </w:r>
    </w:p>
    <w:p w14:paraId="4A015889"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Decisions regarding the utilisation of those funds, if any are acquired, are made unanimously by the partners, and the distribution of any other income received by the consortium will be the subject to a separate agreement by the partners if required.</w:t>
      </w:r>
    </w:p>
    <w:p w14:paraId="30AE6513"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The second part describes a standard cost model in the wider context of the programme’s financial analysis, and it will serve as context for future decisions and amendments to the financial agreements.</w:t>
      </w:r>
    </w:p>
    <w:p w14:paraId="2D68538F" w14:textId="77777777" w:rsidR="006B113F" w:rsidRDefault="006B113F">
      <w:pPr>
        <w:spacing w:line="240" w:lineRule="auto"/>
        <w:rPr>
          <w:rFonts w:asciiTheme="minorHAnsi" w:hAnsiTheme="minorHAnsi" w:cstheme="minorHAnsi"/>
          <w:lang w:val="en-GB"/>
        </w:rPr>
      </w:pPr>
    </w:p>
    <w:p w14:paraId="165A5DA2" w14:textId="77777777" w:rsidR="006B113F" w:rsidRDefault="00000000">
      <w:pPr>
        <w:spacing w:line="240" w:lineRule="auto"/>
        <w:rPr>
          <w:b/>
          <w:bCs/>
          <w:sz w:val="28"/>
          <w:szCs w:val="28"/>
        </w:rPr>
      </w:pPr>
      <w:bookmarkStart w:id="156" w:name="_Ref127369153"/>
      <w:r>
        <w:rPr>
          <w:b/>
          <w:bCs/>
          <w:sz w:val="28"/>
          <w:szCs w:val="28"/>
        </w:rPr>
        <w:t>Part I. Tuition Fee Distribution</w:t>
      </w:r>
      <w:bookmarkEnd w:id="156"/>
    </w:p>
    <w:p w14:paraId="23C6CAAC" w14:textId="77777777" w:rsidR="006B113F" w:rsidRDefault="00000000">
      <w:pPr>
        <w:spacing w:before="120" w:line="240" w:lineRule="auto"/>
        <w:rPr>
          <w:b/>
          <w:bCs/>
          <w:sz w:val="24"/>
          <w:szCs w:val="24"/>
        </w:rPr>
      </w:pPr>
      <w:r>
        <w:rPr>
          <w:b/>
          <w:bCs/>
          <w:sz w:val="24"/>
          <w:szCs w:val="24"/>
        </w:rPr>
        <w:t xml:space="preserve">Allocation of Tuition Fee Funds </w:t>
      </w:r>
    </w:p>
    <w:p w14:paraId="1C59F284" w14:textId="77777777" w:rsidR="006B113F" w:rsidRDefault="00000000">
      <w:pPr>
        <w:spacing w:line="240" w:lineRule="auto"/>
        <w:rPr>
          <w:rFonts w:asciiTheme="minorHAnsi" w:hAnsiTheme="minorHAnsi" w:cstheme="minorHAnsi"/>
          <w:b/>
          <w:bCs/>
        </w:rPr>
      </w:pPr>
      <w:r>
        <w:rPr>
          <w:noProof/>
        </w:rPr>
        <mc:AlternateContent>
          <mc:Choice Requires="wpg">
            <w:drawing>
              <wp:inline distT="0" distB="0" distL="0" distR="0" wp14:anchorId="61A923B4" wp14:editId="30CB9AA4">
                <wp:extent cx="5619750" cy="3009900"/>
                <wp:effectExtent l="0" t="0" r="0" b="0"/>
                <wp:docPr id="2" name="Grafik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48"/>
                        <a:stretch/>
                      </pic:blipFill>
                      <pic:spPr bwMode="auto">
                        <a:xfrm>
                          <a:off x="0" y="0"/>
                          <a:ext cx="5657057" cy="302988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42.50pt;height:237.00pt;mso-wrap-distance-left:0.00pt;mso-wrap-distance-top:0.00pt;mso-wrap-distance-right:0.00pt;mso-wrap-distance-bottom:0.00pt;z-index:1;" stroked="false">
                <v:imagedata r:id="rId49" o:title=""/>
                <o:lock v:ext="edit" rotation="t"/>
              </v:shape>
            </w:pict>
          </mc:Fallback>
        </mc:AlternateContent>
      </w:r>
    </w:p>
    <w:p w14:paraId="41B9771D" w14:textId="77777777" w:rsidR="006B113F" w:rsidRDefault="00000000">
      <w:pPr>
        <w:spacing w:line="240" w:lineRule="auto"/>
        <w:rPr>
          <w:rFonts w:asciiTheme="minorHAnsi" w:hAnsiTheme="minorHAnsi" w:cstheme="minorHAnsi"/>
          <w:lang w:val="en-GB"/>
        </w:rPr>
      </w:pPr>
      <w:r>
        <w:rPr>
          <w:rFonts w:asciiTheme="minorHAnsi" w:hAnsiTheme="minorHAnsi" w:cstheme="minorHAnsi"/>
          <w:lang w:val="en-GB"/>
        </w:rPr>
        <w:lastRenderedPageBreak/>
        <w:t>The diagram above represents the allocation model for tuition fees. It is described in detail and with examples given below.</w:t>
      </w:r>
    </w:p>
    <w:p w14:paraId="031B601E" w14:textId="77777777" w:rsidR="006B113F" w:rsidRDefault="00000000">
      <w:pPr>
        <w:spacing w:line="240" w:lineRule="auto"/>
        <w:rPr>
          <w:rFonts w:asciiTheme="minorHAnsi" w:hAnsiTheme="minorHAnsi" w:cstheme="minorHAnsi"/>
          <w:lang w:val="en-GB"/>
        </w:rPr>
      </w:pPr>
      <w:r>
        <w:rPr>
          <w:rFonts w:asciiTheme="minorHAnsi" w:hAnsiTheme="minorHAnsi" w:cstheme="minorHAnsi"/>
          <w:lang w:val="en-GB"/>
        </w:rPr>
        <w:t>(Diagram based on model calculation with a cohort of 52 EU+ and 8 third country students</w:t>
      </w:r>
      <w:r>
        <w:rPr>
          <w:rStyle w:val="Kommentarzeichen"/>
          <w:color w:val="000000" w:themeColor="text1"/>
          <w:szCs w:val="20"/>
          <w:lang w:val="en-GB" w:eastAsia="en-US"/>
        </w:rPr>
        <w:t>;</w:t>
      </w:r>
      <w:r>
        <w:rPr>
          <w:rFonts w:asciiTheme="minorHAnsi" w:hAnsiTheme="minorHAnsi" w:cstheme="minorHAnsi"/>
          <w:lang w:val="en-GB" w:eastAsia="en-US"/>
        </w:rPr>
        <w:t xml:space="preserve"> </w:t>
      </w:r>
      <w:r>
        <w:rPr>
          <w:rFonts w:asciiTheme="minorHAnsi" w:hAnsiTheme="minorHAnsi" w:cstheme="minorHAnsi"/>
          <w:lang w:val="en-GB"/>
        </w:rPr>
        <w:t>numbers included are indicative and only used as illustrating example.)</w:t>
      </w:r>
    </w:p>
    <w:p w14:paraId="4C430470" w14:textId="77777777" w:rsidR="006B113F" w:rsidRDefault="006B113F">
      <w:pPr>
        <w:spacing w:line="240" w:lineRule="auto"/>
        <w:rPr>
          <w:rFonts w:asciiTheme="minorHAnsi" w:hAnsiTheme="minorHAnsi" w:cstheme="minorHAnsi"/>
          <w:lang w:val="en-GB"/>
        </w:rPr>
      </w:pPr>
    </w:p>
    <w:p w14:paraId="420E169B" w14:textId="77777777" w:rsidR="006B113F" w:rsidRDefault="00000000">
      <w:pPr>
        <w:spacing w:line="240" w:lineRule="auto"/>
        <w:rPr>
          <w:b/>
          <w:bCs/>
          <w:sz w:val="24"/>
          <w:szCs w:val="24"/>
        </w:rPr>
      </w:pPr>
      <w:r>
        <w:rPr>
          <w:b/>
          <w:bCs/>
          <w:sz w:val="24"/>
          <w:szCs w:val="24"/>
        </w:rPr>
        <w:t>Guiding Principles:</w:t>
      </w:r>
    </w:p>
    <w:p w14:paraId="31860197" w14:textId="77777777" w:rsidR="006B113F" w:rsidRDefault="00000000">
      <w:pPr>
        <w:pStyle w:val="Listenabsatz"/>
        <w:numPr>
          <w:ilvl w:val="0"/>
          <w:numId w:val="80"/>
        </w:numPr>
        <w:spacing w:after="60" w:line="240" w:lineRule="auto"/>
        <w:jc w:val="both"/>
        <w:rPr>
          <w:rFonts w:asciiTheme="minorHAnsi" w:hAnsiTheme="minorHAnsi" w:cstheme="minorHAnsi"/>
          <w:lang w:val="en-GB"/>
        </w:rPr>
      </w:pPr>
      <w:r>
        <w:rPr>
          <w:rFonts w:asciiTheme="minorHAnsi" w:hAnsiTheme="minorHAnsi" w:cstheme="minorHAnsi"/>
          <w:lang w:val="en-GB"/>
        </w:rPr>
        <w:t xml:space="preserve">The income is distributed in relation </w:t>
      </w:r>
    </w:p>
    <w:p w14:paraId="7CF7CA0E" w14:textId="77777777" w:rsidR="006B113F" w:rsidRDefault="00000000">
      <w:pPr>
        <w:pStyle w:val="Listenabsatz"/>
        <w:numPr>
          <w:ilvl w:val="1"/>
          <w:numId w:val="80"/>
        </w:numPr>
        <w:spacing w:after="60" w:line="240" w:lineRule="auto"/>
        <w:jc w:val="both"/>
        <w:rPr>
          <w:rFonts w:asciiTheme="minorHAnsi" w:hAnsiTheme="minorHAnsi" w:cstheme="minorHAnsi"/>
          <w:lang w:val="en-GB"/>
        </w:rPr>
      </w:pPr>
      <w:r>
        <w:rPr>
          <w:rFonts w:asciiTheme="minorHAnsi" w:hAnsiTheme="minorHAnsi" w:cstheme="minorHAnsi"/>
          <w:lang w:val="en-GB"/>
        </w:rPr>
        <w:t xml:space="preserve">to the re-imbursement of consortium-wide costs (factor C), </w:t>
      </w:r>
    </w:p>
    <w:p w14:paraId="490F70DF" w14:textId="77777777" w:rsidR="006B113F" w:rsidRDefault="00000000">
      <w:pPr>
        <w:pStyle w:val="Listenabsatz"/>
        <w:numPr>
          <w:ilvl w:val="1"/>
          <w:numId w:val="80"/>
        </w:numPr>
        <w:spacing w:after="60" w:line="240" w:lineRule="auto"/>
        <w:jc w:val="both"/>
        <w:rPr>
          <w:rFonts w:asciiTheme="minorHAnsi" w:hAnsiTheme="minorHAnsi" w:cstheme="minorHAnsi"/>
          <w:lang w:val="en-GB"/>
        </w:rPr>
      </w:pPr>
      <w:r>
        <w:rPr>
          <w:rFonts w:asciiTheme="minorHAnsi" w:hAnsiTheme="minorHAnsi" w:cstheme="minorHAnsi"/>
          <w:lang w:val="en-GB"/>
        </w:rPr>
        <w:t xml:space="preserve">the credit hours contributed by each partner university (factor B) </w:t>
      </w:r>
    </w:p>
    <w:p w14:paraId="706A0987" w14:textId="77777777" w:rsidR="006B113F" w:rsidRDefault="00000000">
      <w:pPr>
        <w:pStyle w:val="Listenabsatz"/>
        <w:numPr>
          <w:ilvl w:val="1"/>
          <w:numId w:val="80"/>
        </w:numPr>
        <w:spacing w:after="60" w:line="240" w:lineRule="auto"/>
        <w:jc w:val="both"/>
        <w:rPr>
          <w:rFonts w:asciiTheme="minorHAnsi" w:hAnsiTheme="minorHAnsi" w:cstheme="minorHAnsi"/>
          <w:lang w:val="en-GB"/>
        </w:rPr>
      </w:pPr>
      <w:r>
        <w:rPr>
          <w:rFonts w:asciiTheme="minorHAnsi" w:hAnsiTheme="minorHAnsi" w:cstheme="minorHAnsi"/>
          <w:lang w:val="en-GB"/>
        </w:rPr>
        <w:t xml:space="preserve">and a standardised fixed factor for each partner related to standard tuition fees (factor A). </w:t>
      </w:r>
    </w:p>
    <w:p w14:paraId="2EFC7D2D" w14:textId="77777777" w:rsidR="006B113F" w:rsidRDefault="00000000">
      <w:pPr>
        <w:pStyle w:val="Listenabsatz"/>
        <w:numPr>
          <w:ilvl w:val="0"/>
          <w:numId w:val="80"/>
        </w:numPr>
        <w:spacing w:after="60" w:line="240" w:lineRule="auto"/>
        <w:jc w:val="both"/>
        <w:rPr>
          <w:rFonts w:asciiTheme="minorHAnsi" w:hAnsiTheme="minorHAnsi" w:cstheme="minorHAnsi"/>
          <w:lang w:val="en-GB"/>
        </w:rPr>
      </w:pPr>
      <w:r>
        <w:rPr>
          <w:rFonts w:asciiTheme="minorHAnsi" w:hAnsiTheme="minorHAnsi" w:cstheme="minorHAnsi"/>
          <w:lang w:val="en-GB"/>
        </w:rPr>
        <w:t>To calculate factor B, partners will be assigned the full credit hours on distinct modules developed and delivered by one partner, and a pro-rata allocation for those that are jointly developed and delivered by two or more partners.</w:t>
      </w:r>
    </w:p>
    <w:p w14:paraId="275AE803" w14:textId="4986B5EA" w:rsidR="006B113F" w:rsidRDefault="00000000">
      <w:pPr>
        <w:pStyle w:val="Listenabsatz"/>
        <w:numPr>
          <w:ilvl w:val="0"/>
          <w:numId w:val="79"/>
        </w:numPr>
        <w:spacing w:after="60" w:line="240" w:lineRule="auto"/>
        <w:jc w:val="both"/>
        <w:rPr>
          <w:rFonts w:asciiTheme="minorHAnsi" w:hAnsiTheme="minorHAnsi" w:cstheme="minorHAnsi"/>
          <w:lang w:val="en-GB"/>
        </w:rPr>
      </w:pPr>
      <w:r>
        <w:rPr>
          <w:rFonts w:asciiTheme="minorHAnsi" w:hAnsiTheme="minorHAnsi" w:cstheme="minorHAnsi"/>
          <w:lang w:val="en-GB"/>
        </w:rPr>
        <w:t xml:space="preserve">The Coordinating Institution of </w:t>
      </w:r>
      <w:r w:rsidR="00B270F7">
        <w:rPr>
          <w:rFonts w:asciiTheme="minorHAnsi" w:hAnsiTheme="minorHAnsi" w:cstheme="minorHAnsi"/>
          <w:lang w:val="en-GB"/>
        </w:rPr>
        <w:t>XX</w:t>
      </w:r>
      <w:r>
        <w:rPr>
          <w:rFonts w:asciiTheme="minorHAnsi" w:hAnsiTheme="minorHAnsi" w:cstheme="minorHAnsi"/>
          <w:lang w:val="en-GB"/>
        </w:rPr>
        <w:t xml:space="preserve"> sets up a distribution scheme of centrally collected tuition fees to the Partner Institutions, as described above.</w:t>
      </w:r>
    </w:p>
    <w:p w14:paraId="65838B90" w14:textId="77777777" w:rsidR="006B113F" w:rsidRDefault="00000000">
      <w:pPr>
        <w:pStyle w:val="Listenabsatz"/>
        <w:numPr>
          <w:ilvl w:val="0"/>
          <w:numId w:val="79"/>
        </w:numPr>
        <w:spacing w:after="60" w:line="240" w:lineRule="auto"/>
        <w:jc w:val="both"/>
        <w:rPr>
          <w:rFonts w:asciiTheme="minorHAnsi" w:hAnsiTheme="minorHAnsi" w:cstheme="minorHAnsi"/>
          <w:lang w:val="en-GB"/>
        </w:rPr>
      </w:pPr>
      <w:r>
        <w:rPr>
          <w:rFonts w:asciiTheme="minorHAnsi" w:eastAsia="Times New Roman" w:hAnsiTheme="minorHAnsi" w:cstheme="minorHAnsi"/>
          <w:lang w:val="en-GB"/>
        </w:rPr>
        <w:t>The annual and multi-annual budget of the Consortium</w:t>
      </w:r>
      <w:r>
        <w:rPr>
          <w:rFonts w:asciiTheme="minorHAnsi" w:hAnsiTheme="minorHAnsi" w:cstheme="minorHAnsi"/>
          <w:lang w:val="en-GB"/>
        </w:rPr>
        <w:t xml:space="preserve"> is </w:t>
      </w:r>
      <w:r>
        <w:rPr>
          <w:rFonts w:asciiTheme="minorHAnsi" w:eastAsia="Times New Roman" w:hAnsiTheme="minorHAnsi" w:cstheme="minorHAnsi"/>
          <w:lang w:val="en-GB"/>
        </w:rPr>
        <w:t>established by the Coordinating Institution in line with the partnership agreement</w:t>
      </w:r>
      <w:r>
        <w:rPr>
          <w:rFonts w:asciiTheme="minorHAnsi" w:hAnsiTheme="minorHAnsi" w:cstheme="minorHAnsi"/>
          <w:lang w:val="en-GB"/>
        </w:rPr>
        <w:t xml:space="preserve"> once per cohort.</w:t>
      </w:r>
    </w:p>
    <w:p w14:paraId="028DF04D" w14:textId="47FAF57E" w:rsidR="006B113F" w:rsidRDefault="00000000">
      <w:pPr>
        <w:pStyle w:val="Listenabsatz"/>
        <w:numPr>
          <w:ilvl w:val="0"/>
          <w:numId w:val="79"/>
        </w:numPr>
        <w:spacing w:after="60" w:line="240" w:lineRule="auto"/>
        <w:jc w:val="both"/>
        <w:rPr>
          <w:rFonts w:asciiTheme="minorHAnsi" w:hAnsiTheme="minorHAnsi" w:cstheme="minorHAnsi"/>
          <w:lang w:val="en-GB"/>
        </w:rPr>
      </w:pPr>
      <w:r>
        <w:rPr>
          <w:rFonts w:asciiTheme="minorHAnsi" w:hAnsiTheme="minorHAnsi" w:cstheme="minorHAnsi"/>
          <w:lang w:val="en-GB"/>
        </w:rPr>
        <w:t xml:space="preserve">A financial review will take place annually for the first two intakes of the programme. Reviews will be undertaken by a joint board of financial experts established by the Management Board of UNIC, which all </w:t>
      </w:r>
      <w:r w:rsidR="00B270F7">
        <w:rPr>
          <w:rFonts w:asciiTheme="minorHAnsi" w:hAnsiTheme="minorHAnsi" w:cstheme="minorHAnsi"/>
          <w:lang w:val="en-GB"/>
        </w:rPr>
        <w:t>XX</w:t>
      </w:r>
      <w:r>
        <w:rPr>
          <w:rFonts w:asciiTheme="minorHAnsi" w:hAnsiTheme="minorHAnsi" w:cstheme="minorHAnsi"/>
          <w:lang w:val="en-GB"/>
        </w:rPr>
        <w:t xml:space="preserve"> partners belong to. The board may rely on the expertise of a </w:t>
      </w:r>
      <w:r w:rsidR="00B270F7">
        <w:rPr>
          <w:rFonts w:asciiTheme="minorHAnsi" w:hAnsiTheme="minorHAnsi" w:cstheme="minorHAnsi"/>
          <w:lang w:val="en-GB"/>
        </w:rPr>
        <w:t>XX</w:t>
      </w:r>
      <w:r>
        <w:rPr>
          <w:rFonts w:asciiTheme="minorHAnsi" w:hAnsiTheme="minorHAnsi" w:cstheme="minorHAnsi"/>
          <w:lang w:val="en-GB"/>
        </w:rPr>
        <w:t xml:space="preserve">-wide financial working group. Review cycles may be adjusted there afterwards, in any case in time before each reaccreditation. </w:t>
      </w:r>
    </w:p>
    <w:p w14:paraId="1A487D69" w14:textId="77777777" w:rsidR="006B113F" w:rsidRDefault="00000000">
      <w:pPr>
        <w:pStyle w:val="Listenabsatz"/>
        <w:numPr>
          <w:ilvl w:val="0"/>
          <w:numId w:val="79"/>
        </w:numPr>
        <w:spacing w:after="60" w:line="240" w:lineRule="auto"/>
        <w:jc w:val="both"/>
        <w:rPr>
          <w:rFonts w:asciiTheme="minorHAnsi" w:hAnsiTheme="minorHAnsi" w:cstheme="minorHAnsi"/>
          <w:lang w:val="en-GB"/>
        </w:rPr>
      </w:pPr>
      <w:r>
        <w:rPr>
          <w:rFonts w:asciiTheme="minorHAnsi" w:hAnsiTheme="minorHAnsi" w:cstheme="minorHAnsi"/>
          <w:lang w:val="en-GB"/>
        </w:rPr>
        <w:t>If the study programme does not achieve enough eligible applications, the consortium reserves the right to start the programme one year later.</w:t>
      </w:r>
    </w:p>
    <w:p w14:paraId="69FFEAE7" w14:textId="77777777" w:rsidR="006B113F" w:rsidRDefault="006B113F">
      <w:pPr>
        <w:spacing w:line="240" w:lineRule="auto"/>
        <w:rPr>
          <w:b/>
          <w:bCs/>
          <w:sz w:val="24"/>
          <w:szCs w:val="24"/>
        </w:rPr>
      </w:pPr>
    </w:p>
    <w:p w14:paraId="19E394E2" w14:textId="77777777" w:rsidR="006B113F" w:rsidRDefault="00000000">
      <w:pPr>
        <w:spacing w:line="240" w:lineRule="auto"/>
        <w:rPr>
          <w:b/>
          <w:bCs/>
          <w:sz w:val="24"/>
          <w:szCs w:val="24"/>
        </w:rPr>
      </w:pPr>
      <w:r>
        <w:rPr>
          <w:b/>
          <w:bCs/>
          <w:sz w:val="24"/>
          <w:szCs w:val="24"/>
        </w:rPr>
        <w:t>Programme tuition fee funds</w:t>
      </w:r>
    </w:p>
    <w:p w14:paraId="4AD36A55" w14:textId="77777777" w:rsidR="006B113F" w:rsidRDefault="00000000">
      <w:pPr>
        <w:spacing w:line="240" w:lineRule="auto"/>
        <w:rPr>
          <w:rFonts w:asciiTheme="minorHAnsi" w:hAnsiTheme="minorHAnsi" w:cstheme="minorHAnsi"/>
          <w:lang w:val="en-GB"/>
        </w:rPr>
      </w:pPr>
      <w:r>
        <w:rPr>
          <w:rFonts w:asciiTheme="minorHAnsi" w:hAnsiTheme="minorHAnsi" w:cstheme="minorHAnsi"/>
          <w:lang w:val="en-GB"/>
        </w:rPr>
        <w:t xml:space="preserve">Programme tuition fee funds are considered incomes from tuition fees, collected from students by the coordinating institution on behalf of the consortium. </w:t>
      </w:r>
    </w:p>
    <w:p w14:paraId="2BA31C9E" w14:textId="77777777" w:rsidR="006B113F" w:rsidRDefault="00000000">
      <w:pPr>
        <w:spacing w:line="240" w:lineRule="auto"/>
        <w:rPr>
          <w:rFonts w:asciiTheme="minorHAnsi" w:hAnsiTheme="minorHAnsi" w:cstheme="minorHAnsi"/>
          <w:lang w:val="en-IE"/>
        </w:rPr>
      </w:pPr>
      <w:r>
        <w:rPr>
          <w:rFonts w:asciiTheme="minorHAnsi" w:hAnsiTheme="minorHAnsi" w:cstheme="minorHAnsi"/>
          <w:lang w:val="en-IE"/>
        </w:rPr>
        <w:t xml:space="preserve">The programme tuition fees have been set at </w:t>
      </w:r>
      <w:r>
        <w:rPr>
          <w:rFonts w:asciiTheme="minorHAnsi" w:hAnsiTheme="minorHAnsi" w:cstheme="minorHAnsi"/>
          <w:b/>
          <w:bCs/>
          <w:lang w:val="en-IE"/>
        </w:rPr>
        <w:t xml:space="preserve">€9,000 for </w:t>
      </w:r>
      <w:r>
        <w:rPr>
          <w:rFonts w:asciiTheme="minorHAnsi" w:hAnsiTheme="minorHAnsi" w:cstheme="minorHAnsi"/>
          <w:b/>
          <w:bCs/>
          <w:color w:val="000000" w:themeColor="text1"/>
          <w:lang w:val="en-IE"/>
        </w:rPr>
        <w:t>European/programme country students</w:t>
      </w:r>
      <w:r>
        <w:rPr>
          <w:rFonts w:asciiTheme="minorHAnsi" w:hAnsiTheme="minorHAnsi" w:cstheme="minorHAnsi"/>
          <w:color w:val="000000" w:themeColor="text1"/>
          <w:lang w:val="en-IE"/>
        </w:rPr>
        <w:t xml:space="preserve"> and </w:t>
      </w:r>
      <w:r>
        <w:rPr>
          <w:rFonts w:asciiTheme="minorHAnsi" w:hAnsiTheme="minorHAnsi" w:cstheme="minorHAnsi"/>
          <w:b/>
          <w:bCs/>
          <w:color w:val="000000" w:themeColor="text1"/>
          <w:lang w:val="en-IE"/>
        </w:rPr>
        <w:t>€18,000 for non-European/partner country</w:t>
      </w:r>
      <w:r>
        <w:rPr>
          <w:rFonts w:asciiTheme="minorHAnsi" w:hAnsiTheme="minorHAnsi" w:cstheme="minorHAnsi"/>
          <w:b/>
          <w:bCs/>
          <w:lang w:val="en-IE"/>
        </w:rPr>
        <w:t xml:space="preserve"> students</w:t>
      </w:r>
      <w:r>
        <w:rPr>
          <w:rFonts w:asciiTheme="minorHAnsi" w:hAnsiTheme="minorHAnsi" w:cstheme="minorHAnsi"/>
          <w:lang w:val="en-IE"/>
        </w:rPr>
        <w:t xml:space="preserve"> for the whole 120 ECTS programme. Students will pay these tuition fees to RUB University according to the following scheme: </w:t>
      </w:r>
    </w:p>
    <w:p w14:paraId="2B8D95CB" w14:textId="77777777" w:rsidR="006B113F" w:rsidRDefault="00000000">
      <w:pPr>
        <w:numPr>
          <w:ilvl w:val="0"/>
          <w:numId w:val="85"/>
        </w:numPr>
        <w:spacing w:line="240" w:lineRule="auto"/>
        <w:rPr>
          <w:rFonts w:asciiTheme="minorHAnsi" w:hAnsiTheme="minorHAnsi" w:cstheme="minorHAnsi"/>
        </w:rPr>
      </w:pPr>
      <w:r>
        <w:rPr>
          <w:rFonts w:asciiTheme="minorHAnsi" w:hAnsiTheme="minorHAnsi" w:cstheme="minorHAnsi"/>
        </w:rPr>
        <w:t>Payment 1: October Academic Year 1</w:t>
      </w:r>
    </w:p>
    <w:p w14:paraId="71B84FA8" w14:textId="77777777" w:rsidR="006B113F" w:rsidRDefault="00000000">
      <w:pPr>
        <w:numPr>
          <w:ilvl w:val="0"/>
          <w:numId w:val="85"/>
        </w:numPr>
        <w:spacing w:line="240" w:lineRule="auto"/>
        <w:rPr>
          <w:rFonts w:asciiTheme="minorHAnsi" w:hAnsiTheme="minorHAnsi" w:cstheme="minorHAnsi"/>
        </w:rPr>
      </w:pPr>
      <w:r>
        <w:rPr>
          <w:rFonts w:asciiTheme="minorHAnsi" w:hAnsiTheme="minorHAnsi" w:cstheme="minorHAnsi"/>
        </w:rPr>
        <w:t>Payment 2: January Academic Year 1</w:t>
      </w:r>
    </w:p>
    <w:p w14:paraId="46D4C1BD" w14:textId="77777777" w:rsidR="006B113F" w:rsidRDefault="00000000">
      <w:pPr>
        <w:numPr>
          <w:ilvl w:val="0"/>
          <w:numId w:val="85"/>
        </w:numPr>
        <w:spacing w:line="240" w:lineRule="auto"/>
        <w:rPr>
          <w:rFonts w:asciiTheme="minorHAnsi" w:hAnsiTheme="minorHAnsi" w:cstheme="minorHAnsi"/>
        </w:rPr>
      </w:pPr>
      <w:r>
        <w:rPr>
          <w:rFonts w:asciiTheme="minorHAnsi" w:hAnsiTheme="minorHAnsi" w:cstheme="minorHAnsi"/>
        </w:rPr>
        <w:t>Payment 3: October Academic Year 2</w:t>
      </w:r>
    </w:p>
    <w:p w14:paraId="6B19441A" w14:textId="77777777" w:rsidR="006B113F" w:rsidRDefault="00000000">
      <w:pPr>
        <w:numPr>
          <w:ilvl w:val="0"/>
          <w:numId w:val="85"/>
        </w:numPr>
        <w:spacing w:after="160" w:line="240" w:lineRule="auto"/>
        <w:rPr>
          <w:rFonts w:asciiTheme="minorHAnsi" w:hAnsiTheme="minorHAnsi" w:cstheme="minorHAnsi"/>
        </w:rPr>
      </w:pPr>
      <w:r>
        <w:rPr>
          <w:rFonts w:asciiTheme="minorHAnsi" w:hAnsiTheme="minorHAnsi" w:cstheme="minorHAnsi"/>
        </w:rPr>
        <w:t>Payment 4: January Academic Year 2</w:t>
      </w:r>
    </w:p>
    <w:p w14:paraId="43568E7C" w14:textId="77777777" w:rsidR="006B113F" w:rsidRDefault="00000000">
      <w:pPr>
        <w:spacing w:line="240" w:lineRule="auto"/>
        <w:rPr>
          <w:b/>
          <w:bCs/>
          <w:sz w:val="24"/>
          <w:szCs w:val="24"/>
        </w:rPr>
      </w:pPr>
      <w:bookmarkStart w:id="157" w:name="_Ref126699662"/>
      <w:r>
        <w:rPr>
          <w:b/>
          <w:bCs/>
          <w:sz w:val="24"/>
          <w:szCs w:val="24"/>
        </w:rPr>
        <w:t>Calculation of consortium-wide programme costs (factor C)</w:t>
      </w:r>
      <w:bookmarkEnd w:id="157"/>
    </w:p>
    <w:p w14:paraId="6AA4FA65"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Programme related consortium costs are defined as direct, auditable costs that do not relate to the provision of teaching and are incurred by a nominated partner to provide a service to all partners that are additional to their academic delivery. Namely, these potential programme-related consortium costs have been identified:</w:t>
      </w:r>
    </w:p>
    <w:p w14:paraId="5626DC3E" w14:textId="77777777" w:rsidR="006B113F" w:rsidRDefault="00000000">
      <w:pPr>
        <w:pStyle w:val="Listenabsatz"/>
        <w:numPr>
          <w:ilvl w:val="0"/>
          <w:numId w:val="76"/>
        </w:numPr>
        <w:spacing w:after="160" w:line="240" w:lineRule="auto"/>
        <w:jc w:val="both"/>
        <w:rPr>
          <w:rFonts w:asciiTheme="minorHAnsi" w:hAnsiTheme="minorHAnsi" w:cstheme="minorHAnsi"/>
          <w:lang w:val="en-IE"/>
        </w:rPr>
      </w:pPr>
      <w:r>
        <w:rPr>
          <w:rFonts w:asciiTheme="minorHAnsi" w:hAnsiTheme="minorHAnsi" w:cstheme="minorHAnsi"/>
          <w:lang w:val="en-IE"/>
        </w:rPr>
        <w:t>Programme coordination and student management from admission to graduation,</w:t>
      </w:r>
    </w:p>
    <w:p w14:paraId="2BDC116A" w14:textId="77777777" w:rsidR="006B113F" w:rsidRDefault="00000000">
      <w:pPr>
        <w:pStyle w:val="Listenabsatz"/>
        <w:numPr>
          <w:ilvl w:val="0"/>
          <w:numId w:val="76"/>
        </w:numPr>
        <w:spacing w:after="160" w:line="240" w:lineRule="auto"/>
        <w:jc w:val="both"/>
        <w:rPr>
          <w:rFonts w:asciiTheme="minorHAnsi" w:hAnsiTheme="minorHAnsi" w:cstheme="minorHAnsi"/>
          <w:lang w:val="en-IE"/>
        </w:rPr>
      </w:pPr>
      <w:r>
        <w:rPr>
          <w:rFonts w:asciiTheme="minorHAnsi" w:hAnsiTheme="minorHAnsi" w:cstheme="minorHAnsi"/>
          <w:lang w:val="en-IE"/>
        </w:rPr>
        <w:t>Coordination of central admission, central fee collection, budget management and financial controlling &amp; liaison with partner institutions,</w:t>
      </w:r>
    </w:p>
    <w:p w14:paraId="3494CFA6" w14:textId="77777777" w:rsidR="006B113F" w:rsidRDefault="00000000">
      <w:pPr>
        <w:pStyle w:val="Listenabsatz"/>
        <w:numPr>
          <w:ilvl w:val="0"/>
          <w:numId w:val="76"/>
        </w:numPr>
        <w:spacing w:after="160" w:line="240" w:lineRule="auto"/>
        <w:jc w:val="both"/>
        <w:rPr>
          <w:rFonts w:asciiTheme="minorHAnsi" w:hAnsiTheme="minorHAnsi" w:cstheme="minorHAnsi"/>
          <w:lang w:val="en-IE"/>
        </w:rPr>
      </w:pPr>
      <w:r>
        <w:rPr>
          <w:rFonts w:asciiTheme="minorHAnsi" w:hAnsiTheme="minorHAnsi" w:cstheme="minorHAnsi"/>
          <w:lang w:val="en-IE"/>
        </w:rPr>
        <w:t>Central advertising &amp; marketing costs for student recruitment to the programme.</w:t>
      </w:r>
    </w:p>
    <w:p w14:paraId="4BEED95D"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Additional consortium-wide programme costs may be agreed upon by the partner institutions unanimously.</w:t>
      </w:r>
    </w:p>
    <w:p w14:paraId="25159842" w14:textId="41F6BD98"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These consortium-wide programme costs (in the following named factor C) are deducted from the total </w:t>
      </w:r>
      <w:r w:rsidR="00B270F7">
        <w:rPr>
          <w:rFonts w:asciiTheme="minorHAnsi" w:hAnsiTheme="minorHAnsi" w:cstheme="minorHAnsi"/>
          <w:lang w:val="en-GB"/>
        </w:rPr>
        <w:t>XX</w:t>
      </w:r>
      <w:r>
        <w:rPr>
          <w:rFonts w:asciiTheme="minorHAnsi" w:hAnsiTheme="minorHAnsi" w:cstheme="minorHAnsi"/>
          <w:lang w:val="en-GB"/>
        </w:rPr>
        <w:t xml:space="preserve"> programme tuition-fee income. The remaining income will be distributed among the partners.</w:t>
      </w:r>
    </w:p>
    <w:p w14:paraId="487EDCCA" w14:textId="77777777" w:rsidR="006B113F" w:rsidRDefault="00000000">
      <w:pPr>
        <w:spacing w:line="240" w:lineRule="auto"/>
        <w:rPr>
          <w:b/>
          <w:bCs/>
          <w:sz w:val="24"/>
          <w:szCs w:val="24"/>
        </w:rPr>
      </w:pPr>
      <w:r>
        <w:rPr>
          <w:b/>
          <w:bCs/>
          <w:sz w:val="24"/>
          <w:szCs w:val="24"/>
        </w:rPr>
        <w:lastRenderedPageBreak/>
        <w:t>Considerations for additional consortium-wide programme costs</w:t>
      </w:r>
    </w:p>
    <w:p w14:paraId="45E90FCB" w14:textId="77777777" w:rsidR="006B113F" w:rsidRDefault="00000000">
      <w:pPr>
        <w:spacing w:line="240" w:lineRule="auto"/>
        <w:rPr>
          <w:rFonts w:asciiTheme="minorHAnsi" w:hAnsiTheme="minorHAnsi" w:cstheme="minorHAnsi"/>
          <w:lang w:val="en-GB"/>
        </w:rPr>
      </w:pPr>
      <w:r>
        <w:rPr>
          <w:rFonts w:asciiTheme="minorHAnsi" w:hAnsiTheme="minorHAnsi" w:cstheme="minorHAnsi"/>
          <w:lang w:val="en-GB"/>
        </w:rPr>
        <w:t>The following costs are considered local costs of the programme and may be reconsidered as consortium-wide costs for future intakes:</w:t>
      </w:r>
    </w:p>
    <w:p w14:paraId="190FB37E" w14:textId="77777777" w:rsidR="006B113F" w:rsidRDefault="00000000">
      <w:pPr>
        <w:pStyle w:val="Listenabsatz"/>
        <w:numPr>
          <w:ilvl w:val="0"/>
          <w:numId w:val="82"/>
        </w:numPr>
        <w:spacing w:after="60" w:line="240" w:lineRule="auto"/>
        <w:jc w:val="both"/>
        <w:rPr>
          <w:rFonts w:asciiTheme="minorHAnsi" w:hAnsiTheme="minorHAnsi" w:cstheme="minorHAnsi"/>
          <w:lang w:val="en-GB"/>
        </w:rPr>
      </w:pPr>
      <w:r>
        <w:rPr>
          <w:rFonts w:asciiTheme="minorHAnsi" w:hAnsiTheme="minorHAnsi" w:cstheme="minorHAnsi"/>
          <w:lang w:val="en-GB"/>
        </w:rPr>
        <w:t>The costs for the initial accreditation by the European Approach will be covered jointly by the partner universities. Re-accreditation costs may be considered consortium-wide programme costs and will be assessed as part of the financial review.</w:t>
      </w:r>
    </w:p>
    <w:p w14:paraId="0A65ACF6" w14:textId="77777777" w:rsidR="006B113F" w:rsidRDefault="00000000">
      <w:pPr>
        <w:pStyle w:val="Listenabsatz"/>
        <w:numPr>
          <w:ilvl w:val="0"/>
          <w:numId w:val="82"/>
        </w:numPr>
        <w:spacing w:after="60" w:line="240" w:lineRule="auto"/>
        <w:jc w:val="both"/>
        <w:rPr>
          <w:rFonts w:asciiTheme="minorHAnsi" w:hAnsiTheme="minorHAnsi" w:cstheme="minorHAnsi"/>
          <w:lang w:val="en-GB"/>
        </w:rPr>
      </w:pPr>
      <w:r>
        <w:rPr>
          <w:rFonts w:asciiTheme="minorHAnsi" w:hAnsiTheme="minorHAnsi" w:cstheme="minorHAnsi"/>
          <w:lang w:val="en-GB"/>
        </w:rPr>
        <w:t>Accreditation fees, that are additionally necessary to accredit or validate the programme at the national level, will be paid by each partner for the first accreditation cycle. Local re-accreditation costs may be considered consortium-wide programme costs and will be assessed as part of the financial review.</w:t>
      </w:r>
    </w:p>
    <w:p w14:paraId="79A91814" w14:textId="77777777" w:rsidR="006B113F" w:rsidRDefault="00000000">
      <w:pPr>
        <w:pStyle w:val="Listenabsatz"/>
        <w:numPr>
          <w:ilvl w:val="0"/>
          <w:numId w:val="82"/>
        </w:numPr>
        <w:spacing w:after="60" w:line="240" w:lineRule="auto"/>
        <w:jc w:val="both"/>
        <w:rPr>
          <w:rFonts w:asciiTheme="minorHAnsi" w:hAnsiTheme="minorHAnsi" w:cstheme="minorHAnsi"/>
          <w:lang w:val="en-GB"/>
        </w:rPr>
      </w:pPr>
      <w:r>
        <w:rPr>
          <w:rFonts w:asciiTheme="minorHAnsi" w:hAnsiTheme="minorHAnsi" w:cstheme="minorHAnsi"/>
          <w:lang w:val="en-GB"/>
        </w:rPr>
        <w:t>Travel costs for annual meetings of the Academic Studies Board may be re-classified as consortium-wide costs as part of the financial review.</w:t>
      </w:r>
    </w:p>
    <w:p w14:paraId="670DB8BD" w14:textId="77777777" w:rsidR="006B113F" w:rsidRDefault="006B113F">
      <w:pPr>
        <w:tabs>
          <w:tab w:val="left" w:pos="6096"/>
        </w:tabs>
        <w:spacing w:line="240" w:lineRule="auto"/>
        <w:rPr>
          <w:b/>
          <w:bCs/>
          <w:sz w:val="24"/>
          <w:szCs w:val="24"/>
        </w:rPr>
      </w:pPr>
      <w:bookmarkStart w:id="158" w:name="_Ref126699741"/>
    </w:p>
    <w:p w14:paraId="14752612" w14:textId="77777777" w:rsidR="006B113F" w:rsidRDefault="00000000">
      <w:pPr>
        <w:tabs>
          <w:tab w:val="left" w:pos="6096"/>
        </w:tabs>
        <w:spacing w:line="240" w:lineRule="auto"/>
        <w:rPr>
          <w:b/>
          <w:bCs/>
          <w:sz w:val="24"/>
          <w:szCs w:val="24"/>
        </w:rPr>
      </w:pPr>
      <w:r>
        <w:rPr>
          <w:b/>
          <w:bCs/>
          <w:sz w:val="24"/>
          <w:szCs w:val="24"/>
        </w:rPr>
        <w:t>Programme tuition fee fund distribution</w:t>
      </w:r>
      <w:bookmarkEnd w:id="158"/>
    </w:p>
    <w:p w14:paraId="6D423A3B"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After the deduction of agreed consortium-wide programme costs, partners are reimbursed from the programme tuition funds according to the agreed distribution scheme: </w:t>
      </w:r>
    </w:p>
    <w:p w14:paraId="20C0E465" w14:textId="77777777" w:rsidR="006B113F" w:rsidRDefault="00000000">
      <w:pPr>
        <w:pStyle w:val="Listenabsatz"/>
        <w:numPr>
          <w:ilvl w:val="0"/>
          <w:numId w:val="77"/>
        </w:numPr>
        <w:spacing w:after="160" w:line="240" w:lineRule="auto"/>
        <w:jc w:val="both"/>
        <w:rPr>
          <w:rFonts w:asciiTheme="minorHAnsi" w:hAnsiTheme="minorHAnsi" w:cstheme="minorHAnsi"/>
          <w:lang w:val="en-GB"/>
        </w:rPr>
      </w:pPr>
      <w:r>
        <w:rPr>
          <w:rFonts w:asciiTheme="minorHAnsi" w:hAnsiTheme="minorHAnsi" w:cstheme="minorHAnsi"/>
          <w:lang w:val="en-GB"/>
        </w:rPr>
        <w:t xml:space="preserve">Factor A: 25% of the available funds after deduction of Factor C will be distributed to compensate partners for student-related costs that will be incurred regardless of the amount of teaching each partner provides. These funds will be distributed in relation to the standard tuition fees charged for similar programmes at each partner university. This considers existing national restrictions, and it indirectly considers the national framework of each partner (e.g., government funding, teaching costs). As an example, see </w:t>
      </w:r>
      <w:r>
        <w:rPr>
          <w:rFonts w:asciiTheme="minorHAnsi" w:hAnsiTheme="minorHAnsi" w:cstheme="minorHAnsi"/>
          <w:b/>
          <w:bCs/>
          <w:lang w:val="en-GB"/>
        </w:rPr>
        <w:t>Factor A: Distribution per Standard Tuition Fee.</w:t>
      </w:r>
      <w:r>
        <w:rPr>
          <w:rFonts w:asciiTheme="minorHAnsi" w:hAnsiTheme="minorHAnsi" w:cstheme="minorHAnsi"/>
          <w:lang w:val="en-GB"/>
        </w:rPr>
        <w:t xml:space="preserve"> </w:t>
      </w:r>
    </w:p>
    <w:p w14:paraId="2306AD04" w14:textId="77777777" w:rsidR="006B113F" w:rsidRDefault="00000000">
      <w:pPr>
        <w:pStyle w:val="Listenabsatz"/>
        <w:numPr>
          <w:ilvl w:val="0"/>
          <w:numId w:val="77"/>
        </w:numPr>
        <w:spacing w:after="160" w:line="240" w:lineRule="auto"/>
        <w:jc w:val="both"/>
        <w:rPr>
          <w:rFonts w:asciiTheme="minorHAnsi" w:hAnsiTheme="minorHAnsi" w:cstheme="minorHAnsi"/>
          <w:lang w:val="en-GB"/>
        </w:rPr>
      </w:pPr>
      <w:r>
        <w:rPr>
          <w:rFonts w:asciiTheme="minorHAnsi" w:hAnsiTheme="minorHAnsi" w:cstheme="minorHAnsi"/>
          <w:lang w:val="en-GB"/>
        </w:rPr>
        <w:t xml:space="preserve">Factor B: 75% of the available funds after deduction of Factor C will be distributed in relation to the teaching efforts provided, specifically, the agreed programme ECTS delivery. As an example, see </w:t>
      </w:r>
      <w:r>
        <w:rPr>
          <w:rFonts w:asciiTheme="minorHAnsi" w:hAnsiTheme="minorHAnsi" w:cstheme="minorHAnsi"/>
          <w:b/>
          <w:bCs/>
          <w:lang w:val="en-GB"/>
        </w:rPr>
        <w:t>Distribution of Standard Tuition Fee according to ECTS Delivery</w:t>
      </w:r>
      <w:r>
        <w:rPr>
          <w:rFonts w:asciiTheme="minorHAnsi" w:hAnsiTheme="minorHAnsi" w:cstheme="minorHAnsi"/>
          <w:b/>
          <w:bCs/>
          <w:lang w:val="en-IE"/>
        </w:rPr>
        <w:t>.</w:t>
      </w:r>
    </w:p>
    <w:p w14:paraId="52284061"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While all consortium-wide programme costs (i.e., Factor C) are auditable costs, there are no additional reporting requirements as to how each partner manages the other distributed incomes, i.e., Factor A and Factor B.</w:t>
      </w:r>
    </w:p>
    <w:p w14:paraId="6D3A9F7A" w14:textId="77777777" w:rsidR="006B113F" w:rsidRDefault="006B113F">
      <w:pPr>
        <w:spacing w:line="240" w:lineRule="auto"/>
        <w:jc w:val="both"/>
        <w:rPr>
          <w:rFonts w:asciiTheme="minorHAnsi" w:hAnsiTheme="minorHAnsi" w:cstheme="minorHAnsi"/>
          <w:lang w:val="en-GB"/>
        </w:rPr>
      </w:pPr>
    </w:p>
    <w:p w14:paraId="7D050E24" w14:textId="77777777" w:rsidR="006B113F" w:rsidRDefault="00000000">
      <w:pPr>
        <w:spacing w:line="240" w:lineRule="auto"/>
        <w:rPr>
          <w:b/>
          <w:bCs/>
          <w:sz w:val="24"/>
          <w:szCs w:val="24"/>
        </w:rPr>
      </w:pPr>
      <w:bookmarkStart w:id="159" w:name="_Ref126700015"/>
      <w:r>
        <w:rPr>
          <w:b/>
          <w:bCs/>
          <w:sz w:val="24"/>
          <w:szCs w:val="24"/>
        </w:rPr>
        <w:t xml:space="preserve">Calculation of expected distribution of programme funds based on </w:t>
      </w:r>
      <w:bookmarkEnd w:id="159"/>
      <w:r>
        <w:rPr>
          <w:b/>
          <w:bCs/>
          <w:sz w:val="24"/>
          <w:szCs w:val="24"/>
        </w:rPr>
        <w:t>eligible applications</w:t>
      </w:r>
    </w:p>
    <w:p w14:paraId="45FC80FA"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Following student applications for this programme, the expected available programme tuition fee funds are re-calculated. The consortium will then decide whether the forecasted student enrolment is sufficient to start the programme, or the consortium will pause the programme. The distribution of tuition fee income is calculated, and each partner is advised of their proposed allocation under the model, based on the number of enrolled students.</w:t>
      </w:r>
    </w:p>
    <w:p w14:paraId="02ECC114" w14:textId="77777777" w:rsidR="006B113F" w:rsidRDefault="006B113F">
      <w:pPr>
        <w:spacing w:line="240" w:lineRule="auto"/>
        <w:jc w:val="both"/>
        <w:rPr>
          <w:rFonts w:asciiTheme="minorHAnsi" w:hAnsiTheme="minorHAnsi" w:cstheme="minorHAnsi"/>
          <w:lang w:val="en-GB"/>
        </w:rPr>
      </w:pPr>
    </w:p>
    <w:p w14:paraId="4FB7CFF7" w14:textId="77777777" w:rsidR="006B113F" w:rsidRDefault="00000000">
      <w:pPr>
        <w:spacing w:line="240" w:lineRule="auto"/>
        <w:rPr>
          <w:b/>
          <w:bCs/>
          <w:sz w:val="24"/>
          <w:szCs w:val="24"/>
        </w:rPr>
      </w:pPr>
      <w:r>
        <w:rPr>
          <w:b/>
          <w:bCs/>
          <w:sz w:val="24"/>
          <w:szCs w:val="24"/>
        </w:rPr>
        <w:t>Payment of fees and transfer of allocated funds to partners</w:t>
      </w:r>
    </w:p>
    <w:p w14:paraId="59B21D4F"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Students will be required to pay tuition fees to the coordinating institution </w:t>
      </w:r>
      <w:proofErr w:type="gramStart"/>
      <w:r>
        <w:rPr>
          <w:rFonts w:asciiTheme="minorHAnsi" w:hAnsiTheme="minorHAnsi" w:cstheme="minorHAnsi"/>
          <w:lang w:val="en-GB"/>
        </w:rPr>
        <w:t>in order to</w:t>
      </w:r>
      <w:proofErr w:type="gramEnd"/>
      <w:r>
        <w:rPr>
          <w:rFonts w:asciiTheme="minorHAnsi" w:hAnsiTheme="minorHAnsi" w:cstheme="minorHAnsi"/>
          <w:lang w:val="en-GB"/>
        </w:rPr>
        <w:t xml:space="preserve"> complete enrolment and re-enrolment each semester.</w:t>
      </w:r>
    </w:p>
    <w:p w14:paraId="211B43BB"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The coordinating institution will, in receipt of an invoice or an agreed alternative from partners, transfer allocated funds from the collected tuition fees twice annually to the partners.</w:t>
      </w:r>
    </w:p>
    <w:p w14:paraId="2E022338" w14:textId="77777777" w:rsidR="006B113F" w:rsidRDefault="00000000">
      <w:pPr>
        <w:numPr>
          <w:ilvl w:val="0"/>
          <w:numId w:val="86"/>
        </w:numPr>
        <w:spacing w:line="240" w:lineRule="auto"/>
        <w:jc w:val="both"/>
        <w:rPr>
          <w:rFonts w:asciiTheme="minorHAnsi" w:hAnsiTheme="minorHAnsi" w:cstheme="minorHAnsi"/>
          <w:color w:val="000000"/>
          <w:lang w:val="en-IE"/>
        </w:rPr>
      </w:pPr>
      <w:r>
        <w:rPr>
          <w:rFonts w:asciiTheme="minorHAnsi" w:hAnsiTheme="minorHAnsi" w:cstheme="minorHAnsi"/>
          <w:lang w:val="en-IE"/>
        </w:rPr>
        <w:t>Payment 1: November of Academic Year 1</w:t>
      </w:r>
    </w:p>
    <w:p w14:paraId="230DDD5C" w14:textId="77777777" w:rsidR="006B113F" w:rsidRDefault="00000000">
      <w:pPr>
        <w:numPr>
          <w:ilvl w:val="0"/>
          <w:numId w:val="86"/>
        </w:numPr>
        <w:spacing w:line="240" w:lineRule="auto"/>
        <w:jc w:val="both"/>
        <w:rPr>
          <w:rFonts w:asciiTheme="minorHAnsi" w:hAnsiTheme="minorHAnsi" w:cstheme="minorHAnsi"/>
          <w:color w:val="000000"/>
          <w:lang w:val="en-IE"/>
        </w:rPr>
      </w:pPr>
      <w:r>
        <w:rPr>
          <w:rFonts w:asciiTheme="minorHAnsi" w:hAnsiTheme="minorHAnsi" w:cstheme="minorHAnsi"/>
          <w:lang w:val="en-IE"/>
        </w:rPr>
        <w:t xml:space="preserve">Payment 2: May of Academic Year 1 </w:t>
      </w:r>
    </w:p>
    <w:p w14:paraId="65F1C6DF" w14:textId="77777777" w:rsidR="006B113F" w:rsidRDefault="00000000">
      <w:pPr>
        <w:numPr>
          <w:ilvl w:val="0"/>
          <w:numId w:val="86"/>
        </w:numPr>
        <w:spacing w:line="240" w:lineRule="auto"/>
        <w:jc w:val="both"/>
        <w:rPr>
          <w:rFonts w:asciiTheme="minorHAnsi" w:hAnsiTheme="minorHAnsi" w:cstheme="minorHAnsi"/>
          <w:lang w:val="en-IE"/>
        </w:rPr>
      </w:pPr>
      <w:r>
        <w:rPr>
          <w:rFonts w:asciiTheme="minorHAnsi" w:hAnsiTheme="minorHAnsi" w:cstheme="minorHAnsi"/>
          <w:lang w:val="en-IE"/>
        </w:rPr>
        <w:t>Payment 3: November of Academic Year 2</w:t>
      </w:r>
    </w:p>
    <w:p w14:paraId="0767388D" w14:textId="77777777" w:rsidR="006B113F" w:rsidRDefault="00000000">
      <w:pPr>
        <w:numPr>
          <w:ilvl w:val="0"/>
          <w:numId w:val="86"/>
        </w:numPr>
        <w:spacing w:line="240" w:lineRule="auto"/>
        <w:jc w:val="both"/>
        <w:rPr>
          <w:rFonts w:asciiTheme="minorHAnsi" w:hAnsiTheme="minorHAnsi" w:cstheme="minorHAnsi"/>
          <w:lang w:val="en-IE"/>
        </w:rPr>
      </w:pPr>
      <w:r>
        <w:rPr>
          <w:rFonts w:asciiTheme="minorHAnsi" w:hAnsiTheme="minorHAnsi" w:cstheme="minorHAnsi"/>
          <w:lang w:val="en-IE"/>
        </w:rPr>
        <w:t>Payment 4: May of Academic Year 2</w:t>
      </w:r>
    </w:p>
    <w:p w14:paraId="1DF11D0A" w14:textId="77777777" w:rsidR="006B113F" w:rsidRDefault="006B113F">
      <w:pPr>
        <w:spacing w:line="240" w:lineRule="auto"/>
        <w:jc w:val="both"/>
        <w:rPr>
          <w:lang w:val="en-GB"/>
        </w:rPr>
      </w:pPr>
    </w:p>
    <w:p w14:paraId="45F3DBBA"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Any bank charges arising on receipt of the tuition fees income from the coordinator are for the account of each of the partners.</w:t>
      </w:r>
    </w:p>
    <w:p w14:paraId="37415945"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lastRenderedPageBreak/>
        <w:t>Any national taxes arising on the receipt of the tuition fee income is for the account of each of the partners.</w:t>
      </w:r>
    </w:p>
    <w:p w14:paraId="610A78B7" w14:textId="77777777" w:rsidR="006B113F" w:rsidRDefault="006B113F">
      <w:pPr>
        <w:spacing w:line="240" w:lineRule="auto"/>
        <w:jc w:val="both"/>
        <w:rPr>
          <w:rFonts w:asciiTheme="minorHAnsi" w:hAnsiTheme="minorHAnsi" w:cstheme="minorHAnsi"/>
          <w:lang w:val="en-GB"/>
        </w:rPr>
      </w:pPr>
    </w:p>
    <w:p w14:paraId="69C5FDB6" w14:textId="77777777" w:rsidR="006B113F" w:rsidRDefault="00000000">
      <w:pPr>
        <w:spacing w:line="240" w:lineRule="auto"/>
        <w:rPr>
          <w:b/>
          <w:bCs/>
          <w:sz w:val="24"/>
          <w:szCs w:val="24"/>
        </w:rPr>
      </w:pPr>
      <w:r>
        <w:rPr>
          <w:b/>
          <w:bCs/>
          <w:sz w:val="24"/>
          <w:szCs w:val="24"/>
        </w:rPr>
        <w:t>Financial Reserves</w:t>
      </w:r>
    </w:p>
    <w:p w14:paraId="6BA32B45"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Due to national restrictions or other considerations, some partners may be required to limit the amount of the allocated distribution of programme tuition fee funds they receive. In these cases, the partner will be asked to confirm the amount before funds are transferred by the co-ordinator and decisions regarding the distribution of the unallocated funds, i.e., the financial reserve, will be made jointly by the consortium. These could be used to cover unforeseen expenses, the provision of scholarships for subsequent cohorts, or other means.</w:t>
      </w:r>
    </w:p>
    <w:p w14:paraId="6DBFF571" w14:textId="77777777" w:rsidR="006B113F" w:rsidRDefault="006B113F">
      <w:pPr>
        <w:spacing w:line="240" w:lineRule="auto"/>
        <w:jc w:val="both"/>
        <w:rPr>
          <w:rFonts w:asciiTheme="minorHAnsi" w:hAnsiTheme="minorHAnsi" w:cstheme="minorHAnsi"/>
          <w:lang w:val="en-GB"/>
        </w:rPr>
      </w:pPr>
    </w:p>
    <w:p w14:paraId="7837E828" w14:textId="77777777" w:rsidR="006B113F" w:rsidRDefault="00000000">
      <w:pPr>
        <w:spacing w:line="240" w:lineRule="auto"/>
        <w:rPr>
          <w:b/>
          <w:bCs/>
          <w:sz w:val="24"/>
          <w:szCs w:val="24"/>
        </w:rPr>
      </w:pPr>
      <w:r>
        <w:rPr>
          <w:b/>
          <w:bCs/>
          <w:sz w:val="24"/>
          <w:szCs w:val="24"/>
        </w:rPr>
        <w:t>Intended Number of Students per Cohort and Fees</w:t>
      </w:r>
    </w:p>
    <w:p w14:paraId="13D24D55"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The Consortium aims for an annual intake of 60 students and will apply two different sets of Participation Cost rates: </w:t>
      </w:r>
    </w:p>
    <w:p w14:paraId="05ED60AB" w14:textId="77777777" w:rsidR="006B113F" w:rsidRDefault="00000000">
      <w:pPr>
        <w:pStyle w:val="Listenabsatz"/>
        <w:numPr>
          <w:ilvl w:val="0"/>
          <w:numId w:val="81"/>
        </w:numPr>
        <w:spacing w:after="60" w:line="240" w:lineRule="auto"/>
        <w:jc w:val="both"/>
        <w:rPr>
          <w:rFonts w:asciiTheme="minorHAnsi" w:eastAsia="Times New Roman" w:hAnsiTheme="minorHAnsi" w:cstheme="minorHAnsi"/>
          <w:lang w:val="en-GB"/>
        </w:rPr>
      </w:pPr>
      <w:r>
        <w:rPr>
          <w:rFonts w:asciiTheme="minorHAnsi" w:eastAsia="Times New Roman" w:hAnsiTheme="minorHAnsi" w:cstheme="minorHAnsi"/>
          <w:lang w:val="en-GB"/>
        </w:rPr>
        <w:t>€ 2.250 per semester (i.e., € 9.000 for 4 semesters / 24 months) for students with a nationality of an EU Member State, of the European Free Trade Association EFTA, or of an acceding country, candidate country or potential candidate country for EU membership (also called “</w:t>
      </w:r>
      <w:r>
        <w:rPr>
          <w:rFonts w:asciiTheme="minorHAnsi" w:eastAsia="Times New Roman" w:hAnsiTheme="minorHAnsi" w:cstheme="minorHAnsi"/>
          <w:b/>
          <w:bCs/>
          <w:lang w:val="en-GB"/>
        </w:rPr>
        <w:t>EU+</w:t>
      </w:r>
      <w:r>
        <w:rPr>
          <w:rFonts w:asciiTheme="minorHAnsi" w:eastAsia="Times New Roman" w:hAnsiTheme="minorHAnsi" w:cstheme="minorHAnsi"/>
          <w:lang w:val="en-GB"/>
        </w:rPr>
        <w:t xml:space="preserve"> </w:t>
      </w:r>
      <w:r>
        <w:rPr>
          <w:rFonts w:asciiTheme="minorHAnsi" w:eastAsia="Times New Roman" w:hAnsiTheme="minorHAnsi" w:cstheme="minorHAnsi"/>
          <w:b/>
          <w:bCs/>
          <w:lang w:val="en-GB"/>
        </w:rPr>
        <w:t>students</w:t>
      </w:r>
      <w:r>
        <w:rPr>
          <w:rFonts w:asciiTheme="minorHAnsi" w:eastAsia="Times New Roman" w:hAnsiTheme="minorHAnsi" w:cstheme="minorHAnsi"/>
          <w:lang w:val="en-GB"/>
        </w:rPr>
        <w:t xml:space="preserve">”), and </w:t>
      </w:r>
    </w:p>
    <w:p w14:paraId="7EA228BB" w14:textId="77777777" w:rsidR="006B113F" w:rsidRDefault="00000000">
      <w:pPr>
        <w:pStyle w:val="Listenabsatz"/>
        <w:numPr>
          <w:ilvl w:val="0"/>
          <w:numId w:val="81"/>
        </w:numPr>
        <w:spacing w:after="60" w:line="240" w:lineRule="auto"/>
        <w:jc w:val="both"/>
        <w:rPr>
          <w:rFonts w:asciiTheme="minorHAnsi" w:eastAsia="Times New Roman" w:hAnsiTheme="minorHAnsi" w:cstheme="minorHAnsi"/>
          <w:lang w:val="en-GB"/>
        </w:rPr>
      </w:pPr>
      <w:r>
        <w:rPr>
          <w:rFonts w:asciiTheme="minorHAnsi" w:eastAsia="Times New Roman" w:hAnsiTheme="minorHAnsi" w:cstheme="minorHAnsi"/>
          <w:lang w:val="en-GB"/>
        </w:rPr>
        <w:t>€ 4.500 per semester (i.e., € 18.000 for 4 semesters / 24 months) for students with a nationality of all other countries (also called “</w:t>
      </w:r>
      <w:r>
        <w:rPr>
          <w:rFonts w:asciiTheme="minorHAnsi" w:eastAsia="Times New Roman" w:hAnsiTheme="minorHAnsi" w:cstheme="minorHAnsi"/>
          <w:b/>
          <w:bCs/>
          <w:lang w:val="en-GB"/>
        </w:rPr>
        <w:t>third country students</w:t>
      </w:r>
      <w:r>
        <w:rPr>
          <w:rFonts w:asciiTheme="minorHAnsi" w:eastAsia="Times New Roman" w:hAnsiTheme="minorHAnsi" w:cstheme="minorHAnsi"/>
          <w:lang w:val="en-GB"/>
        </w:rPr>
        <w:t>”).</w:t>
      </w:r>
    </w:p>
    <w:p w14:paraId="2E017902" w14:textId="77777777" w:rsidR="006B113F" w:rsidRDefault="006B113F">
      <w:pPr>
        <w:spacing w:line="240" w:lineRule="auto"/>
        <w:ind w:left="720"/>
        <w:rPr>
          <w:rFonts w:cstheme="minorHAnsi"/>
          <w:lang w:val="en-GB"/>
        </w:rPr>
      </w:pPr>
    </w:p>
    <w:p w14:paraId="098C0AEF" w14:textId="77777777" w:rsidR="006B113F" w:rsidRDefault="00000000">
      <w:pPr>
        <w:spacing w:line="240" w:lineRule="auto"/>
        <w:rPr>
          <w:b/>
          <w:bCs/>
          <w:sz w:val="24"/>
          <w:szCs w:val="24"/>
        </w:rPr>
      </w:pPr>
      <w:r>
        <w:rPr>
          <w:b/>
          <w:bCs/>
          <w:sz w:val="24"/>
          <w:szCs w:val="24"/>
        </w:rPr>
        <w:t>Model Calculations</w:t>
      </w:r>
    </w:p>
    <w:p w14:paraId="5C8C380E" w14:textId="77777777" w:rsidR="006B113F" w:rsidRDefault="00000000">
      <w:pPr>
        <w:spacing w:line="240" w:lineRule="auto"/>
        <w:jc w:val="both"/>
        <w:rPr>
          <w:rFonts w:asciiTheme="minorHAnsi" w:hAnsiTheme="minorHAnsi" w:cstheme="minorHAnsi"/>
          <w:lang w:val="en-GB"/>
        </w:rPr>
      </w:pPr>
      <w:proofErr w:type="gramStart"/>
      <w:r>
        <w:rPr>
          <w:rFonts w:asciiTheme="minorHAnsi" w:hAnsiTheme="minorHAnsi" w:cstheme="minorHAnsi"/>
          <w:lang w:val="en-GB"/>
        </w:rPr>
        <w:t>For the purpose of</w:t>
      </w:r>
      <w:proofErr w:type="gramEnd"/>
      <w:r>
        <w:rPr>
          <w:rFonts w:asciiTheme="minorHAnsi" w:hAnsiTheme="minorHAnsi" w:cstheme="minorHAnsi"/>
          <w:lang w:val="en-GB"/>
        </w:rPr>
        <w:t xml:space="preserve"> this annex the calculation of the distribution of tuition fee income set out below is based on estimated enrolments of</w:t>
      </w:r>
    </w:p>
    <w:p w14:paraId="0A4F6AFF" w14:textId="77777777" w:rsidR="006B113F" w:rsidRDefault="00000000">
      <w:pPr>
        <w:pStyle w:val="Listenabsatz"/>
        <w:numPr>
          <w:ilvl w:val="0"/>
          <w:numId w:val="78"/>
        </w:numPr>
        <w:spacing w:after="60" w:line="240" w:lineRule="auto"/>
        <w:jc w:val="both"/>
        <w:rPr>
          <w:rFonts w:asciiTheme="minorHAnsi" w:eastAsia="Times New Roman" w:hAnsiTheme="minorHAnsi" w:cstheme="minorHAnsi"/>
          <w:lang w:val="en-GB"/>
        </w:rPr>
      </w:pPr>
      <w:r>
        <w:rPr>
          <w:rFonts w:asciiTheme="minorHAnsi" w:eastAsia="Times New Roman" w:hAnsiTheme="minorHAnsi" w:cstheme="minorHAnsi"/>
          <w:lang w:val="en-GB"/>
        </w:rPr>
        <w:t>52 EU+ and 8 third country students</w:t>
      </w:r>
    </w:p>
    <w:p w14:paraId="23C8806C" w14:textId="77777777" w:rsidR="006B113F" w:rsidRDefault="00000000">
      <w:pPr>
        <w:pStyle w:val="Listenabsatz"/>
        <w:numPr>
          <w:ilvl w:val="0"/>
          <w:numId w:val="78"/>
        </w:numPr>
        <w:spacing w:after="60" w:line="240" w:lineRule="auto"/>
        <w:jc w:val="both"/>
        <w:rPr>
          <w:rFonts w:asciiTheme="minorHAnsi" w:eastAsia="Times New Roman" w:hAnsiTheme="minorHAnsi" w:cstheme="minorHAnsi"/>
          <w:lang w:val="en-GB"/>
        </w:rPr>
      </w:pPr>
      <w:r>
        <w:rPr>
          <w:rFonts w:asciiTheme="minorHAnsi" w:eastAsia="Times New Roman" w:hAnsiTheme="minorHAnsi" w:cstheme="minorHAnsi"/>
          <w:lang w:val="en-GB"/>
        </w:rPr>
        <w:t>30 EU+ and 30 third country students</w:t>
      </w:r>
    </w:p>
    <w:p w14:paraId="5DF36328" w14:textId="77777777" w:rsidR="006B113F" w:rsidRDefault="006B113F">
      <w:pPr>
        <w:spacing w:line="240" w:lineRule="auto"/>
        <w:rPr>
          <w:rFonts w:asciiTheme="minorHAnsi" w:hAnsiTheme="minorHAnsi" w:cstheme="minorHAnsi"/>
          <w:lang w:val="en-GB"/>
        </w:rPr>
      </w:pPr>
    </w:p>
    <w:p w14:paraId="5D2FF103" w14:textId="77777777" w:rsidR="006B113F" w:rsidRDefault="00000000">
      <w:pPr>
        <w:spacing w:line="240" w:lineRule="auto"/>
        <w:rPr>
          <w:b/>
          <w:bCs/>
          <w:sz w:val="24"/>
          <w:szCs w:val="24"/>
        </w:rPr>
      </w:pPr>
      <w:r>
        <w:rPr>
          <w:b/>
          <w:bCs/>
          <w:sz w:val="24"/>
          <w:szCs w:val="24"/>
        </w:rPr>
        <w:t>Available Funds per Cohort in Case 1</w:t>
      </w:r>
    </w:p>
    <w:tbl>
      <w:tblPr>
        <w:tblStyle w:val="Gitternetztabelle1hell"/>
        <w:tblW w:w="9493" w:type="dxa"/>
        <w:tblLook w:val="04A0" w:firstRow="1" w:lastRow="0" w:firstColumn="1" w:lastColumn="0" w:noHBand="0" w:noVBand="1"/>
      </w:tblPr>
      <w:tblGrid>
        <w:gridCol w:w="1401"/>
        <w:gridCol w:w="1004"/>
        <w:gridCol w:w="1276"/>
        <w:gridCol w:w="2126"/>
        <w:gridCol w:w="2410"/>
        <w:gridCol w:w="1276"/>
      </w:tblGrid>
      <w:tr w:rsidR="006B113F" w14:paraId="4CD8CBAC" w14:textId="77777777" w:rsidTr="006B113F">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01" w:type="dxa"/>
            <w:noWrap/>
          </w:tcPr>
          <w:p w14:paraId="133DE71F" w14:textId="77777777" w:rsidR="006B113F" w:rsidRDefault="006B113F">
            <w:pPr>
              <w:rPr>
                <w:rFonts w:asciiTheme="minorHAnsi" w:hAnsiTheme="minorHAnsi" w:cstheme="minorHAnsi"/>
                <w:color w:val="000000"/>
                <w:lang w:eastAsia="en-IE"/>
              </w:rPr>
            </w:pPr>
          </w:p>
        </w:tc>
        <w:tc>
          <w:tcPr>
            <w:tcW w:w="1004" w:type="dxa"/>
            <w:noWrap/>
          </w:tcPr>
          <w:p w14:paraId="48D83A5F"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b w:val="0"/>
                <w:color w:val="000000"/>
                <w:lang w:eastAsia="en-IE"/>
              </w:rPr>
              <w:t># EU+ student</w:t>
            </w:r>
          </w:p>
        </w:tc>
        <w:tc>
          <w:tcPr>
            <w:tcW w:w="1276" w:type="dxa"/>
            <w:noWrap/>
          </w:tcPr>
          <w:p w14:paraId="2A442B80"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b w:val="0"/>
                <w:color w:val="000000"/>
                <w:lang w:eastAsia="en-IE"/>
              </w:rPr>
              <w:t xml:space="preserve"># </w:t>
            </w:r>
            <w:r>
              <w:rPr>
                <w:rFonts w:asciiTheme="minorHAnsi" w:hAnsiTheme="minorHAnsi" w:cstheme="minorHAnsi"/>
                <w:b w:val="0"/>
                <w:lang w:val="en-GB"/>
              </w:rPr>
              <w:t xml:space="preserve">third country </w:t>
            </w:r>
            <w:r>
              <w:rPr>
                <w:rFonts w:asciiTheme="minorHAnsi" w:hAnsiTheme="minorHAnsi" w:cstheme="minorHAnsi"/>
                <w:b w:val="0"/>
                <w:color w:val="000000"/>
                <w:lang w:eastAsia="en-IE"/>
              </w:rPr>
              <w:t>student</w:t>
            </w:r>
          </w:p>
        </w:tc>
        <w:tc>
          <w:tcPr>
            <w:tcW w:w="2126" w:type="dxa"/>
            <w:noWrap/>
          </w:tcPr>
          <w:p w14:paraId="144590F0"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fr-FR" w:eastAsia="en-IE"/>
              </w:rPr>
            </w:pPr>
            <w:proofErr w:type="spellStart"/>
            <w:r>
              <w:rPr>
                <w:rFonts w:asciiTheme="minorHAnsi" w:hAnsiTheme="minorHAnsi" w:cstheme="minorHAnsi"/>
                <w:b w:val="0"/>
                <w:color w:val="000000"/>
                <w:lang w:val="fr-FR" w:eastAsia="en-IE"/>
              </w:rPr>
              <w:t>Tuition</w:t>
            </w:r>
            <w:proofErr w:type="spellEnd"/>
            <w:r>
              <w:rPr>
                <w:rFonts w:asciiTheme="minorHAnsi" w:hAnsiTheme="minorHAnsi" w:cstheme="minorHAnsi"/>
                <w:b w:val="0"/>
                <w:color w:val="000000"/>
                <w:lang w:val="fr-FR" w:eastAsia="en-IE"/>
              </w:rPr>
              <w:t xml:space="preserve"> </w:t>
            </w:r>
            <w:proofErr w:type="spellStart"/>
            <w:r>
              <w:rPr>
                <w:rFonts w:asciiTheme="minorHAnsi" w:hAnsiTheme="minorHAnsi" w:cstheme="minorHAnsi"/>
                <w:b w:val="0"/>
                <w:color w:val="000000"/>
                <w:lang w:val="fr-FR" w:eastAsia="en-IE"/>
              </w:rPr>
              <w:t>fee</w:t>
            </w:r>
            <w:proofErr w:type="spellEnd"/>
            <w:r>
              <w:rPr>
                <w:rFonts w:asciiTheme="minorHAnsi" w:hAnsiTheme="minorHAnsi" w:cstheme="minorHAnsi"/>
                <w:b w:val="0"/>
                <w:color w:val="000000"/>
                <w:lang w:val="fr-FR" w:eastAsia="en-IE"/>
              </w:rPr>
              <w:t xml:space="preserve"> EU+ </w:t>
            </w:r>
            <w:proofErr w:type="spellStart"/>
            <w:r>
              <w:rPr>
                <w:rFonts w:asciiTheme="minorHAnsi" w:hAnsiTheme="minorHAnsi" w:cstheme="minorHAnsi"/>
                <w:b w:val="0"/>
                <w:color w:val="000000"/>
                <w:lang w:val="fr-FR" w:eastAsia="en-IE"/>
              </w:rPr>
              <w:t>student</w:t>
            </w:r>
            <w:proofErr w:type="spellEnd"/>
            <w:r>
              <w:rPr>
                <w:rFonts w:asciiTheme="minorHAnsi" w:hAnsiTheme="minorHAnsi" w:cstheme="minorHAnsi"/>
                <w:b w:val="0"/>
                <w:color w:val="000000"/>
                <w:lang w:val="fr-FR" w:eastAsia="en-IE"/>
              </w:rPr>
              <w:t xml:space="preserve"> €4500 x 2 </w:t>
            </w:r>
            <w:proofErr w:type="spellStart"/>
            <w:r>
              <w:rPr>
                <w:rFonts w:asciiTheme="minorHAnsi" w:hAnsiTheme="minorHAnsi" w:cstheme="minorHAnsi"/>
                <w:b w:val="0"/>
                <w:color w:val="000000"/>
                <w:lang w:val="fr-FR" w:eastAsia="en-IE"/>
              </w:rPr>
              <w:t>years</w:t>
            </w:r>
            <w:proofErr w:type="spellEnd"/>
          </w:p>
        </w:tc>
        <w:tc>
          <w:tcPr>
            <w:tcW w:w="2410" w:type="dxa"/>
            <w:tcBorders>
              <w:right w:val="single" w:sz="4" w:space="0" w:color="auto"/>
            </w:tcBorders>
            <w:noWrap/>
          </w:tcPr>
          <w:p w14:paraId="4BD60CF2"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n-GB" w:eastAsia="en-IE"/>
              </w:rPr>
            </w:pPr>
            <w:r>
              <w:rPr>
                <w:rFonts w:asciiTheme="minorHAnsi" w:hAnsiTheme="minorHAnsi" w:cstheme="minorHAnsi"/>
                <w:b w:val="0"/>
                <w:color w:val="000000"/>
                <w:lang w:val="en-GB" w:eastAsia="en-IE"/>
              </w:rPr>
              <w:t xml:space="preserve">Tuition fee </w:t>
            </w:r>
            <w:r>
              <w:rPr>
                <w:rFonts w:asciiTheme="minorHAnsi" w:hAnsiTheme="minorHAnsi" w:cstheme="minorHAnsi"/>
                <w:b w:val="0"/>
                <w:lang w:val="en-GB"/>
              </w:rPr>
              <w:t xml:space="preserve">third country </w:t>
            </w:r>
            <w:r>
              <w:rPr>
                <w:rFonts w:asciiTheme="minorHAnsi" w:hAnsiTheme="minorHAnsi" w:cstheme="minorHAnsi"/>
                <w:b w:val="0"/>
                <w:color w:val="000000"/>
                <w:lang w:val="en-GB" w:eastAsia="en-IE"/>
              </w:rPr>
              <w:t>student €9000 x 2 years</w:t>
            </w:r>
          </w:p>
        </w:tc>
        <w:tc>
          <w:tcPr>
            <w:tcW w:w="1276" w:type="dxa"/>
            <w:tcBorders>
              <w:left w:val="single" w:sz="4" w:space="0" w:color="auto"/>
            </w:tcBorders>
          </w:tcPr>
          <w:p w14:paraId="6DBB7DDF"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b w:val="0"/>
                <w:color w:val="000000"/>
                <w:lang w:eastAsia="en-IE"/>
              </w:rPr>
              <w:t>Total</w:t>
            </w:r>
          </w:p>
        </w:tc>
      </w:tr>
      <w:tr w:rsidR="006B113F" w14:paraId="09D32DB6" w14:textId="77777777" w:rsidTr="006B113F">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01" w:type="dxa"/>
            <w:noWrap/>
          </w:tcPr>
          <w:p w14:paraId="340A6279" w14:textId="77777777" w:rsidR="006B113F" w:rsidRDefault="00000000">
            <w:pPr>
              <w:rPr>
                <w:rFonts w:asciiTheme="minorHAnsi" w:hAnsiTheme="minorHAnsi" w:cstheme="minorHAnsi"/>
                <w:color w:val="000000"/>
                <w:lang w:eastAsia="en-IE"/>
              </w:rPr>
            </w:pPr>
            <w:r>
              <w:rPr>
                <w:rFonts w:asciiTheme="minorHAnsi" w:hAnsiTheme="minorHAnsi" w:cstheme="minorHAnsi"/>
                <w:b w:val="0"/>
                <w:color w:val="000000"/>
                <w:lang w:eastAsia="en-IE"/>
              </w:rPr>
              <w:t>Per Cohort (24 months)</w:t>
            </w:r>
          </w:p>
        </w:tc>
        <w:tc>
          <w:tcPr>
            <w:tcW w:w="1004" w:type="dxa"/>
            <w:noWrap/>
          </w:tcPr>
          <w:p w14:paraId="0D707F65"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52</w:t>
            </w:r>
          </w:p>
        </w:tc>
        <w:tc>
          <w:tcPr>
            <w:tcW w:w="1276" w:type="dxa"/>
            <w:noWrap/>
          </w:tcPr>
          <w:p w14:paraId="2FD40B73"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8</w:t>
            </w:r>
          </w:p>
        </w:tc>
        <w:tc>
          <w:tcPr>
            <w:tcW w:w="2126" w:type="dxa"/>
            <w:noWrap/>
          </w:tcPr>
          <w:p w14:paraId="74C818BC"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€ 468,000.00</w:t>
            </w:r>
          </w:p>
        </w:tc>
        <w:tc>
          <w:tcPr>
            <w:tcW w:w="2410" w:type="dxa"/>
            <w:tcBorders>
              <w:right w:val="single" w:sz="4" w:space="0" w:color="auto"/>
            </w:tcBorders>
            <w:noWrap/>
          </w:tcPr>
          <w:p w14:paraId="3B69DBF5"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€ 144,000.00</w:t>
            </w:r>
          </w:p>
        </w:tc>
        <w:tc>
          <w:tcPr>
            <w:tcW w:w="1276" w:type="dxa"/>
            <w:tcBorders>
              <w:top w:val="single" w:sz="12" w:space="0" w:color="666666" w:themeColor="text1" w:themeTint="99"/>
              <w:left w:val="single" w:sz="4" w:space="0" w:color="auto"/>
            </w:tcBorders>
          </w:tcPr>
          <w:p w14:paraId="672822FD"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b/>
                <w:bCs/>
                <w:color w:val="000000"/>
                <w:lang w:eastAsia="en-IE"/>
              </w:rPr>
              <w:t>€ 612,000</w:t>
            </w:r>
          </w:p>
        </w:tc>
      </w:tr>
    </w:tbl>
    <w:p w14:paraId="058D64E1" w14:textId="77777777" w:rsidR="006B113F" w:rsidRDefault="006B113F">
      <w:pPr>
        <w:pStyle w:val="berschrift2"/>
        <w:spacing w:before="0" w:line="240" w:lineRule="auto"/>
      </w:pPr>
    </w:p>
    <w:p w14:paraId="1C63C356" w14:textId="77777777" w:rsidR="006B113F" w:rsidRDefault="00000000">
      <w:pPr>
        <w:spacing w:line="240" w:lineRule="auto"/>
        <w:rPr>
          <w:b/>
          <w:bCs/>
          <w:sz w:val="24"/>
          <w:szCs w:val="24"/>
        </w:rPr>
      </w:pPr>
      <w:r>
        <w:rPr>
          <w:b/>
          <w:bCs/>
          <w:sz w:val="24"/>
          <w:szCs w:val="24"/>
        </w:rPr>
        <w:t>Available Funds per Cohort in Case 2</w:t>
      </w:r>
    </w:p>
    <w:tbl>
      <w:tblPr>
        <w:tblStyle w:val="Gitternetztabelle1hell"/>
        <w:tblW w:w="9493" w:type="dxa"/>
        <w:tblLook w:val="04A0" w:firstRow="1" w:lastRow="0" w:firstColumn="1" w:lastColumn="0" w:noHBand="0" w:noVBand="1"/>
      </w:tblPr>
      <w:tblGrid>
        <w:gridCol w:w="1401"/>
        <w:gridCol w:w="1004"/>
        <w:gridCol w:w="1276"/>
        <w:gridCol w:w="2126"/>
        <w:gridCol w:w="2410"/>
        <w:gridCol w:w="1276"/>
      </w:tblGrid>
      <w:tr w:rsidR="006B113F" w14:paraId="00FEFCB1" w14:textId="77777777" w:rsidTr="006B113F">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01" w:type="dxa"/>
            <w:noWrap/>
          </w:tcPr>
          <w:p w14:paraId="3A498B8A" w14:textId="77777777" w:rsidR="006B113F" w:rsidRDefault="006B113F">
            <w:pPr>
              <w:rPr>
                <w:rFonts w:asciiTheme="minorHAnsi" w:hAnsiTheme="minorHAnsi" w:cstheme="minorHAnsi"/>
                <w:color w:val="000000"/>
                <w:lang w:eastAsia="en-IE"/>
              </w:rPr>
            </w:pPr>
          </w:p>
        </w:tc>
        <w:tc>
          <w:tcPr>
            <w:tcW w:w="1004" w:type="dxa"/>
            <w:noWrap/>
          </w:tcPr>
          <w:p w14:paraId="327B0A0C"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b w:val="0"/>
                <w:color w:val="000000"/>
                <w:lang w:eastAsia="en-IE"/>
              </w:rPr>
              <w:t># EU+ student</w:t>
            </w:r>
          </w:p>
        </w:tc>
        <w:tc>
          <w:tcPr>
            <w:tcW w:w="1276" w:type="dxa"/>
            <w:noWrap/>
          </w:tcPr>
          <w:p w14:paraId="353D2AD4"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b w:val="0"/>
                <w:color w:val="000000"/>
                <w:lang w:eastAsia="en-IE"/>
              </w:rPr>
              <w:t xml:space="preserve"># </w:t>
            </w:r>
            <w:r>
              <w:rPr>
                <w:rFonts w:asciiTheme="minorHAnsi" w:hAnsiTheme="minorHAnsi" w:cstheme="minorHAnsi"/>
                <w:b w:val="0"/>
                <w:lang w:val="en-GB"/>
              </w:rPr>
              <w:t xml:space="preserve">third country </w:t>
            </w:r>
            <w:r>
              <w:rPr>
                <w:rFonts w:asciiTheme="minorHAnsi" w:hAnsiTheme="minorHAnsi" w:cstheme="minorHAnsi"/>
                <w:b w:val="0"/>
                <w:color w:val="000000"/>
                <w:lang w:eastAsia="en-IE"/>
              </w:rPr>
              <w:t>student</w:t>
            </w:r>
          </w:p>
        </w:tc>
        <w:tc>
          <w:tcPr>
            <w:tcW w:w="2126" w:type="dxa"/>
            <w:noWrap/>
          </w:tcPr>
          <w:p w14:paraId="06A0D0E6"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fr-FR" w:eastAsia="en-IE"/>
              </w:rPr>
            </w:pPr>
            <w:proofErr w:type="spellStart"/>
            <w:r>
              <w:rPr>
                <w:rFonts w:asciiTheme="minorHAnsi" w:hAnsiTheme="minorHAnsi" w:cstheme="minorHAnsi"/>
                <w:b w:val="0"/>
                <w:color w:val="000000"/>
                <w:lang w:val="fr-FR" w:eastAsia="en-IE"/>
              </w:rPr>
              <w:t>Tuition</w:t>
            </w:r>
            <w:proofErr w:type="spellEnd"/>
            <w:r>
              <w:rPr>
                <w:rFonts w:asciiTheme="minorHAnsi" w:hAnsiTheme="minorHAnsi" w:cstheme="minorHAnsi"/>
                <w:b w:val="0"/>
                <w:color w:val="000000"/>
                <w:lang w:val="fr-FR" w:eastAsia="en-IE"/>
              </w:rPr>
              <w:t xml:space="preserve"> </w:t>
            </w:r>
            <w:proofErr w:type="spellStart"/>
            <w:r>
              <w:rPr>
                <w:rFonts w:asciiTheme="minorHAnsi" w:hAnsiTheme="minorHAnsi" w:cstheme="minorHAnsi"/>
                <w:b w:val="0"/>
                <w:color w:val="000000"/>
                <w:lang w:val="fr-FR" w:eastAsia="en-IE"/>
              </w:rPr>
              <w:t>fee</w:t>
            </w:r>
            <w:proofErr w:type="spellEnd"/>
            <w:r>
              <w:rPr>
                <w:rFonts w:asciiTheme="minorHAnsi" w:hAnsiTheme="minorHAnsi" w:cstheme="minorHAnsi"/>
                <w:b w:val="0"/>
                <w:color w:val="000000"/>
                <w:lang w:val="fr-FR" w:eastAsia="en-IE"/>
              </w:rPr>
              <w:t xml:space="preserve"> EU+ </w:t>
            </w:r>
            <w:proofErr w:type="spellStart"/>
            <w:r>
              <w:rPr>
                <w:rFonts w:asciiTheme="minorHAnsi" w:hAnsiTheme="minorHAnsi" w:cstheme="minorHAnsi"/>
                <w:b w:val="0"/>
                <w:color w:val="000000"/>
                <w:lang w:val="fr-FR" w:eastAsia="en-IE"/>
              </w:rPr>
              <w:t>student</w:t>
            </w:r>
            <w:proofErr w:type="spellEnd"/>
            <w:r>
              <w:rPr>
                <w:rFonts w:asciiTheme="minorHAnsi" w:hAnsiTheme="minorHAnsi" w:cstheme="minorHAnsi"/>
                <w:b w:val="0"/>
                <w:color w:val="000000"/>
                <w:lang w:val="fr-FR" w:eastAsia="en-IE"/>
              </w:rPr>
              <w:t xml:space="preserve"> €4500 x 2 </w:t>
            </w:r>
            <w:proofErr w:type="spellStart"/>
            <w:r>
              <w:rPr>
                <w:rFonts w:asciiTheme="minorHAnsi" w:hAnsiTheme="minorHAnsi" w:cstheme="minorHAnsi"/>
                <w:b w:val="0"/>
                <w:color w:val="000000"/>
                <w:lang w:val="fr-FR" w:eastAsia="en-IE"/>
              </w:rPr>
              <w:t>years</w:t>
            </w:r>
            <w:proofErr w:type="spellEnd"/>
          </w:p>
        </w:tc>
        <w:tc>
          <w:tcPr>
            <w:tcW w:w="2410" w:type="dxa"/>
            <w:tcBorders>
              <w:right w:val="single" w:sz="4" w:space="0" w:color="auto"/>
            </w:tcBorders>
            <w:noWrap/>
          </w:tcPr>
          <w:p w14:paraId="627ABEC6"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n-GB" w:eastAsia="en-IE"/>
              </w:rPr>
            </w:pPr>
            <w:r>
              <w:rPr>
                <w:rFonts w:asciiTheme="minorHAnsi" w:hAnsiTheme="minorHAnsi" w:cstheme="minorHAnsi"/>
                <w:b w:val="0"/>
                <w:color w:val="000000"/>
                <w:lang w:val="en-GB" w:eastAsia="en-IE"/>
              </w:rPr>
              <w:t xml:space="preserve">Tuition fee </w:t>
            </w:r>
            <w:r>
              <w:rPr>
                <w:rFonts w:asciiTheme="minorHAnsi" w:hAnsiTheme="minorHAnsi" w:cstheme="minorHAnsi"/>
                <w:b w:val="0"/>
                <w:lang w:val="en-GB"/>
              </w:rPr>
              <w:t xml:space="preserve">third country </w:t>
            </w:r>
            <w:r>
              <w:rPr>
                <w:rFonts w:asciiTheme="minorHAnsi" w:hAnsiTheme="minorHAnsi" w:cstheme="minorHAnsi"/>
                <w:b w:val="0"/>
                <w:color w:val="000000"/>
                <w:lang w:val="en-GB" w:eastAsia="en-IE"/>
              </w:rPr>
              <w:t>student €9000 x 2 years</w:t>
            </w:r>
          </w:p>
        </w:tc>
        <w:tc>
          <w:tcPr>
            <w:tcW w:w="1276" w:type="dxa"/>
            <w:tcBorders>
              <w:left w:val="single" w:sz="4" w:space="0" w:color="auto"/>
            </w:tcBorders>
          </w:tcPr>
          <w:p w14:paraId="19F5AD1D"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b w:val="0"/>
                <w:color w:val="000000"/>
                <w:lang w:eastAsia="en-IE"/>
              </w:rPr>
              <w:t>Total</w:t>
            </w:r>
          </w:p>
        </w:tc>
      </w:tr>
      <w:tr w:rsidR="006B113F" w14:paraId="317F0ECF" w14:textId="77777777" w:rsidTr="006B113F">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01" w:type="dxa"/>
            <w:noWrap/>
          </w:tcPr>
          <w:p w14:paraId="5130CCE5" w14:textId="77777777" w:rsidR="006B113F" w:rsidRDefault="00000000">
            <w:pPr>
              <w:rPr>
                <w:rFonts w:asciiTheme="minorHAnsi" w:hAnsiTheme="minorHAnsi" w:cstheme="minorHAnsi"/>
                <w:color w:val="000000"/>
                <w:lang w:eastAsia="en-IE"/>
              </w:rPr>
            </w:pPr>
            <w:r>
              <w:rPr>
                <w:rFonts w:asciiTheme="minorHAnsi" w:hAnsiTheme="minorHAnsi" w:cstheme="minorHAnsi"/>
                <w:b w:val="0"/>
                <w:color w:val="000000"/>
                <w:lang w:eastAsia="en-IE"/>
              </w:rPr>
              <w:t>Per Cohort (24 months)</w:t>
            </w:r>
          </w:p>
        </w:tc>
        <w:tc>
          <w:tcPr>
            <w:tcW w:w="1004" w:type="dxa"/>
            <w:noWrap/>
          </w:tcPr>
          <w:p w14:paraId="583148AE"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30</w:t>
            </w:r>
          </w:p>
        </w:tc>
        <w:tc>
          <w:tcPr>
            <w:tcW w:w="1276" w:type="dxa"/>
            <w:noWrap/>
          </w:tcPr>
          <w:p w14:paraId="75BE1832"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30</w:t>
            </w:r>
          </w:p>
        </w:tc>
        <w:tc>
          <w:tcPr>
            <w:tcW w:w="2126" w:type="dxa"/>
            <w:noWrap/>
          </w:tcPr>
          <w:p w14:paraId="18B31FF7"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€ 270,000.00</w:t>
            </w:r>
          </w:p>
        </w:tc>
        <w:tc>
          <w:tcPr>
            <w:tcW w:w="2410" w:type="dxa"/>
            <w:tcBorders>
              <w:right w:val="single" w:sz="4" w:space="0" w:color="auto"/>
            </w:tcBorders>
            <w:noWrap/>
          </w:tcPr>
          <w:p w14:paraId="2ADE0C7E"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€ 540,000.00</w:t>
            </w:r>
          </w:p>
        </w:tc>
        <w:tc>
          <w:tcPr>
            <w:tcW w:w="1276" w:type="dxa"/>
            <w:tcBorders>
              <w:top w:val="single" w:sz="12" w:space="0" w:color="666666" w:themeColor="text1" w:themeTint="99"/>
              <w:left w:val="single" w:sz="4" w:space="0" w:color="auto"/>
            </w:tcBorders>
          </w:tcPr>
          <w:p w14:paraId="2391F55F" w14:textId="77777777" w:rsidR="006B113F"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Theme="minorHAnsi" w:hAnsiTheme="minorHAnsi" w:cstheme="minorHAnsi"/>
                <w:b/>
                <w:bCs/>
                <w:color w:val="000000"/>
                <w:lang w:eastAsia="en-IE"/>
              </w:rPr>
              <w:t>€ 810,000</w:t>
            </w:r>
          </w:p>
        </w:tc>
      </w:tr>
    </w:tbl>
    <w:p w14:paraId="7267F81C" w14:textId="77777777" w:rsidR="006B113F" w:rsidRDefault="006B113F">
      <w:pPr>
        <w:spacing w:line="240" w:lineRule="auto"/>
        <w:rPr>
          <w:b/>
          <w:bCs/>
          <w:sz w:val="24"/>
          <w:szCs w:val="24"/>
        </w:rPr>
      </w:pPr>
    </w:p>
    <w:p w14:paraId="19A62D01" w14:textId="77777777" w:rsidR="006B113F" w:rsidRDefault="00000000">
      <w:pPr>
        <w:spacing w:line="240" w:lineRule="auto"/>
        <w:rPr>
          <w:b/>
          <w:bCs/>
          <w:sz w:val="24"/>
          <w:szCs w:val="24"/>
        </w:rPr>
      </w:pPr>
      <w:r>
        <w:rPr>
          <w:b/>
          <w:bCs/>
          <w:sz w:val="24"/>
          <w:szCs w:val="24"/>
        </w:rPr>
        <w:t>Consortium-wide Costs per Annum</w:t>
      </w:r>
    </w:p>
    <w:p w14:paraId="17194952" w14:textId="77777777" w:rsidR="006B113F" w:rsidRDefault="00000000">
      <w:pPr>
        <w:spacing w:line="240" w:lineRule="auto"/>
        <w:rPr>
          <w:rFonts w:asciiTheme="minorHAnsi" w:hAnsiTheme="minorHAnsi" w:cstheme="minorHAnsi"/>
          <w:lang w:val="en-GB"/>
        </w:rPr>
      </w:pPr>
      <w:r>
        <w:rPr>
          <w:rFonts w:asciiTheme="minorHAnsi" w:hAnsiTheme="minorHAnsi" w:cstheme="minorHAnsi"/>
          <w:lang w:val="en-GB"/>
        </w:rPr>
        <w:t>An agreed amount of €78,000 p.a. for consortium-wide costs to cover marketing recruitment costs and coordination costs is deducted from the total tuition fee income and the remaining tuition fee income is distributed to the partners according to the model set out above.</w:t>
      </w:r>
    </w:p>
    <w:tbl>
      <w:tblPr>
        <w:tblStyle w:val="Gitternetztabelle1hell"/>
        <w:tblW w:w="5524" w:type="dxa"/>
        <w:tblLook w:val="04A0" w:firstRow="1" w:lastRow="0" w:firstColumn="1" w:lastColumn="0" w:noHBand="0" w:noVBand="1"/>
      </w:tblPr>
      <w:tblGrid>
        <w:gridCol w:w="3823"/>
        <w:gridCol w:w="1701"/>
      </w:tblGrid>
      <w:tr w:rsidR="006B113F" w14:paraId="52062EA1" w14:textId="77777777" w:rsidTr="006B113F">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823" w:type="dxa"/>
          </w:tcPr>
          <w:p w14:paraId="401E8CFB" w14:textId="77777777" w:rsidR="006B113F" w:rsidRDefault="006B113F">
            <w:pPr>
              <w:jc w:val="center"/>
              <w:rPr>
                <w:rFonts w:asciiTheme="minorHAnsi" w:hAnsiTheme="minorHAnsi" w:cstheme="minorHAnsi"/>
                <w:color w:val="000000"/>
                <w:lang w:eastAsia="en-IE"/>
              </w:rPr>
            </w:pPr>
          </w:p>
        </w:tc>
        <w:tc>
          <w:tcPr>
            <w:tcW w:w="1701" w:type="dxa"/>
            <w:noWrap/>
          </w:tcPr>
          <w:p w14:paraId="6F1349E1"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Annual</w:t>
            </w:r>
          </w:p>
        </w:tc>
      </w:tr>
      <w:tr w:rsidR="006B113F" w14:paraId="609BDD94"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823" w:type="dxa"/>
          </w:tcPr>
          <w:p w14:paraId="5237B3E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Marketing (Koç University)</w:t>
            </w:r>
          </w:p>
        </w:tc>
        <w:tc>
          <w:tcPr>
            <w:tcW w:w="1701" w:type="dxa"/>
          </w:tcPr>
          <w:p w14:paraId="3DFE51F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€22,000</w:t>
            </w:r>
          </w:p>
        </w:tc>
      </w:tr>
      <w:tr w:rsidR="006B113F" w14:paraId="20AC6E48" w14:textId="77777777" w:rsidTr="006B113F">
        <w:trPr>
          <w:trHeight w:val="229"/>
        </w:trPr>
        <w:tc>
          <w:tcPr>
            <w:cnfStyle w:val="001000000000" w:firstRow="0" w:lastRow="0" w:firstColumn="1" w:lastColumn="0" w:oddVBand="0" w:evenVBand="0" w:oddHBand="0" w:evenHBand="0" w:firstRowFirstColumn="0" w:firstRowLastColumn="0" w:lastRowFirstColumn="0" w:lastRowLastColumn="0"/>
            <w:tcW w:w="3823" w:type="dxa"/>
          </w:tcPr>
          <w:p w14:paraId="569056F9"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Coordination (Ruhr University Bochum)</w:t>
            </w:r>
          </w:p>
        </w:tc>
        <w:tc>
          <w:tcPr>
            <w:tcW w:w="1701" w:type="dxa"/>
          </w:tcPr>
          <w:p w14:paraId="7A6570F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€56,000</w:t>
            </w:r>
          </w:p>
        </w:tc>
      </w:tr>
      <w:tr w:rsidR="006B113F" w14:paraId="07037355"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bottom w:val="single" w:sz="4" w:space="0" w:color="auto"/>
            </w:tcBorders>
          </w:tcPr>
          <w:p w14:paraId="120F8804"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w:t>
            </w:r>
          </w:p>
        </w:tc>
        <w:tc>
          <w:tcPr>
            <w:tcW w:w="1701" w:type="dxa"/>
            <w:tcBorders>
              <w:top w:val="single" w:sz="4" w:space="0" w:color="auto"/>
              <w:bottom w:val="single" w:sz="4" w:space="0" w:color="auto"/>
            </w:tcBorders>
            <w:noWrap/>
          </w:tcPr>
          <w:p w14:paraId="78E1BC58"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Theme="minorHAnsi" w:hAnsiTheme="minorHAnsi" w:cstheme="minorHAnsi"/>
                <w:b/>
                <w:bCs/>
                <w:color w:val="000000"/>
                <w:lang w:eastAsia="en-IE"/>
              </w:rPr>
              <w:t>€78,000</w:t>
            </w:r>
          </w:p>
        </w:tc>
      </w:tr>
    </w:tbl>
    <w:p w14:paraId="2A6C44FE" w14:textId="77777777" w:rsidR="006B113F" w:rsidRDefault="006B113F">
      <w:pPr>
        <w:spacing w:line="240" w:lineRule="auto"/>
        <w:rPr>
          <w:rFonts w:asciiTheme="minorHAnsi" w:hAnsiTheme="minorHAnsi" w:cstheme="minorHAnsi"/>
        </w:rPr>
      </w:pPr>
    </w:p>
    <w:p w14:paraId="169F9832" w14:textId="77777777" w:rsidR="006B113F" w:rsidRDefault="00000000">
      <w:pPr>
        <w:spacing w:line="240" w:lineRule="auto"/>
        <w:rPr>
          <w:rFonts w:asciiTheme="minorHAnsi" w:hAnsiTheme="minorHAnsi" w:cstheme="minorHAnsi"/>
          <w:b/>
          <w:lang w:val="en-GB"/>
        </w:rPr>
      </w:pPr>
      <w:r>
        <w:rPr>
          <w:rFonts w:asciiTheme="minorHAnsi" w:hAnsiTheme="minorHAnsi" w:cstheme="minorHAnsi"/>
          <w:b/>
          <w:lang w:val="en-GB"/>
        </w:rPr>
        <w:lastRenderedPageBreak/>
        <w:t xml:space="preserve">Example: </w:t>
      </w:r>
    </w:p>
    <w:p w14:paraId="039E7A6E" w14:textId="77777777" w:rsidR="006B113F" w:rsidRDefault="00000000">
      <w:pPr>
        <w:spacing w:line="240" w:lineRule="auto"/>
        <w:rPr>
          <w:rFonts w:asciiTheme="minorHAnsi" w:hAnsiTheme="minorHAnsi" w:cstheme="minorHAnsi"/>
          <w:b/>
          <w:lang w:val="en-GB"/>
        </w:rPr>
      </w:pPr>
      <w:r>
        <w:rPr>
          <w:rFonts w:asciiTheme="minorHAnsi" w:hAnsiTheme="minorHAnsi" w:cstheme="minorHAnsi"/>
          <w:b/>
          <w:lang w:val="en-GB"/>
        </w:rPr>
        <w:t>Distribution of Total Available Funds per Year</w:t>
      </w:r>
      <w:r>
        <w:rPr>
          <w:rFonts w:asciiTheme="minorHAnsi" w:hAnsiTheme="minorHAnsi" w:cstheme="minorHAnsi"/>
          <w:b/>
          <w:bCs/>
          <w:lang w:val="en-GB"/>
        </w:rPr>
        <w:t xml:space="preserve">, using Case 1 </w:t>
      </w:r>
      <w:r>
        <w:rPr>
          <w:rFonts w:asciiTheme="minorHAnsi" w:hAnsiTheme="minorHAnsi" w:cstheme="minorHAnsi"/>
          <w:lang w:val="en-GB" w:eastAsia="en-US"/>
        </w:rPr>
        <w:t>(</w:t>
      </w:r>
      <w:r>
        <w:rPr>
          <w:rFonts w:asciiTheme="minorHAnsi" w:hAnsiTheme="minorHAnsi" w:cstheme="minorHAnsi"/>
          <w:lang w:val="en-GB"/>
        </w:rPr>
        <w:t>52 EU+ and 8 third country students</w:t>
      </w:r>
      <w:r>
        <w:rPr>
          <w:rFonts w:asciiTheme="minorHAnsi" w:hAnsiTheme="minorHAnsi" w:cstheme="minorHAnsi"/>
          <w:lang w:val="en-GB" w:eastAsia="en-US"/>
        </w:rPr>
        <w:t>)</w:t>
      </w:r>
    </w:p>
    <w:tbl>
      <w:tblPr>
        <w:tblStyle w:val="Gitternetztabelle1hell"/>
        <w:tblW w:w="8929" w:type="dxa"/>
        <w:tblLayout w:type="fixed"/>
        <w:tblLook w:val="04A0" w:firstRow="1" w:lastRow="0" w:firstColumn="1" w:lastColumn="0" w:noHBand="0" w:noVBand="1"/>
      </w:tblPr>
      <w:tblGrid>
        <w:gridCol w:w="4390"/>
        <w:gridCol w:w="1275"/>
        <w:gridCol w:w="1134"/>
        <w:gridCol w:w="2130"/>
      </w:tblGrid>
      <w:tr w:rsidR="006B113F" w14:paraId="45D126C4" w14:textId="77777777" w:rsidTr="006B113F">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Pr>
          <w:p w14:paraId="71CB6D47" w14:textId="77777777" w:rsidR="006B113F" w:rsidRDefault="006B113F">
            <w:pPr>
              <w:jc w:val="center"/>
              <w:rPr>
                <w:rFonts w:asciiTheme="majorHAnsi" w:hAnsiTheme="majorHAnsi" w:cstheme="majorHAnsi"/>
                <w:color w:val="000000"/>
                <w:lang w:eastAsia="en-IE"/>
              </w:rPr>
            </w:pPr>
          </w:p>
        </w:tc>
        <w:tc>
          <w:tcPr>
            <w:tcW w:w="1275" w:type="dxa"/>
          </w:tcPr>
          <w:p w14:paraId="242C3A26" w14:textId="77777777" w:rsidR="006B113F" w:rsidRDefault="006B113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p>
        </w:tc>
        <w:tc>
          <w:tcPr>
            <w:tcW w:w="1134" w:type="dxa"/>
            <w:noWrap/>
          </w:tcPr>
          <w:p w14:paraId="4FBF994C"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Year 1</w:t>
            </w:r>
          </w:p>
        </w:tc>
        <w:tc>
          <w:tcPr>
            <w:tcW w:w="2130" w:type="dxa"/>
            <w:noWrap/>
          </w:tcPr>
          <w:p w14:paraId="0468DC1E"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 xml:space="preserve">Subsequent years </w:t>
            </w:r>
          </w:p>
        </w:tc>
      </w:tr>
      <w:tr w:rsidR="006B113F" w14:paraId="4440D967"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Pr>
          <w:p w14:paraId="03C90C11"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Cohort 1</w:t>
            </w:r>
          </w:p>
        </w:tc>
        <w:tc>
          <w:tcPr>
            <w:tcW w:w="1275" w:type="dxa"/>
          </w:tcPr>
          <w:p w14:paraId="52E09A01" w14:textId="77777777" w:rsidR="006B113F" w:rsidRDefault="006B113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p>
        </w:tc>
        <w:tc>
          <w:tcPr>
            <w:tcW w:w="1134" w:type="dxa"/>
          </w:tcPr>
          <w:p w14:paraId="0D80EA30"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€306,000</w:t>
            </w:r>
          </w:p>
        </w:tc>
        <w:tc>
          <w:tcPr>
            <w:tcW w:w="2130" w:type="dxa"/>
            <w:noWrap/>
          </w:tcPr>
          <w:p w14:paraId="25A4F467"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€306,000</w:t>
            </w:r>
          </w:p>
        </w:tc>
      </w:tr>
      <w:tr w:rsidR="006B113F" w14:paraId="4EB4E7E7" w14:textId="77777777" w:rsidTr="006B113F">
        <w:trPr>
          <w:trHeight w:val="229"/>
        </w:trPr>
        <w:tc>
          <w:tcPr>
            <w:cnfStyle w:val="001000000000" w:firstRow="0" w:lastRow="0" w:firstColumn="1" w:lastColumn="0" w:oddVBand="0" w:evenVBand="0" w:oddHBand="0" w:evenHBand="0" w:firstRowFirstColumn="0" w:firstRowLastColumn="0" w:lastRowFirstColumn="0" w:lastRowLastColumn="0"/>
            <w:tcW w:w="4390" w:type="dxa"/>
          </w:tcPr>
          <w:p w14:paraId="06E110EC"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Cohort 2</w:t>
            </w:r>
          </w:p>
        </w:tc>
        <w:tc>
          <w:tcPr>
            <w:tcW w:w="1275" w:type="dxa"/>
          </w:tcPr>
          <w:p w14:paraId="0352F2AC" w14:textId="77777777" w:rsidR="006B113F" w:rsidRDefault="006B113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lang w:eastAsia="en-IE"/>
              </w:rPr>
            </w:pPr>
          </w:p>
        </w:tc>
        <w:tc>
          <w:tcPr>
            <w:tcW w:w="1134" w:type="dxa"/>
          </w:tcPr>
          <w:p w14:paraId="20346829" w14:textId="77777777" w:rsidR="006B113F" w:rsidRDefault="006B113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lang w:eastAsia="en-IE"/>
              </w:rPr>
            </w:pPr>
          </w:p>
        </w:tc>
        <w:tc>
          <w:tcPr>
            <w:tcW w:w="2130" w:type="dxa"/>
            <w:noWrap/>
          </w:tcPr>
          <w:p w14:paraId="158C9ECD"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€306,000</w:t>
            </w:r>
          </w:p>
        </w:tc>
      </w:tr>
      <w:tr w:rsidR="006B113F" w14:paraId="48255A8E"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0D31630F"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Total</w:t>
            </w:r>
          </w:p>
        </w:tc>
        <w:tc>
          <w:tcPr>
            <w:tcW w:w="1275" w:type="dxa"/>
            <w:tcBorders>
              <w:top w:val="single" w:sz="4" w:space="0" w:color="auto"/>
              <w:bottom w:val="single" w:sz="4" w:space="0" w:color="auto"/>
            </w:tcBorders>
          </w:tcPr>
          <w:p w14:paraId="3AB1FDA2" w14:textId="77777777" w:rsidR="006B113F" w:rsidRDefault="006B113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lang w:eastAsia="en-IE"/>
              </w:rPr>
            </w:pPr>
          </w:p>
        </w:tc>
        <w:tc>
          <w:tcPr>
            <w:tcW w:w="1134" w:type="dxa"/>
            <w:tcBorders>
              <w:top w:val="single" w:sz="4" w:space="0" w:color="auto"/>
              <w:bottom w:val="single" w:sz="4" w:space="0" w:color="auto"/>
            </w:tcBorders>
            <w:noWrap/>
          </w:tcPr>
          <w:p w14:paraId="595BF8C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lang w:eastAsia="en-IE"/>
              </w:rPr>
            </w:pPr>
            <w:r>
              <w:rPr>
                <w:rFonts w:asciiTheme="majorHAnsi" w:hAnsiTheme="majorHAnsi" w:cstheme="majorHAnsi"/>
                <w:b/>
                <w:bCs/>
                <w:color w:val="000000"/>
                <w:lang w:eastAsia="en-IE"/>
              </w:rPr>
              <w:t>€306,000</w:t>
            </w:r>
          </w:p>
        </w:tc>
        <w:tc>
          <w:tcPr>
            <w:tcW w:w="2130" w:type="dxa"/>
            <w:tcBorders>
              <w:top w:val="single" w:sz="4" w:space="0" w:color="auto"/>
              <w:bottom w:val="single" w:sz="4" w:space="0" w:color="auto"/>
            </w:tcBorders>
            <w:noWrap/>
          </w:tcPr>
          <w:p w14:paraId="3862FA3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lang w:eastAsia="en-IE"/>
              </w:rPr>
            </w:pPr>
            <w:r>
              <w:rPr>
                <w:rFonts w:asciiTheme="majorHAnsi" w:hAnsiTheme="majorHAnsi" w:cstheme="majorHAnsi"/>
                <w:b/>
                <w:bCs/>
                <w:color w:val="000000"/>
                <w:lang w:eastAsia="en-IE"/>
              </w:rPr>
              <w:t>€612,000</w:t>
            </w:r>
          </w:p>
        </w:tc>
      </w:tr>
      <w:tr w:rsidR="006B113F" w14:paraId="0323EF4F" w14:textId="77777777" w:rsidTr="006B113F">
        <w:trPr>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5C0FE63B" w14:textId="77777777" w:rsidR="006B113F" w:rsidRDefault="00000000">
            <w:pPr>
              <w:jc w:val="right"/>
              <w:rPr>
                <w:rFonts w:asciiTheme="majorHAnsi" w:hAnsiTheme="majorHAnsi" w:cstheme="majorHAnsi"/>
                <w:color w:val="000000"/>
                <w:lang w:eastAsia="en-IE"/>
              </w:rPr>
            </w:pPr>
            <w:r>
              <w:rPr>
                <w:rFonts w:asciiTheme="majorHAnsi" w:hAnsiTheme="majorHAnsi" w:cstheme="majorHAnsi"/>
                <w:b w:val="0"/>
                <w:color w:val="000000"/>
                <w:lang w:eastAsia="en-IE"/>
              </w:rPr>
              <w:t>Consortium-wide cost</w:t>
            </w:r>
          </w:p>
        </w:tc>
        <w:tc>
          <w:tcPr>
            <w:tcW w:w="1275" w:type="dxa"/>
            <w:tcBorders>
              <w:top w:val="single" w:sz="4" w:space="0" w:color="auto"/>
              <w:bottom w:val="single" w:sz="4" w:space="0" w:color="auto"/>
            </w:tcBorders>
          </w:tcPr>
          <w:p w14:paraId="69004DC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Fixed Cost</w:t>
            </w:r>
          </w:p>
        </w:tc>
        <w:tc>
          <w:tcPr>
            <w:tcW w:w="1134" w:type="dxa"/>
            <w:tcBorders>
              <w:top w:val="single" w:sz="4" w:space="0" w:color="auto"/>
              <w:bottom w:val="single" w:sz="4" w:space="0" w:color="auto"/>
            </w:tcBorders>
            <w:noWrap/>
          </w:tcPr>
          <w:p w14:paraId="4BB5D903"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€78,000</w:t>
            </w:r>
          </w:p>
        </w:tc>
        <w:tc>
          <w:tcPr>
            <w:tcW w:w="2130" w:type="dxa"/>
            <w:tcBorders>
              <w:top w:val="single" w:sz="4" w:space="0" w:color="auto"/>
              <w:bottom w:val="single" w:sz="4" w:space="0" w:color="auto"/>
            </w:tcBorders>
            <w:noWrap/>
          </w:tcPr>
          <w:p w14:paraId="1A5327A0"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€78,000</w:t>
            </w:r>
          </w:p>
        </w:tc>
      </w:tr>
      <w:tr w:rsidR="006B113F" w14:paraId="5AC2C0A9"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14A0566F"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remaining</w:t>
            </w:r>
          </w:p>
        </w:tc>
        <w:tc>
          <w:tcPr>
            <w:tcW w:w="1275" w:type="dxa"/>
            <w:tcBorders>
              <w:top w:val="single" w:sz="4" w:space="0" w:color="auto"/>
              <w:bottom w:val="single" w:sz="4" w:space="0" w:color="auto"/>
            </w:tcBorders>
          </w:tcPr>
          <w:p w14:paraId="6620A4A9" w14:textId="77777777" w:rsidR="006B113F" w:rsidRDefault="006B113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p>
        </w:tc>
        <w:tc>
          <w:tcPr>
            <w:tcW w:w="1134" w:type="dxa"/>
            <w:tcBorders>
              <w:top w:val="single" w:sz="4" w:space="0" w:color="auto"/>
              <w:bottom w:val="single" w:sz="4" w:space="0" w:color="auto"/>
            </w:tcBorders>
            <w:noWrap/>
          </w:tcPr>
          <w:p w14:paraId="0D59CB0D"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€228,000</w:t>
            </w:r>
          </w:p>
        </w:tc>
        <w:tc>
          <w:tcPr>
            <w:tcW w:w="2130" w:type="dxa"/>
            <w:tcBorders>
              <w:top w:val="single" w:sz="4" w:space="0" w:color="auto"/>
              <w:bottom w:val="single" w:sz="4" w:space="0" w:color="auto"/>
            </w:tcBorders>
            <w:noWrap/>
          </w:tcPr>
          <w:p w14:paraId="48CF7B87"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€534,000</w:t>
            </w:r>
          </w:p>
        </w:tc>
      </w:tr>
      <w:tr w:rsidR="006B113F" w14:paraId="2483BBE9" w14:textId="77777777" w:rsidTr="006B113F">
        <w:trPr>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7C65EC55" w14:textId="77777777" w:rsidR="006B113F" w:rsidRDefault="00000000">
            <w:pPr>
              <w:jc w:val="right"/>
              <w:rPr>
                <w:rFonts w:asciiTheme="majorHAnsi" w:hAnsiTheme="majorHAnsi" w:cstheme="majorHAnsi"/>
                <w:color w:val="000000"/>
                <w:lang w:eastAsia="en-IE"/>
              </w:rPr>
            </w:pPr>
            <w:r>
              <w:rPr>
                <w:rFonts w:asciiTheme="majorHAnsi" w:hAnsiTheme="majorHAnsi" w:cstheme="majorHAnsi"/>
                <w:b w:val="0"/>
                <w:color w:val="000000"/>
                <w:lang w:eastAsia="en-IE"/>
              </w:rPr>
              <w:t>Total Distribution per nominal fees (Factor A)</w:t>
            </w:r>
          </w:p>
        </w:tc>
        <w:tc>
          <w:tcPr>
            <w:tcW w:w="1275" w:type="dxa"/>
            <w:tcBorders>
              <w:top w:val="single" w:sz="4" w:space="0" w:color="auto"/>
              <w:bottom w:val="single" w:sz="4" w:space="0" w:color="auto"/>
            </w:tcBorders>
          </w:tcPr>
          <w:p w14:paraId="6D286A0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25%</w:t>
            </w:r>
          </w:p>
        </w:tc>
        <w:tc>
          <w:tcPr>
            <w:tcW w:w="1134" w:type="dxa"/>
            <w:tcBorders>
              <w:top w:val="single" w:sz="4" w:space="0" w:color="auto"/>
              <w:bottom w:val="single" w:sz="4" w:space="0" w:color="auto"/>
            </w:tcBorders>
            <w:noWrap/>
          </w:tcPr>
          <w:p w14:paraId="42782672"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€57,000</w:t>
            </w:r>
          </w:p>
        </w:tc>
        <w:tc>
          <w:tcPr>
            <w:tcW w:w="2130" w:type="dxa"/>
            <w:tcBorders>
              <w:top w:val="single" w:sz="4" w:space="0" w:color="auto"/>
              <w:bottom w:val="single" w:sz="4" w:space="0" w:color="auto"/>
            </w:tcBorders>
            <w:noWrap/>
          </w:tcPr>
          <w:p w14:paraId="1667BB2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€133,500</w:t>
            </w:r>
          </w:p>
        </w:tc>
      </w:tr>
      <w:tr w:rsidR="006B113F" w14:paraId="4E3C2F23"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6CCC8CF8" w14:textId="77777777" w:rsidR="006B113F" w:rsidRDefault="00000000">
            <w:pPr>
              <w:jc w:val="right"/>
              <w:rPr>
                <w:rFonts w:asciiTheme="majorHAnsi" w:hAnsiTheme="majorHAnsi" w:cstheme="majorHAnsi"/>
                <w:color w:val="000000"/>
                <w:lang w:eastAsia="en-IE"/>
              </w:rPr>
            </w:pPr>
            <w:r>
              <w:rPr>
                <w:rFonts w:asciiTheme="majorHAnsi" w:hAnsiTheme="majorHAnsi" w:cstheme="majorHAnsi"/>
                <w:b w:val="0"/>
                <w:color w:val="000000"/>
                <w:lang w:eastAsia="en-IE"/>
              </w:rPr>
              <w:t xml:space="preserve">Total Distribution per ECTS (Factor B) </w:t>
            </w:r>
          </w:p>
        </w:tc>
        <w:tc>
          <w:tcPr>
            <w:tcW w:w="1275" w:type="dxa"/>
            <w:tcBorders>
              <w:top w:val="single" w:sz="4" w:space="0" w:color="auto"/>
              <w:bottom w:val="single" w:sz="4" w:space="0" w:color="auto"/>
            </w:tcBorders>
          </w:tcPr>
          <w:p w14:paraId="7E48F030"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75%</w:t>
            </w:r>
          </w:p>
        </w:tc>
        <w:tc>
          <w:tcPr>
            <w:tcW w:w="1134" w:type="dxa"/>
            <w:tcBorders>
              <w:top w:val="single" w:sz="4" w:space="0" w:color="auto"/>
              <w:bottom w:val="single" w:sz="4" w:space="0" w:color="auto"/>
            </w:tcBorders>
            <w:noWrap/>
          </w:tcPr>
          <w:p w14:paraId="4F33696F"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€171,000</w:t>
            </w:r>
          </w:p>
        </w:tc>
        <w:tc>
          <w:tcPr>
            <w:tcW w:w="2130" w:type="dxa"/>
            <w:tcBorders>
              <w:top w:val="single" w:sz="4" w:space="0" w:color="auto"/>
              <w:bottom w:val="single" w:sz="4" w:space="0" w:color="auto"/>
            </w:tcBorders>
            <w:noWrap/>
          </w:tcPr>
          <w:p w14:paraId="026094E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€400,500</w:t>
            </w:r>
          </w:p>
        </w:tc>
      </w:tr>
    </w:tbl>
    <w:p w14:paraId="75E942C8" w14:textId="77777777" w:rsidR="006B113F" w:rsidRDefault="006B113F">
      <w:pPr>
        <w:spacing w:line="240" w:lineRule="auto"/>
        <w:rPr>
          <w:rFonts w:asciiTheme="majorHAnsi" w:hAnsiTheme="majorHAnsi" w:cstheme="majorHAnsi"/>
        </w:rPr>
      </w:pPr>
    </w:p>
    <w:p w14:paraId="10B3E72C" w14:textId="77777777" w:rsidR="006B113F" w:rsidRDefault="00000000">
      <w:pPr>
        <w:spacing w:line="240" w:lineRule="auto"/>
        <w:rPr>
          <w:rFonts w:asciiTheme="minorHAnsi" w:hAnsiTheme="minorHAnsi" w:cstheme="minorHAnsi"/>
          <w:b/>
          <w:color w:val="000000" w:themeColor="text1"/>
          <w:lang w:val="en-GB"/>
        </w:rPr>
      </w:pPr>
      <w:r>
        <w:rPr>
          <w:rFonts w:asciiTheme="minorHAnsi" w:eastAsiaTheme="majorEastAsia" w:hAnsiTheme="minorHAnsi" w:cstheme="minorHAnsi"/>
          <w:b/>
          <w:color w:val="000000" w:themeColor="text1"/>
          <w:lang w:val="en-GB"/>
        </w:rPr>
        <w:t>Example:</w:t>
      </w:r>
      <w:r>
        <w:rPr>
          <w:rFonts w:asciiTheme="minorHAnsi" w:hAnsiTheme="minorHAnsi" w:cstheme="minorHAnsi"/>
          <w:b/>
          <w:color w:val="000000" w:themeColor="text1"/>
          <w:lang w:val="en-GB"/>
        </w:rPr>
        <w:t xml:space="preserve"> </w:t>
      </w:r>
    </w:p>
    <w:p w14:paraId="60B847D8" w14:textId="77777777" w:rsidR="006B113F" w:rsidRDefault="00000000">
      <w:pPr>
        <w:spacing w:line="240" w:lineRule="auto"/>
        <w:rPr>
          <w:rFonts w:asciiTheme="minorHAnsi" w:hAnsiTheme="minorHAnsi" w:cstheme="minorHAnsi"/>
          <w:b/>
          <w:lang w:val="en-GB"/>
        </w:rPr>
      </w:pPr>
      <w:r>
        <w:rPr>
          <w:rFonts w:asciiTheme="minorHAnsi" w:hAnsiTheme="minorHAnsi" w:cstheme="minorHAnsi"/>
          <w:b/>
          <w:color w:val="000000" w:themeColor="text1"/>
          <w:lang w:val="en-GB"/>
        </w:rPr>
        <w:t>Distribution of Total Available Funds per Year</w:t>
      </w:r>
      <w:r>
        <w:rPr>
          <w:rFonts w:asciiTheme="minorHAnsi" w:hAnsiTheme="minorHAnsi" w:cstheme="minorHAnsi"/>
          <w:b/>
          <w:bCs/>
          <w:color w:val="000000" w:themeColor="text1"/>
          <w:lang w:val="en-GB"/>
        </w:rPr>
        <w:t xml:space="preserve">, using </w:t>
      </w:r>
      <w:r>
        <w:rPr>
          <w:rFonts w:asciiTheme="minorHAnsi" w:hAnsiTheme="minorHAnsi" w:cstheme="minorHAnsi"/>
          <w:b/>
          <w:bCs/>
          <w:color w:val="000000" w:themeColor="text1"/>
          <w:highlight w:val="white"/>
          <w:lang w:val="en-GB"/>
        </w:rPr>
        <w:t>Case 2</w:t>
      </w:r>
      <w:r>
        <w:rPr>
          <w:rStyle w:val="Kommentarzeichen"/>
          <w:color w:val="000000" w:themeColor="text1"/>
          <w:szCs w:val="20"/>
          <w:lang w:val="en-GB" w:eastAsia="en-US"/>
        </w:rPr>
        <w:t xml:space="preserve"> </w:t>
      </w:r>
      <w:r>
        <w:rPr>
          <w:rFonts w:asciiTheme="minorHAnsi" w:hAnsiTheme="minorHAnsi" w:cstheme="minorHAnsi"/>
          <w:color w:val="000000" w:themeColor="text1"/>
          <w:lang w:val="en-GB"/>
        </w:rPr>
        <w:t xml:space="preserve">(30 EU+ and 30 third </w:t>
      </w:r>
      <w:r>
        <w:rPr>
          <w:rFonts w:asciiTheme="minorHAnsi" w:hAnsiTheme="minorHAnsi" w:cstheme="minorHAnsi"/>
          <w:lang w:val="en-GB"/>
        </w:rPr>
        <w:t>country students)</w:t>
      </w:r>
    </w:p>
    <w:tbl>
      <w:tblPr>
        <w:tblStyle w:val="Gitternetztabelle1hell"/>
        <w:tblW w:w="8926" w:type="dxa"/>
        <w:tblLook w:val="04A0" w:firstRow="1" w:lastRow="0" w:firstColumn="1" w:lastColumn="0" w:noHBand="0" w:noVBand="1"/>
      </w:tblPr>
      <w:tblGrid>
        <w:gridCol w:w="4390"/>
        <w:gridCol w:w="1275"/>
        <w:gridCol w:w="1134"/>
        <w:gridCol w:w="2127"/>
      </w:tblGrid>
      <w:tr w:rsidR="006B113F" w14:paraId="46C5AA8A" w14:textId="77777777" w:rsidTr="006B113F">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Pr>
          <w:p w14:paraId="18A9008A" w14:textId="77777777" w:rsidR="006B113F" w:rsidRDefault="006B113F">
            <w:pPr>
              <w:jc w:val="center"/>
              <w:rPr>
                <w:rFonts w:asciiTheme="majorHAnsi" w:hAnsiTheme="majorHAnsi" w:cstheme="majorHAnsi"/>
                <w:color w:val="000000"/>
                <w:lang w:eastAsia="en-IE"/>
              </w:rPr>
            </w:pPr>
          </w:p>
        </w:tc>
        <w:tc>
          <w:tcPr>
            <w:tcW w:w="1275" w:type="dxa"/>
          </w:tcPr>
          <w:p w14:paraId="26866428" w14:textId="77777777" w:rsidR="006B113F" w:rsidRDefault="006B113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p>
        </w:tc>
        <w:tc>
          <w:tcPr>
            <w:tcW w:w="1134" w:type="dxa"/>
            <w:noWrap/>
          </w:tcPr>
          <w:p w14:paraId="0CBD2AF3"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Year 1</w:t>
            </w:r>
          </w:p>
        </w:tc>
        <w:tc>
          <w:tcPr>
            <w:tcW w:w="2127" w:type="dxa"/>
            <w:noWrap/>
          </w:tcPr>
          <w:p w14:paraId="50256CA4"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 xml:space="preserve">Subsequent years </w:t>
            </w:r>
          </w:p>
        </w:tc>
      </w:tr>
      <w:tr w:rsidR="006B113F" w14:paraId="1A7C4CD0"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Pr>
          <w:p w14:paraId="282C5D9B"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Cohort 1</w:t>
            </w:r>
          </w:p>
        </w:tc>
        <w:tc>
          <w:tcPr>
            <w:tcW w:w="1275" w:type="dxa"/>
          </w:tcPr>
          <w:p w14:paraId="490FC53F" w14:textId="77777777" w:rsidR="006B113F" w:rsidRDefault="006B113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p>
        </w:tc>
        <w:tc>
          <w:tcPr>
            <w:tcW w:w="1134" w:type="dxa"/>
          </w:tcPr>
          <w:p w14:paraId="7D0ED5BA"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€405,000</w:t>
            </w:r>
          </w:p>
        </w:tc>
        <w:tc>
          <w:tcPr>
            <w:tcW w:w="2127" w:type="dxa"/>
            <w:noWrap/>
          </w:tcPr>
          <w:p w14:paraId="3D2A4A97"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€405,000</w:t>
            </w:r>
          </w:p>
        </w:tc>
      </w:tr>
      <w:tr w:rsidR="006B113F" w14:paraId="74DD15A0" w14:textId="77777777" w:rsidTr="006B113F">
        <w:trPr>
          <w:trHeight w:val="229"/>
        </w:trPr>
        <w:tc>
          <w:tcPr>
            <w:cnfStyle w:val="001000000000" w:firstRow="0" w:lastRow="0" w:firstColumn="1" w:lastColumn="0" w:oddVBand="0" w:evenVBand="0" w:oddHBand="0" w:evenHBand="0" w:firstRowFirstColumn="0" w:firstRowLastColumn="0" w:lastRowFirstColumn="0" w:lastRowLastColumn="0"/>
            <w:tcW w:w="4390" w:type="dxa"/>
          </w:tcPr>
          <w:p w14:paraId="2D9B85C1"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Cohort 2</w:t>
            </w:r>
          </w:p>
        </w:tc>
        <w:tc>
          <w:tcPr>
            <w:tcW w:w="1275" w:type="dxa"/>
          </w:tcPr>
          <w:p w14:paraId="42670DD0" w14:textId="77777777" w:rsidR="006B113F" w:rsidRDefault="006B113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lang w:eastAsia="en-IE"/>
              </w:rPr>
            </w:pPr>
          </w:p>
        </w:tc>
        <w:tc>
          <w:tcPr>
            <w:tcW w:w="1134" w:type="dxa"/>
          </w:tcPr>
          <w:p w14:paraId="0689B01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lang w:eastAsia="en-IE"/>
              </w:rPr>
            </w:pPr>
            <w:r>
              <w:rPr>
                <w:rFonts w:asciiTheme="majorHAnsi" w:hAnsiTheme="majorHAnsi" w:cstheme="majorHAnsi"/>
                <w:b/>
                <w:bCs/>
                <w:color w:val="000000"/>
                <w:lang w:eastAsia="en-IE"/>
              </w:rPr>
              <w:t> </w:t>
            </w:r>
          </w:p>
        </w:tc>
        <w:tc>
          <w:tcPr>
            <w:tcW w:w="2127" w:type="dxa"/>
            <w:noWrap/>
          </w:tcPr>
          <w:p w14:paraId="6B353FC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€405,000</w:t>
            </w:r>
          </w:p>
        </w:tc>
      </w:tr>
      <w:tr w:rsidR="006B113F" w14:paraId="275A8F8F"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60939508"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Total</w:t>
            </w:r>
          </w:p>
        </w:tc>
        <w:tc>
          <w:tcPr>
            <w:tcW w:w="1275" w:type="dxa"/>
            <w:tcBorders>
              <w:top w:val="single" w:sz="4" w:space="0" w:color="auto"/>
              <w:bottom w:val="single" w:sz="4" w:space="0" w:color="auto"/>
            </w:tcBorders>
          </w:tcPr>
          <w:p w14:paraId="18C94221" w14:textId="77777777" w:rsidR="006B113F" w:rsidRDefault="006B113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lang w:eastAsia="en-IE"/>
              </w:rPr>
            </w:pPr>
          </w:p>
        </w:tc>
        <w:tc>
          <w:tcPr>
            <w:tcW w:w="1134" w:type="dxa"/>
            <w:tcBorders>
              <w:top w:val="single" w:sz="4" w:space="0" w:color="auto"/>
              <w:bottom w:val="single" w:sz="4" w:space="0" w:color="auto"/>
            </w:tcBorders>
            <w:noWrap/>
          </w:tcPr>
          <w:p w14:paraId="7BFAA6E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lang w:eastAsia="en-IE"/>
              </w:rPr>
            </w:pPr>
            <w:r>
              <w:rPr>
                <w:rFonts w:asciiTheme="majorHAnsi" w:hAnsiTheme="majorHAnsi" w:cstheme="majorHAnsi"/>
                <w:b/>
                <w:bCs/>
                <w:color w:val="000000"/>
                <w:lang w:eastAsia="en-IE"/>
              </w:rPr>
              <w:t>€405,000</w:t>
            </w:r>
          </w:p>
        </w:tc>
        <w:tc>
          <w:tcPr>
            <w:tcW w:w="2127" w:type="dxa"/>
            <w:tcBorders>
              <w:top w:val="single" w:sz="4" w:space="0" w:color="auto"/>
              <w:bottom w:val="single" w:sz="4" w:space="0" w:color="auto"/>
            </w:tcBorders>
            <w:noWrap/>
          </w:tcPr>
          <w:p w14:paraId="59E0FD1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lang w:eastAsia="en-IE"/>
              </w:rPr>
            </w:pPr>
            <w:r>
              <w:rPr>
                <w:rFonts w:asciiTheme="majorHAnsi" w:hAnsiTheme="majorHAnsi" w:cstheme="majorHAnsi"/>
                <w:b/>
                <w:bCs/>
                <w:color w:val="000000"/>
                <w:lang w:eastAsia="en-IE"/>
              </w:rPr>
              <w:t>€810,000</w:t>
            </w:r>
          </w:p>
        </w:tc>
      </w:tr>
      <w:tr w:rsidR="006B113F" w14:paraId="76B0DD33" w14:textId="77777777" w:rsidTr="006B113F">
        <w:trPr>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584234DE" w14:textId="77777777" w:rsidR="006B113F" w:rsidRDefault="00000000">
            <w:pPr>
              <w:jc w:val="right"/>
              <w:rPr>
                <w:rFonts w:asciiTheme="majorHAnsi" w:hAnsiTheme="majorHAnsi" w:cstheme="majorHAnsi"/>
                <w:color w:val="000000"/>
                <w:lang w:eastAsia="en-IE"/>
              </w:rPr>
            </w:pPr>
            <w:r>
              <w:rPr>
                <w:rFonts w:asciiTheme="majorHAnsi" w:hAnsiTheme="majorHAnsi" w:cstheme="majorHAnsi"/>
                <w:b w:val="0"/>
                <w:color w:val="000000"/>
                <w:lang w:eastAsia="en-IE"/>
              </w:rPr>
              <w:t>Consortium-wide cost</w:t>
            </w:r>
          </w:p>
        </w:tc>
        <w:tc>
          <w:tcPr>
            <w:tcW w:w="1275" w:type="dxa"/>
            <w:tcBorders>
              <w:top w:val="single" w:sz="4" w:space="0" w:color="auto"/>
              <w:bottom w:val="single" w:sz="4" w:space="0" w:color="auto"/>
            </w:tcBorders>
          </w:tcPr>
          <w:p w14:paraId="7EF3134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Fixed Cost</w:t>
            </w:r>
          </w:p>
        </w:tc>
        <w:tc>
          <w:tcPr>
            <w:tcW w:w="1134" w:type="dxa"/>
            <w:tcBorders>
              <w:top w:val="single" w:sz="4" w:space="0" w:color="auto"/>
              <w:bottom w:val="single" w:sz="4" w:space="0" w:color="auto"/>
            </w:tcBorders>
            <w:noWrap/>
          </w:tcPr>
          <w:p w14:paraId="4E372A1D"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€78,000</w:t>
            </w:r>
          </w:p>
        </w:tc>
        <w:tc>
          <w:tcPr>
            <w:tcW w:w="2127" w:type="dxa"/>
            <w:tcBorders>
              <w:top w:val="single" w:sz="4" w:space="0" w:color="auto"/>
              <w:bottom w:val="single" w:sz="4" w:space="0" w:color="auto"/>
            </w:tcBorders>
            <w:noWrap/>
          </w:tcPr>
          <w:p w14:paraId="355771A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€78,000</w:t>
            </w:r>
          </w:p>
        </w:tc>
      </w:tr>
      <w:tr w:rsidR="006B113F" w14:paraId="08731A28"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7A22E82F" w14:textId="77777777" w:rsidR="006B113F" w:rsidRDefault="00000000">
            <w:pPr>
              <w:jc w:val="right"/>
              <w:rPr>
                <w:rFonts w:asciiTheme="majorHAnsi" w:hAnsiTheme="majorHAnsi" w:cstheme="majorHAnsi"/>
                <w:color w:val="000000"/>
                <w:lang w:eastAsia="en-IE"/>
              </w:rPr>
            </w:pPr>
            <w:r>
              <w:rPr>
                <w:rFonts w:asciiTheme="majorHAnsi" w:hAnsiTheme="majorHAnsi" w:cstheme="majorHAnsi"/>
                <w:color w:val="000000"/>
                <w:lang w:eastAsia="en-IE"/>
              </w:rPr>
              <w:t>remaining</w:t>
            </w:r>
          </w:p>
        </w:tc>
        <w:tc>
          <w:tcPr>
            <w:tcW w:w="1275" w:type="dxa"/>
            <w:tcBorders>
              <w:top w:val="single" w:sz="4" w:space="0" w:color="auto"/>
              <w:bottom w:val="single" w:sz="4" w:space="0" w:color="auto"/>
            </w:tcBorders>
          </w:tcPr>
          <w:p w14:paraId="28323A41" w14:textId="77777777" w:rsidR="006B113F" w:rsidRDefault="006B113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p>
        </w:tc>
        <w:tc>
          <w:tcPr>
            <w:tcW w:w="1134" w:type="dxa"/>
            <w:tcBorders>
              <w:top w:val="single" w:sz="4" w:space="0" w:color="auto"/>
              <w:bottom w:val="single" w:sz="4" w:space="0" w:color="auto"/>
            </w:tcBorders>
            <w:noWrap/>
          </w:tcPr>
          <w:p w14:paraId="29F187BC"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€327,000</w:t>
            </w:r>
          </w:p>
        </w:tc>
        <w:tc>
          <w:tcPr>
            <w:tcW w:w="2127" w:type="dxa"/>
            <w:tcBorders>
              <w:top w:val="single" w:sz="4" w:space="0" w:color="auto"/>
              <w:bottom w:val="single" w:sz="4" w:space="0" w:color="auto"/>
            </w:tcBorders>
            <w:noWrap/>
          </w:tcPr>
          <w:p w14:paraId="31F1130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€732,000</w:t>
            </w:r>
          </w:p>
        </w:tc>
      </w:tr>
      <w:tr w:rsidR="006B113F" w14:paraId="3A7FE887" w14:textId="77777777" w:rsidTr="006B113F">
        <w:trPr>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42BF2F9F" w14:textId="77777777" w:rsidR="006B113F" w:rsidRDefault="00000000">
            <w:pPr>
              <w:jc w:val="right"/>
              <w:rPr>
                <w:rFonts w:asciiTheme="majorHAnsi" w:hAnsiTheme="majorHAnsi" w:cstheme="majorHAnsi"/>
                <w:color w:val="000000"/>
                <w:lang w:eastAsia="en-IE"/>
              </w:rPr>
            </w:pPr>
            <w:r>
              <w:rPr>
                <w:rFonts w:asciiTheme="majorHAnsi" w:hAnsiTheme="majorHAnsi" w:cstheme="majorHAnsi"/>
                <w:b w:val="0"/>
                <w:color w:val="000000"/>
                <w:lang w:eastAsia="en-IE"/>
              </w:rPr>
              <w:t>Total Distribution per nominal fees (Factor A)</w:t>
            </w:r>
          </w:p>
        </w:tc>
        <w:tc>
          <w:tcPr>
            <w:tcW w:w="1275" w:type="dxa"/>
            <w:tcBorders>
              <w:top w:val="single" w:sz="4" w:space="0" w:color="auto"/>
              <w:bottom w:val="single" w:sz="4" w:space="0" w:color="auto"/>
            </w:tcBorders>
          </w:tcPr>
          <w:p w14:paraId="3B92BE5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25%</w:t>
            </w:r>
          </w:p>
        </w:tc>
        <w:tc>
          <w:tcPr>
            <w:tcW w:w="1134" w:type="dxa"/>
            <w:tcBorders>
              <w:top w:val="single" w:sz="4" w:space="0" w:color="auto"/>
              <w:bottom w:val="single" w:sz="4" w:space="0" w:color="auto"/>
            </w:tcBorders>
            <w:noWrap/>
          </w:tcPr>
          <w:p w14:paraId="079D6980"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€81,750</w:t>
            </w:r>
          </w:p>
        </w:tc>
        <w:tc>
          <w:tcPr>
            <w:tcW w:w="2127" w:type="dxa"/>
            <w:tcBorders>
              <w:top w:val="single" w:sz="4" w:space="0" w:color="auto"/>
              <w:bottom w:val="single" w:sz="4" w:space="0" w:color="auto"/>
            </w:tcBorders>
            <w:noWrap/>
          </w:tcPr>
          <w:p w14:paraId="3CE50F12"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€183,000</w:t>
            </w:r>
          </w:p>
        </w:tc>
      </w:tr>
      <w:tr w:rsidR="006B113F" w14:paraId="787EE756" w14:textId="77777777" w:rsidTr="006B113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5808455A" w14:textId="77777777" w:rsidR="006B113F" w:rsidRDefault="00000000">
            <w:pPr>
              <w:jc w:val="right"/>
              <w:rPr>
                <w:rFonts w:asciiTheme="majorHAnsi" w:hAnsiTheme="majorHAnsi" w:cstheme="majorHAnsi"/>
                <w:color w:val="000000"/>
                <w:lang w:eastAsia="en-IE"/>
              </w:rPr>
            </w:pPr>
            <w:r>
              <w:rPr>
                <w:rFonts w:asciiTheme="majorHAnsi" w:hAnsiTheme="majorHAnsi" w:cstheme="majorHAnsi"/>
                <w:b w:val="0"/>
                <w:color w:val="000000"/>
                <w:lang w:eastAsia="en-IE"/>
              </w:rPr>
              <w:t>Total Distribution per ECTS (Factor B)</w:t>
            </w:r>
          </w:p>
        </w:tc>
        <w:tc>
          <w:tcPr>
            <w:tcW w:w="1275" w:type="dxa"/>
            <w:tcBorders>
              <w:top w:val="single" w:sz="4" w:space="0" w:color="auto"/>
              <w:bottom w:val="single" w:sz="4" w:space="0" w:color="auto"/>
            </w:tcBorders>
          </w:tcPr>
          <w:p w14:paraId="5059846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75%</w:t>
            </w:r>
          </w:p>
        </w:tc>
        <w:tc>
          <w:tcPr>
            <w:tcW w:w="1134" w:type="dxa"/>
            <w:tcBorders>
              <w:top w:val="single" w:sz="4" w:space="0" w:color="auto"/>
              <w:bottom w:val="single" w:sz="4" w:space="0" w:color="auto"/>
            </w:tcBorders>
            <w:noWrap/>
          </w:tcPr>
          <w:p w14:paraId="153872A7"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€245,250</w:t>
            </w:r>
          </w:p>
        </w:tc>
        <w:tc>
          <w:tcPr>
            <w:tcW w:w="2127" w:type="dxa"/>
            <w:tcBorders>
              <w:top w:val="single" w:sz="4" w:space="0" w:color="auto"/>
              <w:bottom w:val="single" w:sz="4" w:space="0" w:color="auto"/>
            </w:tcBorders>
            <w:noWrap/>
          </w:tcPr>
          <w:p w14:paraId="31933C5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en-IE"/>
              </w:rPr>
            </w:pPr>
            <w:r>
              <w:rPr>
                <w:rFonts w:asciiTheme="majorHAnsi" w:hAnsiTheme="majorHAnsi" w:cstheme="majorHAnsi"/>
                <w:color w:val="000000"/>
                <w:lang w:eastAsia="en-IE"/>
              </w:rPr>
              <w:t>€549,000</w:t>
            </w:r>
          </w:p>
        </w:tc>
      </w:tr>
    </w:tbl>
    <w:p w14:paraId="377DD99C" w14:textId="77777777" w:rsidR="006B113F" w:rsidRDefault="006B113F">
      <w:pPr>
        <w:spacing w:line="240" w:lineRule="auto"/>
        <w:rPr>
          <w:rFonts w:asciiTheme="minorHAnsi" w:hAnsiTheme="minorHAnsi" w:cstheme="minorHAnsi"/>
        </w:rPr>
      </w:pPr>
    </w:p>
    <w:p w14:paraId="721209D0" w14:textId="77777777" w:rsidR="006B113F" w:rsidRDefault="006B113F">
      <w:pPr>
        <w:spacing w:line="240" w:lineRule="auto"/>
        <w:rPr>
          <w:rFonts w:asciiTheme="minorHAnsi" w:hAnsiTheme="minorHAnsi" w:cstheme="minorHAnsi"/>
        </w:rPr>
      </w:pPr>
    </w:p>
    <w:p w14:paraId="390F7017" w14:textId="77777777" w:rsidR="006B113F" w:rsidRDefault="00000000">
      <w:pPr>
        <w:spacing w:line="240" w:lineRule="auto"/>
        <w:rPr>
          <w:b/>
          <w:bCs/>
          <w:sz w:val="24"/>
          <w:szCs w:val="24"/>
        </w:rPr>
      </w:pPr>
      <w:r>
        <w:rPr>
          <w:b/>
          <w:bCs/>
          <w:sz w:val="24"/>
          <w:szCs w:val="24"/>
        </w:rPr>
        <w:t>Distribution per ECTS delivery per Annum</w:t>
      </w:r>
    </w:p>
    <w:p w14:paraId="204C0231" w14:textId="389FD949" w:rsidR="006B113F" w:rsidRDefault="00000000">
      <w:pPr>
        <w:spacing w:line="240" w:lineRule="auto"/>
        <w:ind w:right="98"/>
        <w:jc w:val="both"/>
        <w:rPr>
          <w:rFonts w:asciiTheme="minorHAnsi" w:hAnsiTheme="minorHAnsi" w:cstheme="minorHAnsi"/>
          <w:lang w:val="en-GB"/>
        </w:rPr>
      </w:pPr>
      <w:r>
        <w:rPr>
          <w:rFonts w:asciiTheme="minorHAnsi" w:hAnsiTheme="minorHAnsi" w:cstheme="minorHAnsi"/>
          <w:lang w:val="en-GB"/>
        </w:rPr>
        <w:t>The distribution of the available tuition fee income is allocated to partners with reference to the standard tuition fees charged for similar programmes at each partner university (</w:t>
      </w:r>
      <w:r>
        <w:rPr>
          <w:rFonts w:asciiTheme="minorHAnsi" w:hAnsiTheme="minorHAnsi" w:cstheme="minorHAnsi"/>
          <w:b/>
          <w:bCs/>
          <w:lang w:val="en-GB"/>
        </w:rPr>
        <w:t>Factor A</w:t>
      </w:r>
      <w:r>
        <w:rPr>
          <w:rFonts w:asciiTheme="minorHAnsi" w:hAnsiTheme="minorHAnsi" w:cstheme="minorHAnsi"/>
          <w:lang w:val="en-GB"/>
        </w:rPr>
        <w:t>) and based on ECTS delivery (</w:t>
      </w:r>
      <w:r>
        <w:rPr>
          <w:rFonts w:asciiTheme="minorHAnsi" w:hAnsiTheme="minorHAnsi" w:cstheme="minorHAnsi"/>
          <w:b/>
          <w:bCs/>
          <w:lang w:val="en-GB"/>
        </w:rPr>
        <w:t>Factor B</w:t>
      </w:r>
      <w:r>
        <w:rPr>
          <w:rFonts w:asciiTheme="minorHAnsi" w:hAnsiTheme="minorHAnsi" w:cstheme="minorHAnsi"/>
          <w:lang w:val="en-GB"/>
        </w:rPr>
        <w:t xml:space="preserve">). The tables below illustrate the established relative factors A and B for </w:t>
      </w:r>
      <w:r w:rsidR="00B270F7">
        <w:rPr>
          <w:rFonts w:asciiTheme="minorHAnsi" w:hAnsiTheme="minorHAnsi" w:cstheme="minorHAnsi"/>
          <w:lang w:val="en-GB"/>
        </w:rPr>
        <w:t>XX</w:t>
      </w:r>
      <w:r>
        <w:rPr>
          <w:rFonts w:asciiTheme="minorHAnsi" w:hAnsiTheme="minorHAnsi" w:cstheme="minorHAnsi"/>
          <w:lang w:val="en-GB"/>
        </w:rPr>
        <w:t>, based on the agreed curriculum, and the expected distribution of incomes for this model calculation.</w:t>
      </w:r>
    </w:p>
    <w:p w14:paraId="1EFCD17E" w14:textId="77777777" w:rsidR="006B113F" w:rsidRDefault="006B113F">
      <w:pPr>
        <w:spacing w:line="240" w:lineRule="auto"/>
        <w:rPr>
          <w:rFonts w:asciiTheme="minorHAnsi" w:hAnsiTheme="minorHAnsi" w:cstheme="minorHAnsi"/>
          <w:lang w:val="en-GB"/>
        </w:rPr>
      </w:pPr>
    </w:p>
    <w:p w14:paraId="63FD9162" w14:textId="77777777" w:rsidR="006B113F" w:rsidRDefault="00000000">
      <w:pPr>
        <w:spacing w:line="240" w:lineRule="auto"/>
        <w:rPr>
          <w:rFonts w:asciiTheme="minorHAnsi" w:hAnsiTheme="minorHAnsi" w:cstheme="minorHAnsi"/>
          <w:lang w:val="en-GB"/>
        </w:rPr>
      </w:pPr>
      <w:bookmarkStart w:id="160" w:name="_Hlk126491430"/>
      <w:r>
        <w:rPr>
          <w:rFonts w:asciiTheme="minorHAnsi" w:hAnsiTheme="minorHAnsi" w:cstheme="minorHAnsi"/>
          <w:b/>
          <w:bCs/>
          <w:lang w:val="en-GB"/>
        </w:rPr>
        <w:t>Factor A: Distribution per Standard Tuition Fee</w:t>
      </w:r>
      <w:bookmarkEnd w:id="160"/>
      <w:r>
        <w:rPr>
          <w:rFonts w:asciiTheme="minorHAnsi" w:hAnsiTheme="minorHAnsi" w:cstheme="minorHAnsi"/>
          <w:b/>
          <w:bCs/>
          <w:lang w:val="en-GB"/>
        </w:rPr>
        <w:t xml:space="preserve">, using Example Case 1 </w:t>
      </w:r>
      <w:r>
        <w:rPr>
          <w:rFonts w:asciiTheme="minorHAnsi" w:hAnsiTheme="minorHAnsi" w:cstheme="minorHAnsi"/>
          <w:lang w:val="en-GB" w:eastAsia="en-US"/>
        </w:rPr>
        <w:t>(</w:t>
      </w:r>
      <w:r>
        <w:rPr>
          <w:rFonts w:asciiTheme="minorHAnsi" w:hAnsiTheme="minorHAnsi" w:cstheme="minorHAnsi"/>
          <w:lang w:val="en-GB"/>
        </w:rPr>
        <w:t>52 EU+ and 8 third country students</w:t>
      </w:r>
      <w:r>
        <w:rPr>
          <w:rFonts w:asciiTheme="minorHAnsi" w:hAnsiTheme="minorHAnsi" w:cstheme="minorHAnsi"/>
          <w:lang w:val="en-GB" w:eastAsia="en-US"/>
        </w:rPr>
        <w:t>)</w:t>
      </w:r>
    </w:p>
    <w:tbl>
      <w:tblPr>
        <w:tblStyle w:val="Gitternetztabelle1hell"/>
        <w:tblW w:w="8929" w:type="dxa"/>
        <w:tblLayout w:type="fixed"/>
        <w:tblLook w:val="04A0" w:firstRow="1" w:lastRow="0" w:firstColumn="1" w:lastColumn="0" w:noHBand="0" w:noVBand="1"/>
      </w:tblPr>
      <w:tblGrid>
        <w:gridCol w:w="2024"/>
        <w:gridCol w:w="1515"/>
        <w:gridCol w:w="2555"/>
        <w:gridCol w:w="2835"/>
      </w:tblGrid>
      <w:tr w:rsidR="006B113F" w14:paraId="69E4AF87" w14:textId="77777777" w:rsidTr="006B113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11BF48CD" w14:textId="77777777" w:rsidR="006B113F" w:rsidRDefault="00000000">
            <w:pPr>
              <w:rPr>
                <w:rFonts w:asciiTheme="minorHAnsi" w:hAnsiTheme="minorHAnsi" w:cstheme="minorHAnsi"/>
                <w:color w:val="000000"/>
                <w:lang w:eastAsia="en-IE"/>
              </w:rPr>
            </w:pPr>
            <w:r>
              <w:rPr>
                <w:rFonts w:asciiTheme="minorHAnsi" w:hAnsiTheme="minorHAnsi" w:cstheme="minorHAnsi"/>
                <w:color w:val="000000"/>
                <w:lang w:eastAsia="en-IE"/>
              </w:rPr>
              <w:t>Factor A</w:t>
            </w:r>
          </w:p>
        </w:tc>
        <w:tc>
          <w:tcPr>
            <w:tcW w:w="1515" w:type="dxa"/>
            <w:noWrap/>
          </w:tcPr>
          <w:p w14:paraId="72589F09"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Nominal Fee Factor</w:t>
            </w:r>
            <w:r>
              <w:rPr>
                <w:rStyle w:val="Funotenzeichen"/>
                <w:rFonts w:asciiTheme="minorHAnsi" w:hAnsiTheme="minorHAnsi" w:cstheme="minorHAnsi"/>
                <w:color w:val="000000"/>
                <w:lang w:eastAsia="en-IE"/>
              </w:rPr>
              <w:footnoteReference w:id="1"/>
            </w:r>
          </w:p>
        </w:tc>
        <w:tc>
          <w:tcPr>
            <w:tcW w:w="2555" w:type="dxa"/>
            <w:noWrap/>
          </w:tcPr>
          <w:p w14:paraId="02EB151A"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Re-Imbursement Year 1 and Final Year</w:t>
            </w:r>
          </w:p>
        </w:tc>
        <w:tc>
          <w:tcPr>
            <w:tcW w:w="2835" w:type="dxa"/>
          </w:tcPr>
          <w:p w14:paraId="0F95337B"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Annual Re-Imbursement Subsequent Years</w:t>
            </w:r>
          </w:p>
        </w:tc>
      </w:tr>
      <w:tr w:rsidR="006B113F" w14:paraId="31FB294B"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052EC795"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EUR</w:t>
            </w:r>
          </w:p>
        </w:tc>
        <w:tc>
          <w:tcPr>
            <w:tcW w:w="1515" w:type="dxa"/>
            <w:vAlign w:val="center"/>
          </w:tcPr>
          <w:p w14:paraId="6EAB441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0.19</w:t>
            </w:r>
          </w:p>
        </w:tc>
        <w:tc>
          <w:tcPr>
            <w:tcW w:w="2555" w:type="dxa"/>
            <w:noWrap/>
            <w:vAlign w:val="center"/>
          </w:tcPr>
          <w:p w14:paraId="3B5F2F1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€ 10,903.75</w:t>
            </w:r>
          </w:p>
        </w:tc>
        <w:tc>
          <w:tcPr>
            <w:tcW w:w="2835" w:type="dxa"/>
            <w:vAlign w:val="center"/>
          </w:tcPr>
          <w:p w14:paraId="4D9D98C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€ 25,537.73</w:t>
            </w:r>
          </w:p>
        </w:tc>
      </w:tr>
      <w:tr w:rsidR="006B113F" w14:paraId="1BF95B21"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0B6BE6A9"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KU</w:t>
            </w:r>
          </w:p>
        </w:tc>
        <w:tc>
          <w:tcPr>
            <w:tcW w:w="1515" w:type="dxa"/>
            <w:vAlign w:val="center"/>
          </w:tcPr>
          <w:p w14:paraId="457C8EA7"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0.13</w:t>
            </w:r>
          </w:p>
        </w:tc>
        <w:tc>
          <w:tcPr>
            <w:tcW w:w="2555" w:type="dxa"/>
            <w:noWrap/>
            <w:vAlign w:val="center"/>
          </w:tcPr>
          <w:p w14:paraId="56796B6B"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€ 7,157.47</w:t>
            </w:r>
          </w:p>
        </w:tc>
        <w:tc>
          <w:tcPr>
            <w:tcW w:w="2835" w:type="dxa"/>
            <w:vAlign w:val="center"/>
          </w:tcPr>
          <w:p w14:paraId="0B1ABE0B"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€ 16,763.54</w:t>
            </w:r>
          </w:p>
        </w:tc>
      </w:tr>
      <w:tr w:rsidR="006B113F" w14:paraId="1B690B74"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4829BE2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RUB</w:t>
            </w:r>
          </w:p>
        </w:tc>
        <w:tc>
          <w:tcPr>
            <w:tcW w:w="1515" w:type="dxa"/>
            <w:vAlign w:val="center"/>
          </w:tcPr>
          <w:p w14:paraId="046FDA3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0.00</w:t>
            </w:r>
          </w:p>
        </w:tc>
        <w:tc>
          <w:tcPr>
            <w:tcW w:w="2555" w:type="dxa"/>
            <w:noWrap/>
            <w:vAlign w:val="center"/>
          </w:tcPr>
          <w:p w14:paraId="5213753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€ 0.00</w:t>
            </w:r>
          </w:p>
        </w:tc>
        <w:tc>
          <w:tcPr>
            <w:tcW w:w="2835" w:type="dxa"/>
            <w:vAlign w:val="center"/>
          </w:tcPr>
          <w:p w14:paraId="4F842415"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€ 0.00</w:t>
            </w:r>
          </w:p>
        </w:tc>
      </w:tr>
      <w:tr w:rsidR="006B113F" w14:paraId="58C1241C"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27E9221B"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UCC</w:t>
            </w:r>
          </w:p>
        </w:tc>
        <w:tc>
          <w:tcPr>
            <w:tcW w:w="1515" w:type="dxa"/>
            <w:vAlign w:val="center"/>
          </w:tcPr>
          <w:p w14:paraId="35CE2BCB"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0.22</w:t>
            </w:r>
          </w:p>
        </w:tc>
        <w:tc>
          <w:tcPr>
            <w:tcW w:w="2555" w:type="dxa"/>
            <w:noWrap/>
            <w:vAlign w:val="center"/>
          </w:tcPr>
          <w:p w14:paraId="4172D740"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€ 12,471.34</w:t>
            </w:r>
          </w:p>
        </w:tc>
        <w:tc>
          <w:tcPr>
            <w:tcW w:w="2835" w:type="dxa"/>
            <w:vAlign w:val="center"/>
          </w:tcPr>
          <w:p w14:paraId="6DB8772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€ 29,209.20</w:t>
            </w:r>
          </w:p>
        </w:tc>
      </w:tr>
      <w:tr w:rsidR="006B113F" w14:paraId="53A1D2C4"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04931E84"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UDeusto</w:t>
            </w:r>
          </w:p>
        </w:tc>
        <w:tc>
          <w:tcPr>
            <w:tcW w:w="1515" w:type="dxa"/>
            <w:vAlign w:val="center"/>
          </w:tcPr>
          <w:p w14:paraId="1B06675A"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0.13</w:t>
            </w:r>
          </w:p>
        </w:tc>
        <w:tc>
          <w:tcPr>
            <w:tcW w:w="2555" w:type="dxa"/>
            <w:noWrap/>
            <w:vAlign w:val="center"/>
          </w:tcPr>
          <w:p w14:paraId="5FB7A06A"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rPr>
              <w:t>€ 7,591.25</w:t>
            </w:r>
          </w:p>
        </w:tc>
        <w:tc>
          <w:tcPr>
            <w:tcW w:w="2835" w:type="dxa"/>
            <w:vAlign w:val="center"/>
          </w:tcPr>
          <w:p w14:paraId="2291EF9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€ 17,779.51</w:t>
            </w:r>
          </w:p>
        </w:tc>
      </w:tr>
      <w:tr w:rsidR="006B113F" w14:paraId="089E3CEF"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021F91A8"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ULiège</w:t>
            </w:r>
          </w:p>
        </w:tc>
        <w:tc>
          <w:tcPr>
            <w:tcW w:w="1515" w:type="dxa"/>
            <w:vAlign w:val="center"/>
          </w:tcPr>
          <w:p w14:paraId="10239574"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0.05</w:t>
            </w:r>
          </w:p>
        </w:tc>
        <w:tc>
          <w:tcPr>
            <w:tcW w:w="2555" w:type="dxa"/>
            <w:noWrap/>
            <w:vAlign w:val="center"/>
          </w:tcPr>
          <w:p w14:paraId="40293831"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€ 2,716.58</w:t>
            </w:r>
          </w:p>
        </w:tc>
        <w:tc>
          <w:tcPr>
            <w:tcW w:w="2835" w:type="dxa"/>
            <w:vAlign w:val="center"/>
          </w:tcPr>
          <w:p w14:paraId="085D915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€ 6,362.53</w:t>
            </w:r>
          </w:p>
        </w:tc>
      </w:tr>
      <w:tr w:rsidR="006B113F" w14:paraId="3458092C"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39944D6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UOulu</w:t>
            </w:r>
          </w:p>
        </w:tc>
        <w:tc>
          <w:tcPr>
            <w:tcW w:w="1515" w:type="dxa"/>
            <w:vAlign w:val="center"/>
          </w:tcPr>
          <w:p w14:paraId="096950B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0.12</w:t>
            </w:r>
          </w:p>
        </w:tc>
        <w:tc>
          <w:tcPr>
            <w:tcW w:w="2555" w:type="dxa"/>
            <w:noWrap/>
            <w:vAlign w:val="center"/>
          </w:tcPr>
          <w:p w14:paraId="2849509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€ 7,049.02</w:t>
            </w:r>
          </w:p>
        </w:tc>
        <w:tc>
          <w:tcPr>
            <w:tcW w:w="2835" w:type="dxa"/>
            <w:vAlign w:val="center"/>
          </w:tcPr>
          <w:p w14:paraId="1FA5BD3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€ 16,509.55</w:t>
            </w:r>
          </w:p>
        </w:tc>
      </w:tr>
      <w:tr w:rsidR="006B113F" w14:paraId="36CA1BBC"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tcBorders>
              <w:bottom w:val="single" w:sz="4" w:space="0" w:color="auto"/>
            </w:tcBorders>
            <w:noWrap/>
          </w:tcPr>
          <w:p w14:paraId="3064A6F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UZagreb</w:t>
            </w:r>
          </w:p>
        </w:tc>
        <w:tc>
          <w:tcPr>
            <w:tcW w:w="1515" w:type="dxa"/>
            <w:tcBorders>
              <w:bottom w:val="single" w:sz="4" w:space="0" w:color="auto"/>
            </w:tcBorders>
            <w:vAlign w:val="center"/>
          </w:tcPr>
          <w:p w14:paraId="206529B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0.16</w:t>
            </w:r>
          </w:p>
        </w:tc>
        <w:tc>
          <w:tcPr>
            <w:tcW w:w="2555" w:type="dxa"/>
            <w:tcBorders>
              <w:bottom w:val="single" w:sz="4" w:space="0" w:color="auto"/>
            </w:tcBorders>
            <w:noWrap/>
            <w:vAlign w:val="center"/>
          </w:tcPr>
          <w:p w14:paraId="63FF2EB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€ 9,110.59</w:t>
            </w:r>
          </w:p>
        </w:tc>
        <w:tc>
          <w:tcPr>
            <w:tcW w:w="2835" w:type="dxa"/>
            <w:tcBorders>
              <w:bottom w:val="single" w:sz="4" w:space="0" w:color="auto"/>
            </w:tcBorders>
            <w:vAlign w:val="center"/>
          </w:tcPr>
          <w:p w14:paraId="4FB03AB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€ 21,337.95</w:t>
            </w:r>
          </w:p>
        </w:tc>
      </w:tr>
      <w:tr w:rsidR="006B113F" w14:paraId="6199E528" w14:textId="77777777" w:rsidTr="006B1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4" w:type="dxa"/>
            <w:tcBorders>
              <w:top w:val="single" w:sz="4" w:space="0" w:color="auto"/>
            </w:tcBorders>
            <w:noWrap/>
          </w:tcPr>
          <w:p w14:paraId="0296C22F"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w:t>
            </w:r>
          </w:p>
        </w:tc>
        <w:tc>
          <w:tcPr>
            <w:tcW w:w="1515" w:type="dxa"/>
            <w:tcBorders>
              <w:top w:val="single" w:sz="4" w:space="0" w:color="auto"/>
            </w:tcBorders>
            <w:vAlign w:val="center"/>
          </w:tcPr>
          <w:p w14:paraId="6CA4321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Theme="minorHAnsi" w:hAnsiTheme="minorHAnsi" w:cstheme="minorHAnsi"/>
                <w:b/>
                <w:bCs/>
                <w:color w:val="000000"/>
              </w:rPr>
              <w:t>1.00</w:t>
            </w:r>
          </w:p>
        </w:tc>
        <w:tc>
          <w:tcPr>
            <w:tcW w:w="2555" w:type="dxa"/>
            <w:tcBorders>
              <w:top w:val="single" w:sz="4" w:space="0" w:color="auto"/>
            </w:tcBorders>
          </w:tcPr>
          <w:p w14:paraId="7223160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Theme="minorHAnsi" w:hAnsiTheme="minorHAnsi" w:cstheme="minorHAnsi"/>
                <w:b/>
                <w:bCs/>
              </w:rPr>
              <w:t>€ 57,000.00</w:t>
            </w:r>
          </w:p>
        </w:tc>
        <w:tc>
          <w:tcPr>
            <w:tcW w:w="2835" w:type="dxa"/>
            <w:tcBorders>
              <w:top w:val="single" w:sz="4" w:space="0" w:color="auto"/>
            </w:tcBorders>
          </w:tcPr>
          <w:p w14:paraId="47109110"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€ 133,500.00</w:t>
            </w:r>
          </w:p>
        </w:tc>
      </w:tr>
    </w:tbl>
    <w:p w14:paraId="67F92145" w14:textId="77777777" w:rsidR="006B113F" w:rsidRDefault="006B113F">
      <w:pPr>
        <w:spacing w:line="240" w:lineRule="auto"/>
        <w:rPr>
          <w:lang w:val="en-GB"/>
        </w:rPr>
      </w:pPr>
    </w:p>
    <w:p w14:paraId="5B7E49ED" w14:textId="77777777" w:rsidR="006B113F" w:rsidRDefault="006B113F">
      <w:pPr>
        <w:spacing w:after="160" w:line="240" w:lineRule="auto"/>
        <w:rPr>
          <w:rFonts w:asciiTheme="minorHAnsi" w:hAnsiTheme="minorHAnsi" w:cstheme="minorHAnsi"/>
          <w:b/>
          <w:bCs/>
          <w:lang w:val="en-GB"/>
        </w:rPr>
      </w:pPr>
    </w:p>
    <w:p w14:paraId="16E6FE97" w14:textId="77777777" w:rsidR="006B113F" w:rsidRDefault="00000000">
      <w:pPr>
        <w:spacing w:line="240" w:lineRule="auto"/>
        <w:ind w:right="-142"/>
        <w:rPr>
          <w:rFonts w:asciiTheme="minorHAnsi" w:hAnsiTheme="minorHAnsi" w:cstheme="minorHAnsi"/>
          <w:b/>
          <w:bCs/>
          <w:lang w:val="en-GB"/>
        </w:rPr>
      </w:pPr>
      <w:r>
        <w:rPr>
          <w:rFonts w:asciiTheme="minorHAnsi" w:hAnsiTheme="minorHAnsi" w:cstheme="minorHAnsi"/>
          <w:b/>
          <w:bCs/>
          <w:lang w:val="en-GB"/>
        </w:rPr>
        <w:lastRenderedPageBreak/>
        <w:t xml:space="preserve">Factor A: Distribution per Standard Tuition Fee, </w:t>
      </w:r>
      <w:r>
        <w:rPr>
          <w:rFonts w:asciiTheme="minorHAnsi" w:hAnsiTheme="minorHAnsi" w:cstheme="minorHAnsi"/>
          <w:b/>
          <w:bCs/>
          <w:highlight w:val="white"/>
          <w:lang w:val="en-GB"/>
        </w:rPr>
        <w:t xml:space="preserve">using Example Case </w:t>
      </w:r>
      <w:r>
        <w:rPr>
          <w:rFonts w:asciiTheme="minorHAnsi" w:hAnsiTheme="minorHAnsi" w:cstheme="minorHAnsi"/>
          <w:b/>
          <w:bCs/>
          <w:lang w:val="en-GB"/>
        </w:rPr>
        <w:t>2</w:t>
      </w:r>
      <w:r>
        <w:rPr>
          <w:rStyle w:val="Kommentarzeichen"/>
          <w:color w:val="000000" w:themeColor="text1"/>
          <w:szCs w:val="20"/>
          <w:lang w:val="en-GB" w:eastAsia="en-US"/>
        </w:rPr>
        <w:t xml:space="preserve"> </w:t>
      </w:r>
      <w:r>
        <w:rPr>
          <w:rFonts w:asciiTheme="minorHAnsi" w:hAnsiTheme="minorHAnsi" w:cstheme="minorHAnsi"/>
          <w:lang w:val="en-GB" w:eastAsia="en-US"/>
        </w:rPr>
        <w:t>(</w:t>
      </w:r>
      <w:r>
        <w:rPr>
          <w:rFonts w:asciiTheme="minorHAnsi" w:hAnsiTheme="minorHAnsi" w:cstheme="minorHAnsi"/>
          <w:lang w:val="en-GB"/>
        </w:rPr>
        <w:t>30 EU+ and 30 third country students</w:t>
      </w:r>
      <w:r>
        <w:rPr>
          <w:rFonts w:asciiTheme="minorHAnsi" w:hAnsiTheme="minorHAnsi" w:cstheme="minorHAnsi"/>
          <w:lang w:val="en-GB" w:eastAsia="en-US"/>
        </w:rPr>
        <w:t>)</w:t>
      </w:r>
    </w:p>
    <w:tbl>
      <w:tblPr>
        <w:tblStyle w:val="Gitternetztabelle1hell"/>
        <w:tblW w:w="8929" w:type="dxa"/>
        <w:tblLayout w:type="fixed"/>
        <w:tblLook w:val="04A0" w:firstRow="1" w:lastRow="0" w:firstColumn="1" w:lastColumn="0" w:noHBand="0" w:noVBand="1"/>
      </w:tblPr>
      <w:tblGrid>
        <w:gridCol w:w="2024"/>
        <w:gridCol w:w="1515"/>
        <w:gridCol w:w="2555"/>
        <w:gridCol w:w="2835"/>
      </w:tblGrid>
      <w:tr w:rsidR="006B113F" w14:paraId="2A4ABDAC" w14:textId="77777777" w:rsidTr="006B113F">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024" w:type="dxa"/>
            <w:noWrap/>
          </w:tcPr>
          <w:p w14:paraId="36C19324" w14:textId="77777777" w:rsidR="006B113F" w:rsidRDefault="00000000">
            <w:pPr>
              <w:rPr>
                <w:rFonts w:asciiTheme="minorHAnsi" w:hAnsiTheme="minorHAnsi" w:cstheme="minorHAnsi"/>
                <w:color w:val="000000"/>
                <w:lang w:eastAsia="en-IE"/>
              </w:rPr>
            </w:pPr>
            <w:r>
              <w:rPr>
                <w:rFonts w:asciiTheme="minorHAnsi" w:hAnsiTheme="minorHAnsi" w:cstheme="minorHAnsi"/>
                <w:color w:val="000000"/>
                <w:lang w:eastAsia="en-IE"/>
              </w:rPr>
              <w:t>Factor A</w:t>
            </w:r>
          </w:p>
        </w:tc>
        <w:tc>
          <w:tcPr>
            <w:tcW w:w="1515" w:type="dxa"/>
            <w:noWrap/>
          </w:tcPr>
          <w:p w14:paraId="3B368CF7"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Nominal Fee Factor</w:t>
            </w:r>
          </w:p>
        </w:tc>
        <w:tc>
          <w:tcPr>
            <w:tcW w:w="2555" w:type="dxa"/>
            <w:noWrap/>
          </w:tcPr>
          <w:p w14:paraId="36CAC51C"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Re-Imbursement Year 1 and Final Year</w:t>
            </w:r>
          </w:p>
        </w:tc>
        <w:tc>
          <w:tcPr>
            <w:tcW w:w="2835" w:type="dxa"/>
          </w:tcPr>
          <w:p w14:paraId="1BF893CC"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Annual Re-Imbursement Subsequent Years</w:t>
            </w:r>
          </w:p>
        </w:tc>
      </w:tr>
      <w:tr w:rsidR="006B113F" w14:paraId="3A437A8A"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105B2AAE"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EUR</w:t>
            </w:r>
          </w:p>
        </w:tc>
        <w:tc>
          <w:tcPr>
            <w:tcW w:w="1515" w:type="dxa"/>
            <w:vAlign w:val="center"/>
          </w:tcPr>
          <w:p w14:paraId="14811BB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0.19</w:t>
            </w:r>
          </w:p>
        </w:tc>
        <w:tc>
          <w:tcPr>
            <w:tcW w:w="2555" w:type="dxa"/>
            <w:noWrap/>
            <w:vAlign w:val="center"/>
          </w:tcPr>
          <w:p w14:paraId="381138C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€ 15,638.27</w:t>
            </w:r>
          </w:p>
        </w:tc>
        <w:tc>
          <w:tcPr>
            <w:tcW w:w="2835" w:type="dxa"/>
            <w:vAlign w:val="center"/>
          </w:tcPr>
          <w:p w14:paraId="07BB5F4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€ 35,006.77</w:t>
            </w:r>
          </w:p>
        </w:tc>
      </w:tr>
      <w:tr w:rsidR="006B113F" w14:paraId="33E1BBC3"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49C0E61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KU</w:t>
            </w:r>
          </w:p>
        </w:tc>
        <w:tc>
          <w:tcPr>
            <w:tcW w:w="1515" w:type="dxa"/>
            <w:vAlign w:val="center"/>
          </w:tcPr>
          <w:p w14:paraId="0848A22F"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0.13</w:t>
            </w:r>
          </w:p>
        </w:tc>
        <w:tc>
          <w:tcPr>
            <w:tcW w:w="2555" w:type="dxa"/>
            <w:noWrap/>
            <w:vAlign w:val="center"/>
          </w:tcPr>
          <w:p w14:paraId="658288A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€ 10,265.31</w:t>
            </w:r>
          </w:p>
        </w:tc>
        <w:tc>
          <w:tcPr>
            <w:tcW w:w="2835" w:type="dxa"/>
            <w:vAlign w:val="center"/>
          </w:tcPr>
          <w:p w14:paraId="5BC1C64F"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€ 22,979.23</w:t>
            </w:r>
          </w:p>
        </w:tc>
      </w:tr>
      <w:tr w:rsidR="006B113F" w14:paraId="1B856A2B"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75ECF35D"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RUB</w:t>
            </w:r>
          </w:p>
        </w:tc>
        <w:tc>
          <w:tcPr>
            <w:tcW w:w="1515" w:type="dxa"/>
            <w:vAlign w:val="center"/>
          </w:tcPr>
          <w:p w14:paraId="1E413A96"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0.00</w:t>
            </w:r>
          </w:p>
        </w:tc>
        <w:tc>
          <w:tcPr>
            <w:tcW w:w="2555" w:type="dxa"/>
            <w:noWrap/>
            <w:vAlign w:val="center"/>
          </w:tcPr>
          <w:p w14:paraId="4771537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€ 0.00</w:t>
            </w:r>
          </w:p>
        </w:tc>
        <w:tc>
          <w:tcPr>
            <w:tcW w:w="2835" w:type="dxa"/>
            <w:vAlign w:val="center"/>
          </w:tcPr>
          <w:p w14:paraId="619B3D2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€ 0.00</w:t>
            </w:r>
          </w:p>
        </w:tc>
      </w:tr>
      <w:tr w:rsidR="006B113F" w14:paraId="18E95480"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6846B029"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UCC</w:t>
            </w:r>
          </w:p>
        </w:tc>
        <w:tc>
          <w:tcPr>
            <w:tcW w:w="1515" w:type="dxa"/>
            <w:vAlign w:val="center"/>
          </w:tcPr>
          <w:p w14:paraId="7AE10C1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0.22</w:t>
            </w:r>
          </w:p>
        </w:tc>
        <w:tc>
          <w:tcPr>
            <w:tcW w:w="2555" w:type="dxa"/>
            <w:noWrap/>
            <w:vAlign w:val="center"/>
          </w:tcPr>
          <w:p w14:paraId="269A4146"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€ 17,886.53</w:t>
            </w:r>
          </w:p>
        </w:tc>
        <w:tc>
          <w:tcPr>
            <w:tcW w:w="2835" w:type="dxa"/>
            <w:vAlign w:val="center"/>
          </w:tcPr>
          <w:p w14:paraId="06C6EFC7"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€ 40,039.57</w:t>
            </w:r>
          </w:p>
        </w:tc>
      </w:tr>
      <w:tr w:rsidR="006B113F" w14:paraId="06B4E9B8"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4A5B769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UDeusto</w:t>
            </w:r>
          </w:p>
        </w:tc>
        <w:tc>
          <w:tcPr>
            <w:tcW w:w="1515" w:type="dxa"/>
            <w:vAlign w:val="center"/>
          </w:tcPr>
          <w:p w14:paraId="31E21CC8"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0.13</w:t>
            </w:r>
          </w:p>
        </w:tc>
        <w:tc>
          <w:tcPr>
            <w:tcW w:w="2555" w:type="dxa"/>
            <w:noWrap/>
            <w:vAlign w:val="center"/>
          </w:tcPr>
          <w:p w14:paraId="4A7703E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€ 10,887.45</w:t>
            </w:r>
          </w:p>
        </w:tc>
        <w:tc>
          <w:tcPr>
            <w:tcW w:w="2835" w:type="dxa"/>
            <w:vAlign w:val="center"/>
          </w:tcPr>
          <w:p w14:paraId="52DD167F"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€ 24,371.91</w:t>
            </w:r>
          </w:p>
        </w:tc>
      </w:tr>
      <w:tr w:rsidR="006B113F" w14:paraId="6124E149"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6576FAAE"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ULiège</w:t>
            </w:r>
          </w:p>
        </w:tc>
        <w:tc>
          <w:tcPr>
            <w:tcW w:w="1515" w:type="dxa"/>
            <w:vAlign w:val="center"/>
          </w:tcPr>
          <w:p w14:paraId="207BBFF4"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0.05</w:t>
            </w:r>
          </w:p>
        </w:tc>
        <w:tc>
          <w:tcPr>
            <w:tcW w:w="2555" w:type="dxa"/>
            <w:noWrap/>
            <w:vAlign w:val="center"/>
          </w:tcPr>
          <w:p w14:paraId="467FA5D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€ 3,896.15</w:t>
            </w:r>
          </w:p>
        </w:tc>
        <w:tc>
          <w:tcPr>
            <w:tcW w:w="2835" w:type="dxa"/>
            <w:vAlign w:val="center"/>
          </w:tcPr>
          <w:p w14:paraId="2A0A1DC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€ 8,721.66</w:t>
            </w:r>
          </w:p>
        </w:tc>
      </w:tr>
      <w:tr w:rsidR="006B113F" w14:paraId="67F0A92C"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4" w:type="dxa"/>
            <w:noWrap/>
          </w:tcPr>
          <w:p w14:paraId="5EE39BBD"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UOulu</w:t>
            </w:r>
          </w:p>
        </w:tc>
        <w:tc>
          <w:tcPr>
            <w:tcW w:w="1515" w:type="dxa"/>
            <w:vAlign w:val="center"/>
          </w:tcPr>
          <w:p w14:paraId="5CDA82EA"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0.12</w:t>
            </w:r>
          </w:p>
        </w:tc>
        <w:tc>
          <w:tcPr>
            <w:tcW w:w="2555" w:type="dxa"/>
            <w:noWrap/>
            <w:vAlign w:val="center"/>
          </w:tcPr>
          <w:p w14:paraId="45DD425E"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€ 10,109.78</w:t>
            </w:r>
          </w:p>
        </w:tc>
        <w:tc>
          <w:tcPr>
            <w:tcW w:w="2835" w:type="dxa"/>
            <w:vAlign w:val="center"/>
          </w:tcPr>
          <w:p w14:paraId="5447F78C"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€ 22,631.06</w:t>
            </w:r>
          </w:p>
        </w:tc>
      </w:tr>
      <w:tr w:rsidR="006B113F" w14:paraId="07134DEA"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024" w:type="dxa"/>
            <w:tcBorders>
              <w:bottom w:val="single" w:sz="4" w:space="0" w:color="auto"/>
            </w:tcBorders>
            <w:noWrap/>
          </w:tcPr>
          <w:p w14:paraId="1696EBBB"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UniZG</w:t>
            </w:r>
          </w:p>
        </w:tc>
        <w:tc>
          <w:tcPr>
            <w:tcW w:w="1515" w:type="dxa"/>
            <w:tcBorders>
              <w:bottom w:val="single" w:sz="4" w:space="0" w:color="auto"/>
            </w:tcBorders>
            <w:vAlign w:val="center"/>
          </w:tcPr>
          <w:p w14:paraId="36DE2A3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rPr>
              <w:t>0.16</w:t>
            </w:r>
          </w:p>
        </w:tc>
        <w:tc>
          <w:tcPr>
            <w:tcW w:w="2555" w:type="dxa"/>
            <w:tcBorders>
              <w:bottom w:val="single" w:sz="4" w:space="0" w:color="auto"/>
            </w:tcBorders>
            <w:noWrap/>
            <w:vAlign w:val="center"/>
          </w:tcPr>
          <w:p w14:paraId="0407670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€ 13,066.50</w:t>
            </w:r>
          </w:p>
        </w:tc>
        <w:tc>
          <w:tcPr>
            <w:tcW w:w="2835" w:type="dxa"/>
            <w:tcBorders>
              <w:bottom w:val="single" w:sz="4" w:space="0" w:color="auto"/>
            </w:tcBorders>
            <w:vAlign w:val="center"/>
          </w:tcPr>
          <w:p w14:paraId="2B08AE4B"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€ 29,249.78</w:t>
            </w:r>
          </w:p>
        </w:tc>
      </w:tr>
      <w:tr w:rsidR="006B113F" w14:paraId="2E2F5A58" w14:textId="77777777" w:rsidTr="006B1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4" w:type="dxa"/>
            <w:tcBorders>
              <w:top w:val="single" w:sz="4" w:space="0" w:color="auto"/>
            </w:tcBorders>
            <w:noWrap/>
          </w:tcPr>
          <w:p w14:paraId="0AA0B53F"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w:t>
            </w:r>
          </w:p>
        </w:tc>
        <w:tc>
          <w:tcPr>
            <w:tcW w:w="1515" w:type="dxa"/>
            <w:tcBorders>
              <w:top w:val="single" w:sz="4" w:space="0" w:color="auto"/>
            </w:tcBorders>
            <w:vAlign w:val="center"/>
          </w:tcPr>
          <w:p w14:paraId="5255DDF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Theme="minorHAnsi" w:hAnsiTheme="minorHAnsi" w:cstheme="minorHAnsi"/>
                <w:b/>
                <w:bCs/>
                <w:color w:val="000000"/>
              </w:rPr>
              <w:t>1.00</w:t>
            </w:r>
          </w:p>
        </w:tc>
        <w:tc>
          <w:tcPr>
            <w:tcW w:w="2555" w:type="dxa"/>
            <w:tcBorders>
              <w:top w:val="single" w:sz="4" w:space="0" w:color="auto"/>
            </w:tcBorders>
            <w:vAlign w:val="center"/>
          </w:tcPr>
          <w:p w14:paraId="43305F4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Calibri" w:hAnsi="Calibri" w:cs="Calibri"/>
                <w:b/>
                <w:bCs/>
                <w:color w:val="000000"/>
              </w:rPr>
              <w:t>€ 81,750.00</w:t>
            </w:r>
          </w:p>
        </w:tc>
        <w:tc>
          <w:tcPr>
            <w:tcW w:w="2835" w:type="dxa"/>
            <w:tcBorders>
              <w:top w:val="single" w:sz="4" w:space="0" w:color="auto"/>
            </w:tcBorders>
          </w:tcPr>
          <w:p w14:paraId="31C358B8"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€ 183,000.00</w:t>
            </w:r>
          </w:p>
        </w:tc>
      </w:tr>
    </w:tbl>
    <w:p w14:paraId="69A9B117" w14:textId="77777777" w:rsidR="006B113F" w:rsidRDefault="006B113F">
      <w:pPr>
        <w:spacing w:line="240" w:lineRule="auto"/>
        <w:rPr>
          <w:rFonts w:asciiTheme="minorHAnsi" w:hAnsiTheme="minorHAnsi" w:cstheme="minorHAnsi"/>
        </w:rPr>
      </w:pPr>
    </w:p>
    <w:p w14:paraId="2DFBB85E" w14:textId="77777777" w:rsidR="006B113F" w:rsidRDefault="006B113F">
      <w:pPr>
        <w:spacing w:line="240" w:lineRule="auto"/>
        <w:rPr>
          <w:rFonts w:asciiTheme="minorHAnsi" w:hAnsiTheme="minorHAnsi" w:cstheme="minorHAnsi"/>
          <w:b/>
          <w:bCs/>
          <w:lang w:val="en-GB"/>
        </w:rPr>
      </w:pPr>
    </w:p>
    <w:p w14:paraId="2CDCAF0A" w14:textId="77777777" w:rsidR="006B113F" w:rsidRDefault="00000000">
      <w:pPr>
        <w:spacing w:line="240" w:lineRule="auto"/>
        <w:ind w:right="-43"/>
        <w:rPr>
          <w:rFonts w:asciiTheme="minorHAnsi" w:hAnsiTheme="minorHAnsi" w:cstheme="minorHAnsi"/>
          <w:lang w:val="en-GB" w:eastAsia="en-US"/>
        </w:rPr>
      </w:pPr>
      <w:r>
        <w:rPr>
          <w:rFonts w:asciiTheme="minorHAnsi" w:hAnsiTheme="minorHAnsi" w:cstheme="minorHAnsi"/>
          <w:b/>
          <w:bCs/>
          <w:lang w:val="en-GB"/>
        </w:rPr>
        <w:t>Distribution of Standard Tuition Fee according to ECTS Delivery</w:t>
      </w:r>
      <w:r>
        <w:rPr>
          <w:rFonts w:asciiTheme="minorHAnsi" w:hAnsiTheme="minorHAnsi" w:cstheme="minorHAnsi"/>
          <w:lang w:val="en-GB" w:eastAsia="en-US"/>
        </w:rPr>
        <w:t xml:space="preserve"> (as agreed at programme start; partners reserve the right to change the individual teaching contribution </w:t>
      </w:r>
      <w:proofErr w:type="gramStart"/>
      <w:r>
        <w:rPr>
          <w:rFonts w:asciiTheme="minorHAnsi" w:hAnsiTheme="minorHAnsi" w:cstheme="minorHAnsi"/>
          <w:lang w:val="en-GB" w:eastAsia="en-US"/>
        </w:rPr>
        <w:t>in the course of</w:t>
      </w:r>
      <w:proofErr w:type="gramEnd"/>
      <w:r>
        <w:rPr>
          <w:rFonts w:asciiTheme="minorHAnsi" w:hAnsiTheme="minorHAnsi" w:cstheme="minorHAnsi"/>
          <w:lang w:val="en-GB" w:eastAsia="en-US"/>
        </w:rPr>
        <w:t xml:space="preserve"> the programme by mutual consent)</w:t>
      </w:r>
    </w:p>
    <w:tbl>
      <w:tblPr>
        <w:tblStyle w:val="Gitternetztabelle1hell"/>
        <w:tblW w:w="8929" w:type="dxa"/>
        <w:tblLayout w:type="fixed"/>
        <w:tblLook w:val="04A0" w:firstRow="1" w:lastRow="0" w:firstColumn="1" w:lastColumn="0" w:noHBand="0" w:noVBand="1"/>
      </w:tblPr>
      <w:tblGrid>
        <w:gridCol w:w="2263"/>
        <w:gridCol w:w="2410"/>
        <w:gridCol w:w="1985"/>
        <w:gridCol w:w="2271"/>
      </w:tblGrid>
      <w:tr w:rsidR="006B113F" w14:paraId="068FDE63" w14:textId="77777777" w:rsidTr="006B113F">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263" w:type="dxa"/>
            <w:noWrap/>
          </w:tcPr>
          <w:p w14:paraId="2933D1A6" w14:textId="77777777" w:rsidR="006B113F" w:rsidRDefault="00000000">
            <w:pPr>
              <w:rPr>
                <w:rFonts w:asciiTheme="minorHAnsi" w:hAnsiTheme="minorHAnsi" w:cstheme="minorHAnsi"/>
                <w:color w:val="000000"/>
                <w:lang w:eastAsia="en-IE"/>
              </w:rPr>
            </w:pPr>
            <w:r>
              <w:rPr>
                <w:rFonts w:asciiTheme="minorHAnsi" w:hAnsiTheme="minorHAnsi" w:cstheme="minorHAnsi"/>
                <w:color w:val="000000"/>
                <w:lang w:eastAsia="en-IE"/>
              </w:rPr>
              <w:t>Teaching contribution (</w:t>
            </w:r>
            <w:r>
              <w:rPr>
                <w:rFonts w:asciiTheme="minorHAnsi" w:hAnsiTheme="minorHAnsi" w:cstheme="minorHAnsi"/>
                <w:lang w:val="en-GB"/>
              </w:rPr>
              <w:t>Factor B</w:t>
            </w:r>
            <w:r>
              <w:rPr>
                <w:rFonts w:asciiTheme="minorHAnsi" w:hAnsiTheme="minorHAnsi" w:cstheme="minorHAnsi"/>
                <w:color w:val="000000"/>
                <w:lang w:eastAsia="en-IE"/>
              </w:rPr>
              <w:t>), measured by ECTS equivalent</w:t>
            </w:r>
          </w:p>
        </w:tc>
        <w:tc>
          <w:tcPr>
            <w:tcW w:w="2410" w:type="dxa"/>
            <w:noWrap/>
          </w:tcPr>
          <w:p w14:paraId="43FE9DED"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First Year of cohort</w:t>
            </w:r>
          </w:p>
        </w:tc>
        <w:tc>
          <w:tcPr>
            <w:tcW w:w="1985" w:type="dxa"/>
            <w:noWrap/>
          </w:tcPr>
          <w:p w14:paraId="19FD7806"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Subsequent Years (2 cohorts)</w:t>
            </w:r>
          </w:p>
        </w:tc>
        <w:tc>
          <w:tcPr>
            <w:tcW w:w="2271" w:type="dxa"/>
          </w:tcPr>
          <w:p w14:paraId="2BF23960"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Second  Year of cohort</w:t>
            </w:r>
          </w:p>
        </w:tc>
      </w:tr>
      <w:tr w:rsidR="006B113F" w14:paraId="7073B18F" w14:textId="77777777" w:rsidTr="006B113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58532C84"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EUR</w:t>
            </w:r>
          </w:p>
        </w:tc>
        <w:tc>
          <w:tcPr>
            <w:tcW w:w="2410" w:type="dxa"/>
          </w:tcPr>
          <w:p w14:paraId="09DFB8C5"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15.57</w:t>
            </w:r>
          </w:p>
        </w:tc>
        <w:tc>
          <w:tcPr>
            <w:tcW w:w="1985" w:type="dxa"/>
            <w:noWrap/>
          </w:tcPr>
          <w:p w14:paraId="66C017DC"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47.57</w:t>
            </w:r>
          </w:p>
        </w:tc>
        <w:tc>
          <w:tcPr>
            <w:tcW w:w="2271" w:type="dxa"/>
            <w:vAlign w:val="center"/>
          </w:tcPr>
          <w:p w14:paraId="726038E6"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32.00</w:t>
            </w:r>
          </w:p>
        </w:tc>
      </w:tr>
      <w:tr w:rsidR="006B113F" w14:paraId="0752C084" w14:textId="77777777" w:rsidTr="006B113F">
        <w:trPr>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216FAB45"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KU</w:t>
            </w:r>
          </w:p>
        </w:tc>
        <w:tc>
          <w:tcPr>
            <w:tcW w:w="2410" w:type="dxa"/>
          </w:tcPr>
          <w:p w14:paraId="540A345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15.57</w:t>
            </w:r>
          </w:p>
        </w:tc>
        <w:tc>
          <w:tcPr>
            <w:tcW w:w="1985" w:type="dxa"/>
            <w:noWrap/>
          </w:tcPr>
          <w:p w14:paraId="2686788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47.14</w:t>
            </w:r>
          </w:p>
        </w:tc>
        <w:tc>
          <w:tcPr>
            <w:tcW w:w="2271" w:type="dxa"/>
            <w:vAlign w:val="center"/>
          </w:tcPr>
          <w:p w14:paraId="0FCB5A4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31.57</w:t>
            </w:r>
          </w:p>
        </w:tc>
      </w:tr>
      <w:tr w:rsidR="006B113F" w14:paraId="56106FBB" w14:textId="77777777" w:rsidTr="006B113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0CB04B5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RUB</w:t>
            </w:r>
          </w:p>
        </w:tc>
        <w:tc>
          <w:tcPr>
            <w:tcW w:w="2410" w:type="dxa"/>
          </w:tcPr>
          <w:p w14:paraId="62462137"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36.00</w:t>
            </w:r>
          </w:p>
        </w:tc>
        <w:tc>
          <w:tcPr>
            <w:tcW w:w="1985" w:type="dxa"/>
            <w:noWrap/>
          </w:tcPr>
          <w:p w14:paraId="37751D10"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67.57</w:t>
            </w:r>
          </w:p>
        </w:tc>
        <w:tc>
          <w:tcPr>
            <w:tcW w:w="2271" w:type="dxa"/>
            <w:vAlign w:val="center"/>
          </w:tcPr>
          <w:p w14:paraId="22E8BFBD"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31.57</w:t>
            </w:r>
          </w:p>
        </w:tc>
      </w:tr>
      <w:tr w:rsidR="006B113F" w14:paraId="53B3FE2C" w14:textId="77777777" w:rsidTr="006B113F">
        <w:trPr>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4F9B2A0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UCC</w:t>
            </w:r>
          </w:p>
        </w:tc>
        <w:tc>
          <w:tcPr>
            <w:tcW w:w="2410" w:type="dxa"/>
          </w:tcPr>
          <w:p w14:paraId="0EA756B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38.57</w:t>
            </w:r>
          </w:p>
        </w:tc>
        <w:tc>
          <w:tcPr>
            <w:tcW w:w="1985" w:type="dxa"/>
            <w:noWrap/>
          </w:tcPr>
          <w:p w14:paraId="44B73321"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87.14</w:t>
            </w:r>
          </w:p>
        </w:tc>
        <w:tc>
          <w:tcPr>
            <w:tcW w:w="2271" w:type="dxa"/>
            <w:vAlign w:val="center"/>
          </w:tcPr>
          <w:p w14:paraId="433141B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48.57</w:t>
            </w:r>
          </w:p>
        </w:tc>
      </w:tr>
      <w:tr w:rsidR="006B113F" w14:paraId="289C1B9B" w14:textId="77777777" w:rsidTr="006B113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3B2ACA42"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UDeusto</w:t>
            </w:r>
          </w:p>
        </w:tc>
        <w:tc>
          <w:tcPr>
            <w:tcW w:w="2410" w:type="dxa"/>
          </w:tcPr>
          <w:p w14:paraId="739E0B8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5.57</w:t>
            </w:r>
          </w:p>
        </w:tc>
        <w:tc>
          <w:tcPr>
            <w:tcW w:w="1985" w:type="dxa"/>
            <w:noWrap/>
          </w:tcPr>
          <w:p w14:paraId="112C69A6"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37.14</w:t>
            </w:r>
          </w:p>
        </w:tc>
        <w:tc>
          <w:tcPr>
            <w:tcW w:w="2271" w:type="dxa"/>
            <w:vAlign w:val="center"/>
          </w:tcPr>
          <w:p w14:paraId="6FDDBCAD"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31.57</w:t>
            </w:r>
          </w:p>
        </w:tc>
      </w:tr>
      <w:tr w:rsidR="006B113F" w14:paraId="2BFD4A8C" w14:textId="77777777" w:rsidTr="006B113F">
        <w:trPr>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07DBCC60"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ULiège</w:t>
            </w:r>
          </w:p>
        </w:tc>
        <w:tc>
          <w:tcPr>
            <w:tcW w:w="2410" w:type="dxa"/>
          </w:tcPr>
          <w:p w14:paraId="163C21CB"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2.57</w:t>
            </w:r>
          </w:p>
        </w:tc>
        <w:tc>
          <w:tcPr>
            <w:tcW w:w="1985" w:type="dxa"/>
            <w:noWrap/>
          </w:tcPr>
          <w:p w14:paraId="1BE934F3"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49.14</w:t>
            </w:r>
          </w:p>
        </w:tc>
        <w:tc>
          <w:tcPr>
            <w:tcW w:w="2271" w:type="dxa"/>
            <w:vAlign w:val="center"/>
          </w:tcPr>
          <w:p w14:paraId="5CA11DB3"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46.57</w:t>
            </w:r>
          </w:p>
        </w:tc>
      </w:tr>
      <w:tr w:rsidR="006B113F" w14:paraId="1379FDB5" w14:textId="77777777" w:rsidTr="006B113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2F21B3A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UOulu</w:t>
            </w:r>
          </w:p>
        </w:tc>
        <w:tc>
          <w:tcPr>
            <w:tcW w:w="2410" w:type="dxa"/>
          </w:tcPr>
          <w:p w14:paraId="3AF4E80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10.57</w:t>
            </w:r>
          </w:p>
        </w:tc>
        <w:tc>
          <w:tcPr>
            <w:tcW w:w="1985" w:type="dxa"/>
            <w:noWrap/>
          </w:tcPr>
          <w:p w14:paraId="607530E6"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42.14</w:t>
            </w:r>
          </w:p>
        </w:tc>
        <w:tc>
          <w:tcPr>
            <w:tcW w:w="2271" w:type="dxa"/>
            <w:vAlign w:val="center"/>
          </w:tcPr>
          <w:p w14:paraId="0AE1CCC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31.57</w:t>
            </w:r>
          </w:p>
        </w:tc>
      </w:tr>
      <w:tr w:rsidR="006B113F" w14:paraId="32CC2997" w14:textId="77777777" w:rsidTr="006B113F">
        <w:trPr>
          <w:trHeight w:val="281"/>
        </w:trPr>
        <w:tc>
          <w:tcPr>
            <w:cnfStyle w:val="001000000000" w:firstRow="0" w:lastRow="0" w:firstColumn="1" w:lastColumn="0" w:oddVBand="0" w:evenVBand="0" w:oddHBand="0" w:evenHBand="0" w:firstRowFirstColumn="0" w:firstRowLastColumn="0" w:lastRowFirstColumn="0" w:lastRowLastColumn="0"/>
            <w:tcW w:w="2263" w:type="dxa"/>
            <w:noWrap/>
          </w:tcPr>
          <w:p w14:paraId="4A06D58E"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UniZG</w:t>
            </w:r>
          </w:p>
        </w:tc>
        <w:tc>
          <w:tcPr>
            <w:tcW w:w="2410" w:type="dxa"/>
          </w:tcPr>
          <w:p w14:paraId="033B8966"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25.57</w:t>
            </w:r>
          </w:p>
        </w:tc>
        <w:tc>
          <w:tcPr>
            <w:tcW w:w="1985" w:type="dxa"/>
            <w:noWrap/>
          </w:tcPr>
          <w:p w14:paraId="1E12B53F"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57.14</w:t>
            </w:r>
          </w:p>
        </w:tc>
        <w:tc>
          <w:tcPr>
            <w:tcW w:w="2271" w:type="dxa"/>
            <w:vAlign w:val="center"/>
          </w:tcPr>
          <w:p w14:paraId="4EBFE54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31.57</w:t>
            </w:r>
          </w:p>
        </w:tc>
      </w:tr>
      <w:tr w:rsidR="006B113F" w14:paraId="63CD5A52" w14:textId="77777777" w:rsidTr="006B113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noWrap/>
          </w:tcPr>
          <w:p w14:paraId="5D645A4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w:t>
            </w:r>
          </w:p>
        </w:tc>
        <w:tc>
          <w:tcPr>
            <w:tcW w:w="2410" w:type="dxa"/>
            <w:tcBorders>
              <w:bottom w:val="single" w:sz="4" w:space="0" w:color="auto"/>
            </w:tcBorders>
          </w:tcPr>
          <w:p w14:paraId="6DE90AA5"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Pr>
                <w:rFonts w:asciiTheme="minorHAnsi" w:hAnsiTheme="minorHAnsi" w:cstheme="minorHAnsi"/>
                <w:b/>
                <w:bCs/>
                <w:color w:val="000000"/>
                <w:lang w:eastAsia="en-IE"/>
              </w:rPr>
              <w:t>150 ECTS</w:t>
            </w:r>
          </w:p>
        </w:tc>
        <w:tc>
          <w:tcPr>
            <w:tcW w:w="1985" w:type="dxa"/>
            <w:tcBorders>
              <w:bottom w:val="single" w:sz="4" w:space="0" w:color="auto"/>
            </w:tcBorders>
            <w:noWrap/>
          </w:tcPr>
          <w:p w14:paraId="204A518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Pr>
                <w:rFonts w:asciiTheme="minorHAnsi" w:hAnsiTheme="minorHAnsi" w:cstheme="minorHAnsi"/>
                <w:b/>
                <w:bCs/>
                <w:color w:val="000000"/>
                <w:lang w:eastAsia="en-IE"/>
              </w:rPr>
              <w:t>435 ECTS</w:t>
            </w:r>
          </w:p>
        </w:tc>
        <w:tc>
          <w:tcPr>
            <w:tcW w:w="2271" w:type="dxa"/>
            <w:tcBorders>
              <w:bottom w:val="single" w:sz="4" w:space="0" w:color="auto"/>
            </w:tcBorders>
            <w:vAlign w:val="center"/>
          </w:tcPr>
          <w:p w14:paraId="5E259B8D"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Pr>
                <w:rFonts w:asciiTheme="minorHAnsi" w:hAnsiTheme="minorHAnsi" w:cstheme="minorHAnsi"/>
                <w:b/>
                <w:bCs/>
                <w:color w:val="000000"/>
                <w:lang w:eastAsia="en-IE"/>
              </w:rPr>
              <w:t>285 ECTS</w:t>
            </w:r>
          </w:p>
        </w:tc>
      </w:tr>
    </w:tbl>
    <w:p w14:paraId="580EDD6B" w14:textId="77777777" w:rsidR="006B113F" w:rsidRDefault="006B113F">
      <w:pPr>
        <w:spacing w:line="240" w:lineRule="auto"/>
        <w:rPr>
          <w:rFonts w:asciiTheme="minorHAnsi" w:hAnsiTheme="minorHAnsi" w:cstheme="minorHAnsi"/>
          <w:lang w:val="en-IE"/>
        </w:rPr>
      </w:pPr>
    </w:p>
    <w:p w14:paraId="4D5145B6" w14:textId="77777777" w:rsidR="006B113F" w:rsidRDefault="006B113F">
      <w:pPr>
        <w:spacing w:line="240" w:lineRule="auto"/>
        <w:rPr>
          <w:rFonts w:asciiTheme="minorHAnsi" w:hAnsiTheme="minorHAnsi" w:cstheme="minorHAnsi"/>
          <w:lang w:val="en-IE"/>
        </w:rPr>
      </w:pPr>
    </w:p>
    <w:p w14:paraId="41EC29EA" w14:textId="77777777" w:rsidR="006B113F" w:rsidRDefault="00000000">
      <w:pPr>
        <w:spacing w:line="240" w:lineRule="auto"/>
        <w:rPr>
          <w:rFonts w:asciiTheme="minorHAnsi" w:hAnsiTheme="minorHAnsi" w:cstheme="minorHAnsi"/>
          <w:b/>
          <w:bCs/>
          <w:lang w:val="en-GB"/>
        </w:rPr>
      </w:pPr>
      <w:r>
        <w:rPr>
          <w:rFonts w:asciiTheme="minorHAnsi" w:hAnsiTheme="minorHAnsi" w:cstheme="minorHAnsi"/>
          <w:b/>
          <w:bCs/>
          <w:lang w:val="en-GB"/>
        </w:rPr>
        <w:t xml:space="preserve">Factor B: ECTS Reimbursement, using Case 1 </w:t>
      </w:r>
      <w:r>
        <w:rPr>
          <w:rFonts w:asciiTheme="minorHAnsi" w:hAnsiTheme="minorHAnsi" w:cstheme="minorHAnsi"/>
          <w:lang w:val="en-GB" w:eastAsia="en-US"/>
        </w:rPr>
        <w:t>(</w:t>
      </w:r>
      <w:r>
        <w:rPr>
          <w:rFonts w:asciiTheme="minorHAnsi" w:hAnsiTheme="minorHAnsi" w:cstheme="minorHAnsi"/>
          <w:lang w:val="en-GB"/>
        </w:rPr>
        <w:t>52 EU+ and 8 third country students</w:t>
      </w:r>
      <w:r>
        <w:rPr>
          <w:rFonts w:asciiTheme="minorHAnsi" w:hAnsiTheme="minorHAnsi" w:cstheme="minorHAnsi"/>
          <w:lang w:val="en-GB" w:eastAsia="en-US"/>
        </w:rPr>
        <w:t>)</w:t>
      </w:r>
    </w:p>
    <w:tbl>
      <w:tblPr>
        <w:tblStyle w:val="Gitternetztabelle1hell"/>
        <w:tblW w:w="6658" w:type="dxa"/>
        <w:tblLayout w:type="fixed"/>
        <w:tblLook w:val="04A0" w:firstRow="1" w:lastRow="0" w:firstColumn="1" w:lastColumn="0" w:noHBand="0" w:noVBand="1"/>
      </w:tblPr>
      <w:tblGrid>
        <w:gridCol w:w="2220"/>
        <w:gridCol w:w="2219"/>
        <w:gridCol w:w="2219"/>
      </w:tblGrid>
      <w:tr w:rsidR="006B113F" w14:paraId="1BEBC509" w14:textId="77777777" w:rsidTr="006B113F">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220" w:type="dxa"/>
            <w:noWrap/>
          </w:tcPr>
          <w:p w14:paraId="1C10C4D6" w14:textId="77777777" w:rsidR="006B113F" w:rsidRDefault="006B113F">
            <w:pPr>
              <w:rPr>
                <w:rFonts w:asciiTheme="minorHAnsi" w:hAnsiTheme="minorHAnsi" w:cstheme="minorHAnsi"/>
                <w:color w:val="000000"/>
                <w:lang w:eastAsia="en-IE"/>
              </w:rPr>
            </w:pPr>
          </w:p>
        </w:tc>
        <w:tc>
          <w:tcPr>
            <w:tcW w:w="2219" w:type="dxa"/>
            <w:noWrap/>
          </w:tcPr>
          <w:p w14:paraId="4A5BFC84"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First Year of cohort</w:t>
            </w:r>
          </w:p>
        </w:tc>
        <w:tc>
          <w:tcPr>
            <w:tcW w:w="2219" w:type="dxa"/>
            <w:noWrap/>
          </w:tcPr>
          <w:p w14:paraId="45F32553"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Subsequent Years (2 cohorts)</w:t>
            </w:r>
          </w:p>
        </w:tc>
      </w:tr>
      <w:tr w:rsidR="006B113F" w14:paraId="6AF4E5A8"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3EF2A29E"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EUR</w:t>
            </w:r>
          </w:p>
        </w:tc>
        <w:tc>
          <w:tcPr>
            <w:tcW w:w="2219" w:type="dxa"/>
            <w:vAlign w:val="center"/>
          </w:tcPr>
          <w:p w14:paraId="7D5551A6"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€ 17,750.98</w:t>
            </w:r>
          </w:p>
        </w:tc>
        <w:tc>
          <w:tcPr>
            <w:tcW w:w="2219" w:type="dxa"/>
            <w:noWrap/>
            <w:vAlign w:val="center"/>
          </w:tcPr>
          <w:p w14:paraId="4D2A4DB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€ 43,272.34</w:t>
            </w:r>
          </w:p>
        </w:tc>
      </w:tr>
      <w:tr w:rsidR="006B113F" w14:paraId="51CE7998"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501B5F5B"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KU</w:t>
            </w:r>
          </w:p>
        </w:tc>
        <w:tc>
          <w:tcPr>
            <w:tcW w:w="2219" w:type="dxa"/>
            <w:vAlign w:val="center"/>
          </w:tcPr>
          <w:p w14:paraId="452613A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€ 17,750.98</w:t>
            </w:r>
          </w:p>
        </w:tc>
        <w:tc>
          <w:tcPr>
            <w:tcW w:w="2219" w:type="dxa"/>
            <w:noWrap/>
            <w:vAlign w:val="center"/>
          </w:tcPr>
          <w:p w14:paraId="60CDCA1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€ 42,970.19</w:t>
            </w:r>
          </w:p>
        </w:tc>
      </w:tr>
      <w:tr w:rsidR="006B113F" w14:paraId="745AEE5A"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791BA09F"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RUB</w:t>
            </w:r>
          </w:p>
        </w:tc>
        <w:tc>
          <w:tcPr>
            <w:tcW w:w="2219" w:type="dxa"/>
            <w:vAlign w:val="center"/>
          </w:tcPr>
          <w:p w14:paraId="33EDDCE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€ 41,042.74</w:t>
            </w:r>
          </w:p>
        </w:tc>
        <w:tc>
          <w:tcPr>
            <w:tcW w:w="2219" w:type="dxa"/>
            <w:noWrap/>
            <w:vAlign w:val="center"/>
          </w:tcPr>
          <w:p w14:paraId="473FC44F"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€ 70,246.06</w:t>
            </w:r>
          </w:p>
        </w:tc>
      </w:tr>
      <w:tr w:rsidR="006B113F" w14:paraId="49510897"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5F76E2DD"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UCC</w:t>
            </w:r>
          </w:p>
        </w:tc>
        <w:tc>
          <w:tcPr>
            <w:tcW w:w="2219" w:type="dxa"/>
            <w:vAlign w:val="center"/>
          </w:tcPr>
          <w:p w14:paraId="6EEA0EF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€ 43,972.73</w:t>
            </w:r>
          </w:p>
        </w:tc>
        <w:tc>
          <w:tcPr>
            <w:tcW w:w="2219" w:type="dxa"/>
            <w:noWrap/>
            <w:vAlign w:val="center"/>
          </w:tcPr>
          <w:p w14:paraId="244D6CBB"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€ 85,622.40</w:t>
            </w:r>
          </w:p>
        </w:tc>
      </w:tr>
      <w:tr w:rsidR="006B113F" w14:paraId="68A146E2"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44C36DB5"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UDeusto</w:t>
            </w:r>
          </w:p>
        </w:tc>
        <w:tc>
          <w:tcPr>
            <w:tcW w:w="2219" w:type="dxa"/>
            <w:vAlign w:val="center"/>
          </w:tcPr>
          <w:p w14:paraId="1854A55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€ 6,350.22</w:t>
            </w:r>
          </w:p>
        </w:tc>
        <w:tc>
          <w:tcPr>
            <w:tcW w:w="2219" w:type="dxa"/>
            <w:noWrap/>
            <w:vAlign w:val="center"/>
          </w:tcPr>
          <w:p w14:paraId="02574290"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€ 29,619.30</w:t>
            </w:r>
          </w:p>
        </w:tc>
      </w:tr>
      <w:tr w:rsidR="006B113F" w14:paraId="7CDD7C22"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0E292B44"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ULiège</w:t>
            </w:r>
          </w:p>
        </w:tc>
        <w:tc>
          <w:tcPr>
            <w:tcW w:w="2219" w:type="dxa"/>
            <w:vAlign w:val="center"/>
          </w:tcPr>
          <w:p w14:paraId="5C6D8E0B"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€ 2,930.00</w:t>
            </w:r>
          </w:p>
        </w:tc>
        <w:tc>
          <w:tcPr>
            <w:tcW w:w="2219" w:type="dxa"/>
            <w:noWrap/>
            <w:vAlign w:val="center"/>
          </w:tcPr>
          <w:p w14:paraId="71EF1AA1"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€ 36,153.88</w:t>
            </w:r>
          </w:p>
        </w:tc>
      </w:tr>
      <w:tr w:rsidR="006B113F" w14:paraId="27A0186F"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57F0290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UOulu</w:t>
            </w:r>
          </w:p>
        </w:tc>
        <w:tc>
          <w:tcPr>
            <w:tcW w:w="2219" w:type="dxa"/>
            <w:vAlign w:val="center"/>
          </w:tcPr>
          <w:p w14:paraId="3363A59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€ 12,050.60</w:t>
            </w:r>
          </w:p>
        </w:tc>
        <w:tc>
          <w:tcPr>
            <w:tcW w:w="2219" w:type="dxa"/>
            <w:noWrap/>
            <w:vAlign w:val="center"/>
          </w:tcPr>
          <w:p w14:paraId="10D3C7AE"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€ 36,294.75</w:t>
            </w:r>
          </w:p>
        </w:tc>
      </w:tr>
      <w:tr w:rsidR="006B113F" w14:paraId="43AC4698"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tcBorders>
              <w:bottom w:val="single" w:sz="4" w:space="0" w:color="auto"/>
            </w:tcBorders>
            <w:noWrap/>
          </w:tcPr>
          <w:p w14:paraId="43D612F8"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UniZG</w:t>
            </w:r>
          </w:p>
        </w:tc>
        <w:tc>
          <w:tcPr>
            <w:tcW w:w="2219" w:type="dxa"/>
            <w:tcBorders>
              <w:bottom w:val="single" w:sz="4" w:space="0" w:color="auto"/>
            </w:tcBorders>
            <w:vAlign w:val="center"/>
          </w:tcPr>
          <w:p w14:paraId="06A29A3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xml:space="preserve">€ </w:t>
            </w:r>
            <w:r>
              <w:rPr>
                <w:rFonts w:ascii="Calibri" w:eastAsia="Calibri" w:hAnsi="Calibri" w:cs="Calibri"/>
                <w:color w:val="000000"/>
              </w:rPr>
              <w:t>29,151.74€</w:t>
            </w:r>
          </w:p>
        </w:tc>
        <w:tc>
          <w:tcPr>
            <w:tcW w:w="2219" w:type="dxa"/>
            <w:tcBorders>
              <w:bottom w:val="single" w:sz="4" w:space="0" w:color="auto"/>
            </w:tcBorders>
            <w:noWrap/>
            <w:vAlign w:val="center"/>
          </w:tcPr>
          <w:p w14:paraId="2703464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€ 56,321.08</w:t>
            </w:r>
          </w:p>
        </w:tc>
      </w:tr>
      <w:tr w:rsidR="006B113F" w14:paraId="6F7B2DEA" w14:textId="77777777" w:rsidTr="006B1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uto"/>
            </w:tcBorders>
            <w:noWrap/>
          </w:tcPr>
          <w:p w14:paraId="431D1A86"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 (rounded)</w:t>
            </w:r>
          </w:p>
        </w:tc>
        <w:tc>
          <w:tcPr>
            <w:tcW w:w="2219" w:type="dxa"/>
            <w:tcBorders>
              <w:top w:val="single" w:sz="4" w:space="0" w:color="auto"/>
            </w:tcBorders>
            <w:vAlign w:val="center"/>
          </w:tcPr>
          <w:p w14:paraId="4E8F5055"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Calibri" w:hAnsi="Calibri" w:cs="Calibri"/>
                <w:b/>
                <w:bCs/>
                <w:color w:val="000000"/>
              </w:rPr>
              <w:t>€ 171,000.00</w:t>
            </w:r>
          </w:p>
        </w:tc>
        <w:tc>
          <w:tcPr>
            <w:tcW w:w="2219" w:type="dxa"/>
            <w:tcBorders>
              <w:top w:val="single" w:sz="4" w:space="0" w:color="auto"/>
            </w:tcBorders>
            <w:vAlign w:val="center"/>
          </w:tcPr>
          <w:p w14:paraId="6B09BBEC"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Calibri" w:hAnsi="Calibri" w:cs="Calibri"/>
                <w:b/>
                <w:bCs/>
                <w:color w:val="000000"/>
              </w:rPr>
              <w:t>€ 400,500.00</w:t>
            </w:r>
          </w:p>
        </w:tc>
      </w:tr>
    </w:tbl>
    <w:p w14:paraId="639D5A79" w14:textId="77777777" w:rsidR="006B113F" w:rsidRDefault="006B113F">
      <w:pPr>
        <w:spacing w:line="240" w:lineRule="auto"/>
        <w:rPr>
          <w:lang w:val="en-GB"/>
        </w:rPr>
      </w:pPr>
    </w:p>
    <w:p w14:paraId="26A4C686" w14:textId="77777777" w:rsidR="006B113F" w:rsidRDefault="00000000">
      <w:pPr>
        <w:rPr>
          <w:rFonts w:asciiTheme="minorHAnsi" w:hAnsiTheme="minorHAnsi" w:cstheme="minorHAnsi"/>
          <w:b/>
          <w:bCs/>
          <w:lang w:val="en-GB"/>
        </w:rPr>
      </w:pPr>
      <w:r>
        <w:rPr>
          <w:rFonts w:asciiTheme="minorHAnsi" w:hAnsiTheme="minorHAnsi" w:cstheme="minorHAnsi"/>
          <w:b/>
          <w:bCs/>
          <w:lang w:val="en-GB"/>
        </w:rPr>
        <w:br w:type="page" w:clear="all"/>
      </w:r>
    </w:p>
    <w:p w14:paraId="1A60D21B" w14:textId="77777777" w:rsidR="006B113F" w:rsidRDefault="00000000">
      <w:pPr>
        <w:spacing w:line="240" w:lineRule="auto"/>
        <w:rPr>
          <w:rFonts w:asciiTheme="minorHAnsi" w:hAnsiTheme="minorHAnsi" w:cstheme="minorHAnsi"/>
          <w:b/>
          <w:bCs/>
          <w:lang w:val="en-GB"/>
        </w:rPr>
      </w:pPr>
      <w:r>
        <w:rPr>
          <w:rFonts w:asciiTheme="minorHAnsi" w:hAnsiTheme="minorHAnsi" w:cstheme="minorHAnsi"/>
          <w:b/>
          <w:bCs/>
          <w:lang w:val="en-GB"/>
        </w:rPr>
        <w:lastRenderedPageBreak/>
        <w:t xml:space="preserve">Factor B: ECTS Reimbursement, using Case 2 </w:t>
      </w:r>
      <w:r>
        <w:rPr>
          <w:rFonts w:asciiTheme="minorHAnsi" w:hAnsiTheme="minorHAnsi" w:cstheme="minorHAnsi"/>
          <w:lang w:val="en-GB" w:eastAsia="en-US"/>
        </w:rPr>
        <w:t>(30</w:t>
      </w:r>
      <w:r>
        <w:rPr>
          <w:rFonts w:asciiTheme="minorHAnsi" w:hAnsiTheme="minorHAnsi" w:cstheme="minorHAnsi"/>
          <w:lang w:val="en-GB"/>
        </w:rPr>
        <w:t xml:space="preserve"> EU+ and 30 third country students</w:t>
      </w:r>
      <w:r>
        <w:rPr>
          <w:rFonts w:asciiTheme="minorHAnsi" w:hAnsiTheme="minorHAnsi" w:cstheme="minorHAnsi"/>
          <w:lang w:val="en-GB" w:eastAsia="en-US"/>
        </w:rPr>
        <w:t>)</w:t>
      </w:r>
    </w:p>
    <w:tbl>
      <w:tblPr>
        <w:tblStyle w:val="Gitternetztabelle1hell"/>
        <w:tblW w:w="6658" w:type="dxa"/>
        <w:tblLayout w:type="fixed"/>
        <w:tblLook w:val="04A0" w:firstRow="1" w:lastRow="0" w:firstColumn="1" w:lastColumn="0" w:noHBand="0" w:noVBand="1"/>
      </w:tblPr>
      <w:tblGrid>
        <w:gridCol w:w="2220"/>
        <w:gridCol w:w="2219"/>
        <w:gridCol w:w="2219"/>
      </w:tblGrid>
      <w:tr w:rsidR="006B113F" w14:paraId="53ECE9FD" w14:textId="77777777" w:rsidTr="006B113F">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220" w:type="dxa"/>
            <w:noWrap/>
          </w:tcPr>
          <w:p w14:paraId="0F691DF8" w14:textId="77777777" w:rsidR="006B113F" w:rsidRDefault="006B113F">
            <w:pPr>
              <w:rPr>
                <w:rFonts w:asciiTheme="minorHAnsi" w:hAnsiTheme="minorHAnsi" w:cstheme="minorHAnsi"/>
                <w:color w:val="000000"/>
                <w:lang w:eastAsia="en-IE"/>
              </w:rPr>
            </w:pPr>
          </w:p>
        </w:tc>
        <w:tc>
          <w:tcPr>
            <w:tcW w:w="2219" w:type="dxa"/>
            <w:noWrap/>
          </w:tcPr>
          <w:p w14:paraId="4EAF637F"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First Year of cohort</w:t>
            </w:r>
          </w:p>
        </w:tc>
        <w:tc>
          <w:tcPr>
            <w:tcW w:w="2219" w:type="dxa"/>
            <w:noWrap/>
          </w:tcPr>
          <w:p w14:paraId="3988E604"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Subsequent Years (2 cohorts)</w:t>
            </w:r>
          </w:p>
        </w:tc>
      </w:tr>
      <w:tr w:rsidR="006B113F" w14:paraId="49D1E62C"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42D97423"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EUR</w:t>
            </w:r>
          </w:p>
        </w:tc>
        <w:tc>
          <w:tcPr>
            <w:tcW w:w="2219" w:type="dxa"/>
            <w:vAlign w:val="center"/>
          </w:tcPr>
          <w:p w14:paraId="2B494BC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€ 25,458.65</w:t>
            </w:r>
          </w:p>
        </w:tc>
        <w:tc>
          <w:tcPr>
            <w:tcW w:w="2219" w:type="dxa"/>
            <w:noWrap/>
            <w:vAlign w:val="center"/>
          </w:tcPr>
          <w:p w14:paraId="35EC6B0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€ 59,317.13</w:t>
            </w:r>
          </w:p>
        </w:tc>
      </w:tr>
      <w:tr w:rsidR="006B113F" w14:paraId="1E67B178"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1477F38A"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KU</w:t>
            </w:r>
          </w:p>
        </w:tc>
        <w:tc>
          <w:tcPr>
            <w:tcW w:w="2219" w:type="dxa"/>
            <w:vAlign w:val="center"/>
          </w:tcPr>
          <w:p w14:paraId="58C6A88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€ 25,458.65</w:t>
            </w:r>
          </w:p>
        </w:tc>
        <w:tc>
          <w:tcPr>
            <w:tcW w:w="2219" w:type="dxa"/>
            <w:noWrap/>
            <w:vAlign w:val="center"/>
          </w:tcPr>
          <w:p w14:paraId="583C5A79"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€ 58,902.96</w:t>
            </w:r>
          </w:p>
        </w:tc>
      </w:tr>
      <w:tr w:rsidR="006B113F" w14:paraId="2E2F7F54"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0B101673"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RUB</w:t>
            </w:r>
          </w:p>
        </w:tc>
        <w:tc>
          <w:tcPr>
            <w:tcW w:w="2219" w:type="dxa"/>
            <w:vAlign w:val="center"/>
          </w:tcPr>
          <w:p w14:paraId="0339E2B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€ 58,863.92</w:t>
            </w:r>
          </w:p>
        </w:tc>
        <w:tc>
          <w:tcPr>
            <w:tcW w:w="2219" w:type="dxa"/>
            <w:noWrap/>
            <w:vAlign w:val="center"/>
          </w:tcPr>
          <w:p w14:paraId="5EBA5A85"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€ 96,292.35</w:t>
            </w:r>
          </w:p>
        </w:tc>
      </w:tr>
      <w:tr w:rsidR="006B113F" w14:paraId="461E3BEF"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6F349048"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UCC</w:t>
            </w:r>
          </w:p>
        </w:tc>
        <w:tc>
          <w:tcPr>
            <w:tcW w:w="2219" w:type="dxa"/>
            <w:vAlign w:val="center"/>
          </w:tcPr>
          <w:p w14:paraId="4E90010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€ 63,066.15</w:t>
            </w:r>
          </w:p>
        </w:tc>
        <w:tc>
          <w:tcPr>
            <w:tcW w:w="2219" w:type="dxa"/>
            <w:noWrap/>
            <w:vAlign w:val="center"/>
          </w:tcPr>
          <w:p w14:paraId="058478E2"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€ 117,370.03</w:t>
            </w:r>
          </w:p>
        </w:tc>
      </w:tr>
      <w:tr w:rsidR="006B113F" w14:paraId="361CE9EE"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10EE24C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UDeusto</w:t>
            </w:r>
          </w:p>
        </w:tc>
        <w:tc>
          <w:tcPr>
            <w:tcW w:w="2219" w:type="dxa"/>
            <w:vAlign w:val="center"/>
          </w:tcPr>
          <w:p w14:paraId="1B04CD4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€ 9,107.56</w:t>
            </w:r>
          </w:p>
        </w:tc>
        <w:tc>
          <w:tcPr>
            <w:tcW w:w="2219" w:type="dxa"/>
            <w:noWrap/>
            <w:vAlign w:val="center"/>
          </w:tcPr>
          <w:p w14:paraId="22446D2C"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€ 40,601.74</w:t>
            </w:r>
          </w:p>
        </w:tc>
      </w:tr>
      <w:tr w:rsidR="006B113F" w14:paraId="2B73B6F9"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0E472B1A"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ULiège</w:t>
            </w:r>
          </w:p>
        </w:tc>
        <w:tc>
          <w:tcPr>
            <w:tcW w:w="2219" w:type="dxa"/>
            <w:vAlign w:val="center"/>
          </w:tcPr>
          <w:p w14:paraId="5B4D3D8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€ 4,202.23</w:t>
            </w:r>
          </w:p>
        </w:tc>
        <w:tc>
          <w:tcPr>
            <w:tcW w:w="2219" w:type="dxa"/>
            <w:noWrap/>
            <w:vAlign w:val="center"/>
          </w:tcPr>
          <w:p w14:paraId="3D3EC0B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€ 49,559.25</w:t>
            </w:r>
          </w:p>
        </w:tc>
      </w:tr>
      <w:tr w:rsidR="006B113F" w14:paraId="007D89E2"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113F326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UOulu</w:t>
            </w:r>
          </w:p>
        </w:tc>
        <w:tc>
          <w:tcPr>
            <w:tcW w:w="2219" w:type="dxa"/>
            <w:vAlign w:val="center"/>
          </w:tcPr>
          <w:p w14:paraId="407E030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€ 17,283.10</w:t>
            </w:r>
          </w:p>
        </w:tc>
        <w:tc>
          <w:tcPr>
            <w:tcW w:w="2219" w:type="dxa"/>
            <w:noWrap/>
            <w:vAlign w:val="center"/>
          </w:tcPr>
          <w:p w14:paraId="3D47A479"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€ 49,752.35</w:t>
            </w:r>
          </w:p>
        </w:tc>
      </w:tr>
      <w:tr w:rsidR="006B113F" w14:paraId="0149FE2F"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tcBorders>
              <w:bottom w:val="single" w:sz="4" w:space="0" w:color="auto"/>
            </w:tcBorders>
            <w:noWrap/>
          </w:tcPr>
          <w:p w14:paraId="6B1F40FF"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UniZG</w:t>
            </w:r>
          </w:p>
        </w:tc>
        <w:tc>
          <w:tcPr>
            <w:tcW w:w="2219" w:type="dxa"/>
            <w:tcBorders>
              <w:bottom w:val="single" w:sz="4" w:space="0" w:color="auto"/>
            </w:tcBorders>
            <w:vAlign w:val="center"/>
          </w:tcPr>
          <w:p w14:paraId="290D62B0"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€ 41,809.74</w:t>
            </w:r>
          </w:p>
        </w:tc>
        <w:tc>
          <w:tcPr>
            <w:tcW w:w="2219" w:type="dxa"/>
            <w:tcBorders>
              <w:bottom w:val="single" w:sz="4" w:space="0" w:color="auto"/>
            </w:tcBorders>
            <w:noWrap/>
            <w:vAlign w:val="center"/>
          </w:tcPr>
          <w:p w14:paraId="018FB61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€ 77,204.18</w:t>
            </w:r>
          </w:p>
        </w:tc>
      </w:tr>
      <w:tr w:rsidR="006B113F" w14:paraId="04E1AF36" w14:textId="77777777" w:rsidTr="006B1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uto"/>
            </w:tcBorders>
            <w:noWrap/>
          </w:tcPr>
          <w:p w14:paraId="0EA8F26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 (rounded)</w:t>
            </w:r>
          </w:p>
        </w:tc>
        <w:tc>
          <w:tcPr>
            <w:tcW w:w="2219" w:type="dxa"/>
            <w:tcBorders>
              <w:top w:val="single" w:sz="4" w:space="0" w:color="auto"/>
            </w:tcBorders>
            <w:vAlign w:val="center"/>
          </w:tcPr>
          <w:p w14:paraId="0268D1B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Calibri" w:hAnsi="Calibri" w:cs="Calibri"/>
                <w:color w:val="000000"/>
              </w:rPr>
              <w:t>€ 245,250.00</w:t>
            </w:r>
          </w:p>
        </w:tc>
        <w:tc>
          <w:tcPr>
            <w:tcW w:w="2219" w:type="dxa"/>
            <w:tcBorders>
              <w:top w:val="single" w:sz="4" w:space="0" w:color="auto"/>
            </w:tcBorders>
            <w:vAlign w:val="center"/>
          </w:tcPr>
          <w:p w14:paraId="0A414431"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E"/>
              </w:rPr>
            </w:pPr>
            <w:r>
              <w:rPr>
                <w:rFonts w:ascii="Calibri" w:hAnsi="Calibri" w:cs="Calibri"/>
                <w:color w:val="000000"/>
              </w:rPr>
              <w:t>€ 549,000.00</w:t>
            </w:r>
          </w:p>
        </w:tc>
      </w:tr>
    </w:tbl>
    <w:p w14:paraId="610B5B32" w14:textId="77777777" w:rsidR="006B113F" w:rsidRDefault="006B113F">
      <w:pPr>
        <w:spacing w:line="240" w:lineRule="auto"/>
        <w:rPr>
          <w:rFonts w:asciiTheme="minorHAnsi" w:hAnsiTheme="minorHAnsi" w:cstheme="minorHAnsi"/>
          <w:b/>
          <w:bCs/>
          <w:lang w:val="en-GB"/>
        </w:rPr>
      </w:pPr>
    </w:p>
    <w:p w14:paraId="0BB68964" w14:textId="77777777" w:rsidR="006B113F" w:rsidRDefault="006B113F">
      <w:pPr>
        <w:spacing w:line="240" w:lineRule="auto"/>
        <w:rPr>
          <w:rFonts w:asciiTheme="minorHAnsi" w:hAnsiTheme="minorHAnsi" w:cstheme="minorHAnsi"/>
          <w:b/>
          <w:bCs/>
          <w:lang w:val="en-GB"/>
        </w:rPr>
      </w:pPr>
    </w:p>
    <w:p w14:paraId="74C16BA9" w14:textId="77777777" w:rsidR="006B113F" w:rsidRDefault="00000000">
      <w:pPr>
        <w:spacing w:line="240" w:lineRule="auto"/>
        <w:rPr>
          <w:rFonts w:asciiTheme="minorHAnsi" w:hAnsiTheme="minorHAnsi" w:cstheme="minorHAnsi"/>
          <w:lang w:val="en-GB"/>
        </w:rPr>
      </w:pPr>
      <w:r>
        <w:rPr>
          <w:rFonts w:asciiTheme="minorHAnsi" w:hAnsiTheme="minorHAnsi" w:cstheme="minorHAnsi"/>
          <w:b/>
          <w:bCs/>
          <w:lang w:val="en-GB"/>
        </w:rPr>
        <w:t xml:space="preserve">Factor A, B &amp; C: Total Distribution of Tuition Fee Income to Partner, </w:t>
      </w:r>
      <w:r>
        <w:rPr>
          <w:rFonts w:asciiTheme="minorHAnsi" w:hAnsiTheme="minorHAnsi" w:cstheme="minorHAnsi"/>
          <w:b/>
          <w:bCs/>
          <w:highlight w:val="white"/>
          <w:lang w:val="en-GB"/>
        </w:rPr>
        <w:t>using Case 1</w:t>
      </w:r>
      <w:r>
        <w:rPr>
          <w:rFonts w:asciiTheme="minorHAnsi" w:hAnsiTheme="minorHAnsi" w:cstheme="minorHAnsi"/>
          <w:b/>
          <w:bCs/>
          <w:lang w:val="en-GB"/>
        </w:rPr>
        <w:t xml:space="preserve"> </w:t>
      </w:r>
      <w:r>
        <w:rPr>
          <w:rFonts w:asciiTheme="minorHAnsi" w:hAnsiTheme="minorHAnsi" w:cstheme="minorHAnsi"/>
          <w:lang w:val="en-GB"/>
        </w:rPr>
        <w:t>(52 EU+ and 8 third country students, cautious / conservative approach)</w:t>
      </w:r>
    </w:p>
    <w:tbl>
      <w:tblPr>
        <w:tblStyle w:val="Gitternetztabelle1hell"/>
        <w:tblW w:w="6658" w:type="dxa"/>
        <w:tblLayout w:type="fixed"/>
        <w:tblLook w:val="04A0" w:firstRow="1" w:lastRow="0" w:firstColumn="1" w:lastColumn="0" w:noHBand="0" w:noVBand="1"/>
      </w:tblPr>
      <w:tblGrid>
        <w:gridCol w:w="2220"/>
        <w:gridCol w:w="2219"/>
        <w:gridCol w:w="2219"/>
      </w:tblGrid>
      <w:tr w:rsidR="006B113F" w14:paraId="705CEA02" w14:textId="77777777" w:rsidTr="006B113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3B4C2449" w14:textId="77777777" w:rsidR="006B113F" w:rsidRDefault="006B113F">
            <w:pPr>
              <w:rPr>
                <w:rFonts w:asciiTheme="minorHAnsi" w:hAnsiTheme="minorHAnsi" w:cstheme="minorHAnsi"/>
                <w:color w:val="000000"/>
                <w:lang w:eastAsia="en-IE"/>
              </w:rPr>
            </w:pPr>
          </w:p>
        </w:tc>
        <w:tc>
          <w:tcPr>
            <w:tcW w:w="2219" w:type="dxa"/>
            <w:noWrap/>
          </w:tcPr>
          <w:p w14:paraId="7318E1F4"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First Year of cohort</w:t>
            </w:r>
          </w:p>
        </w:tc>
        <w:tc>
          <w:tcPr>
            <w:tcW w:w="2219" w:type="dxa"/>
            <w:noWrap/>
          </w:tcPr>
          <w:p w14:paraId="1CA13AE3"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Subsequent Years (2 cohorts)</w:t>
            </w:r>
          </w:p>
        </w:tc>
      </w:tr>
      <w:tr w:rsidR="006B113F" w14:paraId="716A0929"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378A3CDF"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EUR</w:t>
            </w:r>
          </w:p>
        </w:tc>
        <w:tc>
          <w:tcPr>
            <w:tcW w:w="2219" w:type="dxa"/>
            <w:vAlign w:val="center"/>
          </w:tcPr>
          <w:p w14:paraId="4D4E1173"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€ 28,654.73</w:t>
            </w:r>
          </w:p>
        </w:tc>
        <w:tc>
          <w:tcPr>
            <w:tcW w:w="2219" w:type="dxa"/>
            <w:noWrap/>
            <w:vAlign w:val="center"/>
          </w:tcPr>
          <w:p w14:paraId="47004BD5"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€ 68,810.06</w:t>
            </w:r>
          </w:p>
        </w:tc>
      </w:tr>
      <w:tr w:rsidR="006B113F" w14:paraId="780BCEC4"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0BEE617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KU</w:t>
            </w:r>
          </w:p>
        </w:tc>
        <w:tc>
          <w:tcPr>
            <w:tcW w:w="2219" w:type="dxa"/>
            <w:vAlign w:val="center"/>
          </w:tcPr>
          <w:p w14:paraId="531E81A0"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€ 46,908.45</w:t>
            </w:r>
          </w:p>
        </w:tc>
        <w:tc>
          <w:tcPr>
            <w:tcW w:w="2219" w:type="dxa"/>
            <w:noWrap/>
            <w:vAlign w:val="center"/>
          </w:tcPr>
          <w:p w14:paraId="545FBE13"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€ 81,733.73</w:t>
            </w:r>
          </w:p>
        </w:tc>
      </w:tr>
      <w:tr w:rsidR="006B113F" w14:paraId="3CB4CA3F"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78083CA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RUB</w:t>
            </w:r>
          </w:p>
        </w:tc>
        <w:tc>
          <w:tcPr>
            <w:tcW w:w="2219" w:type="dxa"/>
            <w:vAlign w:val="center"/>
          </w:tcPr>
          <w:p w14:paraId="6F0C7BE8"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€ 97,042.74</w:t>
            </w:r>
          </w:p>
        </w:tc>
        <w:tc>
          <w:tcPr>
            <w:tcW w:w="2219" w:type="dxa"/>
            <w:noWrap/>
            <w:vAlign w:val="center"/>
          </w:tcPr>
          <w:p w14:paraId="4CFA6300"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€ 126,246.06</w:t>
            </w:r>
          </w:p>
        </w:tc>
      </w:tr>
      <w:tr w:rsidR="006B113F" w14:paraId="571226A0"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7EBFA528"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UCC</w:t>
            </w:r>
          </w:p>
        </w:tc>
        <w:tc>
          <w:tcPr>
            <w:tcW w:w="2219" w:type="dxa"/>
            <w:vAlign w:val="center"/>
          </w:tcPr>
          <w:p w14:paraId="192FDA4F"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€ 56,444.07</w:t>
            </w:r>
          </w:p>
        </w:tc>
        <w:tc>
          <w:tcPr>
            <w:tcW w:w="2219" w:type="dxa"/>
            <w:noWrap/>
            <w:vAlign w:val="center"/>
          </w:tcPr>
          <w:p w14:paraId="5BD6B60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€ 114,831.59</w:t>
            </w:r>
          </w:p>
        </w:tc>
      </w:tr>
      <w:tr w:rsidR="006B113F" w14:paraId="38338814"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6E609A2B"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UDeusto</w:t>
            </w:r>
          </w:p>
        </w:tc>
        <w:tc>
          <w:tcPr>
            <w:tcW w:w="2219" w:type="dxa"/>
            <w:vAlign w:val="center"/>
          </w:tcPr>
          <w:p w14:paraId="0B075FD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€ 13,941.48</w:t>
            </w:r>
          </w:p>
        </w:tc>
        <w:tc>
          <w:tcPr>
            <w:tcW w:w="2219" w:type="dxa"/>
            <w:noWrap/>
            <w:vAlign w:val="center"/>
          </w:tcPr>
          <w:p w14:paraId="34F50E5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€ 47,398.81</w:t>
            </w:r>
          </w:p>
        </w:tc>
      </w:tr>
      <w:tr w:rsidR="006B113F" w14:paraId="56C6F58D"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2BF83FC2"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ULiège</w:t>
            </w:r>
          </w:p>
        </w:tc>
        <w:tc>
          <w:tcPr>
            <w:tcW w:w="2219" w:type="dxa"/>
            <w:vAlign w:val="center"/>
          </w:tcPr>
          <w:p w14:paraId="6DB2BCCE"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€ 5,646.58</w:t>
            </w:r>
          </w:p>
        </w:tc>
        <w:tc>
          <w:tcPr>
            <w:tcW w:w="2219" w:type="dxa"/>
            <w:noWrap/>
            <w:vAlign w:val="center"/>
          </w:tcPr>
          <w:p w14:paraId="7D02280A"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€ 42,516.40</w:t>
            </w:r>
          </w:p>
        </w:tc>
      </w:tr>
      <w:tr w:rsidR="006B113F" w14:paraId="34B7D894"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29C70E0C"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UOulu</w:t>
            </w:r>
          </w:p>
        </w:tc>
        <w:tc>
          <w:tcPr>
            <w:tcW w:w="2219" w:type="dxa"/>
            <w:vAlign w:val="center"/>
          </w:tcPr>
          <w:p w14:paraId="5472A47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€ 19,099.62</w:t>
            </w:r>
          </w:p>
        </w:tc>
        <w:tc>
          <w:tcPr>
            <w:tcW w:w="2219" w:type="dxa"/>
            <w:noWrap/>
            <w:vAlign w:val="center"/>
          </w:tcPr>
          <w:p w14:paraId="4D1B8B32"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€ 52,804.29</w:t>
            </w:r>
          </w:p>
        </w:tc>
      </w:tr>
      <w:tr w:rsidR="006B113F" w14:paraId="25BDE857"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tcBorders>
              <w:bottom w:val="single" w:sz="4" w:space="0" w:color="auto"/>
            </w:tcBorders>
            <w:noWrap/>
          </w:tcPr>
          <w:p w14:paraId="0BFC7053"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UniZG</w:t>
            </w:r>
          </w:p>
        </w:tc>
        <w:tc>
          <w:tcPr>
            <w:tcW w:w="2219" w:type="dxa"/>
            <w:tcBorders>
              <w:bottom w:val="single" w:sz="4" w:space="0" w:color="auto"/>
            </w:tcBorders>
            <w:vAlign w:val="center"/>
          </w:tcPr>
          <w:p w14:paraId="6E6DC95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€ 38,252.33</w:t>
            </w:r>
          </w:p>
        </w:tc>
        <w:tc>
          <w:tcPr>
            <w:tcW w:w="2219" w:type="dxa"/>
            <w:tcBorders>
              <w:bottom w:val="single" w:sz="4" w:space="0" w:color="auto"/>
            </w:tcBorders>
            <w:noWrap/>
            <w:vAlign w:val="center"/>
          </w:tcPr>
          <w:p w14:paraId="04D2CAE2"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€ 77,659.04</w:t>
            </w:r>
          </w:p>
        </w:tc>
      </w:tr>
      <w:tr w:rsidR="006B113F" w14:paraId="17AA90A5" w14:textId="77777777" w:rsidTr="006B1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uto"/>
            </w:tcBorders>
            <w:noWrap/>
          </w:tcPr>
          <w:p w14:paraId="018719D7"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 (rounded)</w:t>
            </w:r>
          </w:p>
        </w:tc>
        <w:tc>
          <w:tcPr>
            <w:tcW w:w="2219" w:type="dxa"/>
            <w:tcBorders>
              <w:top w:val="single" w:sz="4" w:space="0" w:color="auto"/>
            </w:tcBorders>
            <w:vAlign w:val="center"/>
          </w:tcPr>
          <w:p w14:paraId="36F7047A"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€ 306,000.00</w:t>
            </w:r>
          </w:p>
        </w:tc>
        <w:tc>
          <w:tcPr>
            <w:tcW w:w="2219" w:type="dxa"/>
            <w:tcBorders>
              <w:top w:val="single" w:sz="4" w:space="0" w:color="auto"/>
            </w:tcBorders>
            <w:vAlign w:val="center"/>
          </w:tcPr>
          <w:p w14:paraId="3D739F14"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Pr>
                <w:rFonts w:ascii="Calibri" w:hAnsi="Calibri" w:cs="Calibri"/>
                <w:b/>
                <w:bCs/>
                <w:color w:val="000000"/>
              </w:rPr>
              <w:t>€ 612,000.00</w:t>
            </w:r>
          </w:p>
        </w:tc>
      </w:tr>
    </w:tbl>
    <w:p w14:paraId="057BBD45" w14:textId="77777777" w:rsidR="006B113F" w:rsidRDefault="006B113F">
      <w:pPr>
        <w:spacing w:line="240" w:lineRule="auto"/>
        <w:rPr>
          <w:rFonts w:asciiTheme="minorHAnsi" w:hAnsiTheme="minorHAnsi" w:cstheme="minorHAnsi"/>
          <w:lang w:val="en-GB"/>
        </w:rPr>
      </w:pPr>
    </w:p>
    <w:p w14:paraId="7718C3CC" w14:textId="77777777" w:rsidR="006B113F" w:rsidRDefault="006B113F">
      <w:pPr>
        <w:spacing w:line="240" w:lineRule="auto"/>
        <w:rPr>
          <w:rFonts w:asciiTheme="minorHAnsi" w:hAnsiTheme="minorHAnsi" w:cstheme="minorHAnsi"/>
          <w:lang w:val="en-GB"/>
        </w:rPr>
      </w:pPr>
    </w:p>
    <w:p w14:paraId="0C1C711C" w14:textId="77777777" w:rsidR="006B113F" w:rsidRDefault="00000000">
      <w:pPr>
        <w:spacing w:line="240" w:lineRule="auto"/>
        <w:rPr>
          <w:rFonts w:asciiTheme="minorHAnsi" w:hAnsiTheme="minorHAnsi" w:cstheme="minorHAnsi"/>
          <w:lang w:val="en-GB"/>
        </w:rPr>
      </w:pPr>
      <w:r>
        <w:rPr>
          <w:rFonts w:asciiTheme="minorHAnsi" w:hAnsiTheme="minorHAnsi" w:cstheme="minorHAnsi"/>
          <w:b/>
          <w:bCs/>
          <w:lang w:val="en-GB"/>
        </w:rPr>
        <w:t xml:space="preserve">Factor A &amp; B: Total Distribution of Tuition Fee Income to Partner, </w:t>
      </w:r>
      <w:r>
        <w:rPr>
          <w:rFonts w:asciiTheme="minorHAnsi" w:hAnsiTheme="minorHAnsi" w:cstheme="minorHAnsi"/>
          <w:b/>
          <w:bCs/>
          <w:highlight w:val="white"/>
          <w:lang w:val="en-GB"/>
        </w:rPr>
        <w:t xml:space="preserve">using Case </w:t>
      </w:r>
      <w:r>
        <w:rPr>
          <w:rFonts w:asciiTheme="minorHAnsi" w:hAnsiTheme="minorHAnsi" w:cstheme="minorHAnsi"/>
          <w:b/>
          <w:bCs/>
          <w:lang w:val="en-GB"/>
        </w:rPr>
        <w:t xml:space="preserve">2 </w:t>
      </w:r>
      <w:r>
        <w:rPr>
          <w:rFonts w:asciiTheme="minorHAnsi" w:hAnsiTheme="minorHAnsi" w:cstheme="minorHAnsi"/>
          <w:lang w:val="en-GB"/>
        </w:rPr>
        <w:t>(30 EU+ and 30 third country students)</w:t>
      </w:r>
    </w:p>
    <w:tbl>
      <w:tblPr>
        <w:tblStyle w:val="Gitternetztabelle1hell"/>
        <w:tblW w:w="6658" w:type="dxa"/>
        <w:tblLayout w:type="fixed"/>
        <w:tblLook w:val="04A0" w:firstRow="1" w:lastRow="0" w:firstColumn="1" w:lastColumn="0" w:noHBand="0" w:noVBand="1"/>
      </w:tblPr>
      <w:tblGrid>
        <w:gridCol w:w="2220"/>
        <w:gridCol w:w="2219"/>
        <w:gridCol w:w="2219"/>
      </w:tblGrid>
      <w:tr w:rsidR="006B113F" w14:paraId="78894796" w14:textId="77777777" w:rsidTr="006B113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3A2BE65C" w14:textId="77777777" w:rsidR="006B113F" w:rsidRDefault="006B113F">
            <w:pPr>
              <w:rPr>
                <w:rFonts w:asciiTheme="minorHAnsi" w:hAnsiTheme="minorHAnsi" w:cstheme="minorHAnsi"/>
                <w:color w:val="000000"/>
                <w:lang w:eastAsia="en-IE"/>
              </w:rPr>
            </w:pPr>
          </w:p>
        </w:tc>
        <w:tc>
          <w:tcPr>
            <w:tcW w:w="2219" w:type="dxa"/>
            <w:noWrap/>
          </w:tcPr>
          <w:p w14:paraId="41313130"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First Year of cohort</w:t>
            </w:r>
          </w:p>
        </w:tc>
        <w:tc>
          <w:tcPr>
            <w:tcW w:w="2219" w:type="dxa"/>
            <w:noWrap/>
          </w:tcPr>
          <w:p w14:paraId="1738C925" w14:textId="77777777" w:rsidR="006B113F"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Theme="minorHAnsi" w:hAnsiTheme="minorHAnsi" w:cstheme="minorHAnsi"/>
                <w:color w:val="000000"/>
                <w:lang w:eastAsia="en-IE"/>
              </w:rPr>
              <w:t>Subsequent Years (2 cohorts)</w:t>
            </w:r>
          </w:p>
        </w:tc>
      </w:tr>
      <w:tr w:rsidR="006B113F" w14:paraId="70A7F186"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458C39B5"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EUR</w:t>
            </w:r>
          </w:p>
        </w:tc>
        <w:tc>
          <w:tcPr>
            <w:tcW w:w="2219" w:type="dxa"/>
            <w:vAlign w:val="center"/>
          </w:tcPr>
          <w:p w14:paraId="2F8EA41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€ 41,096.92</w:t>
            </w:r>
          </w:p>
        </w:tc>
        <w:tc>
          <w:tcPr>
            <w:tcW w:w="2219" w:type="dxa"/>
            <w:noWrap/>
            <w:vAlign w:val="center"/>
          </w:tcPr>
          <w:p w14:paraId="0E3A6100"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€ 94,323.91</w:t>
            </w:r>
          </w:p>
        </w:tc>
      </w:tr>
      <w:tr w:rsidR="006B113F" w14:paraId="443F5F56"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75E9882E"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KU</w:t>
            </w:r>
          </w:p>
        </w:tc>
        <w:tc>
          <w:tcPr>
            <w:tcW w:w="2219" w:type="dxa"/>
            <w:vAlign w:val="center"/>
          </w:tcPr>
          <w:p w14:paraId="1B1A3922"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€ 57,723.96</w:t>
            </w:r>
          </w:p>
        </w:tc>
        <w:tc>
          <w:tcPr>
            <w:tcW w:w="2219" w:type="dxa"/>
            <w:noWrap/>
            <w:vAlign w:val="center"/>
          </w:tcPr>
          <w:p w14:paraId="580EA0E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€ 103,882.19</w:t>
            </w:r>
          </w:p>
        </w:tc>
      </w:tr>
      <w:tr w:rsidR="006B113F" w14:paraId="7874C539"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4E394088"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RUB</w:t>
            </w:r>
          </w:p>
        </w:tc>
        <w:tc>
          <w:tcPr>
            <w:tcW w:w="2219" w:type="dxa"/>
            <w:vAlign w:val="center"/>
          </w:tcPr>
          <w:p w14:paraId="056D7687"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€ 114,863.92</w:t>
            </w:r>
          </w:p>
        </w:tc>
        <w:tc>
          <w:tcPr>
            <w:tcW w:w="2219" w:type="dxa"/>
            <w:noWrap/>
            <w:vAlign w:val="center"/>
          </w:tcPr>
          <w:p w14:paraId="5368D9B5"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€ 152,292.35</w:t>
            </w:r>
          </w:p>
        </w:tc>
      </w:tr>
      <w:tr w:rsidR="006B113F" w14:paraId="078D6190"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32BF1F0F"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UCC</w:t>
            </w:r>
          </w:p>
        </w:tc>
        <w:tc>
          <w:tcPr>
            <w:tcW w:w="2219" w:type="dxa"/>
            <w:vAlign w:val="center"/>
          </w:tcPr>
          <w:p w14:paraId="691745F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€ 80,952,69</w:t>
            </w:r>
          </w:p>
        </w:tc>
        <w:tc>
          <w:tcPr>
            <w:tcW w:w="2219" w:type="dxa"/>
            <w:noWrap/>
            <w:vAlign w:val="center"/>
          </w:tcPr>
          <w:p w14:paraId="3CE3BB18"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€ 157,409.60</w:t>
            </w:r>
          </w:p>
        </w:tc>
      </w:tr>
      <w:tr w:rsidR="006B113F" w14:paraId="0E617D72"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55E47C9F"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UDeusto</w:t>
            </w:r>
          </w:p>
        </w:tc>
        <w:tc>
          <w:tcPr>
            <w:tcW w:w="2219" w:type="dxa"/>
            <w:vAlign w:val="center"/>
          </w:tcPr>
          <w:p w14:paraId="398DB927"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€ 19,995.01</w:t>
            </w:r>
          </w:p>
        </w:tc>
        <w:tc>
          <w:tcPr>
            <w:tcW w:w="2219" w:type="dxa"/>
            <w:noWrap/>
            <w:vAlign w:val="center"/>
          </w:tcPr>
          <w:p w14:paraId="0D04DB66"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€ 64,973.66</w:t>
            </w:r>
          </w:p>
        </w:tc>
      </w:tr>
      <w:tr w:rsidR="006B113F" w14:paraId="33FCC75C"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4D164A64"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ULiège</w:t>
            </w:r>
          </w:p>
        </w:tc>
        <w:tc>
          <w:tcPr>
            <w:tcW w:w="2219" w:type="dxa"/>
            <w:vAlign w:val="center"/>
          </w:tcPr>
          <w:p w14:paraId="6B30BF35"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€ 8,098.38</w:t>
            </w:r>
          </w:p>
        </w:tc>
        <w:tc>
          <w:tcPr>
            <w:tcW w:w="2219" w:type="dxa"/>
            <w:noWrap/>
            <w:vAlign w:val="center"/>
          </w:tcPr>
          <w:p w14:paraId="48244F23"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€ 58,280.91</w:t>
            </w:r>
          </w:p>
        </w:tc>
      </w:tr>
      <w:tr w:rsidR="006B113F" w14:paraId="5D2D82F6" w14:textId="77777777" w:rsidTr="006B11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0" w:type="dxa"/>
            <w:noWrap/>
          </w:tcPr>
          <w:p w14:paraId="0378DF81"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UOulu</w:t>
            </w:r>
          </w:p>
        </w:tc>
        <w:tc>
          <w:tcPr>
            <w:tcW w:w="2219" w:type="dxa"/>
            <w:vAlign w:val="center"/>
          </w:tcPr>
          <w:p w14:paraId="4F230B7D"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€ 27,392.88</w:t>
            </w:r>
          </w:p>
        </w:tc>
        <w:tc>
          <w:tcPr>
            <w:tcW w:w="2219" w:type="dxa"/>
            <w:noWrap/>
            <w:vAlign w:val="center"/>
          </w:tcPr>
          <w:p w14:paraId="0E7C9A06"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€ 72,383.41</w:t>
            </w:r>
          </w:p>
        </w:tc>
      </w:tr>
      <w:tr w:rsidR="006B113F" w14:paraId="0DD2540E" w14:textId="77777777" w:rsidTr="006B113F">
        <w:trPr>
          <w:trHeight w:val="290"/>
        </w:trPr>
        <w:tc>
          <w:tcPr>
            <w:cnfStyle w:val="001000000000" w:firstRow="0" w:lastRow="0" w:firstColumn="1" w:lastColumn="0" w:oddVBand="0" w:evenVBand="0" w:oddHBand="0" w:evenHBand="0" w:firstRowFirstColumn="0" w:firstRowLastColumn="0" w:lastRowFirstColumn="0" w:lastRowLastColumn="0"/>
            <w:tcW w:w="2220" w:type="dxa"/>
            <w:tcBorders>
              <w:bottom w:val="single" w:sz="4" w:space="0" w:color="auto"/>
            </w:tcBorders>
            <w:noWrap/>
          </w:tcPr>
          <w:p w14:paraId="36060CB5"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UniZG</w:t>
            </w:r>
          </w:p>
        </w:tc>
        <w:tc>
          <w:tcPr>
            <w:tcW w:w="2219" w:type="dxa"/>
            <w:tcBorders>
              <w:bottom w:val="single" w:sz="4" w:space="0" w:color="auto"/>
            </w:tcBorders>
            <w:vAlign w:val="center"/>
          </w:tcPr>
          <w:p w14:paraId="21224077"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€ 54,876.24</w:t>
            </w:r>
          </w:p>
        </w:tc>
        <w:tc>
          <w:tcPr>
            <w:tcW w:w="2219" w:type="dxa"/>
            <w:tcBorders>
              <w:bottom w:val="single" w:sz="4" w:space="0" w:color="auto"/>
            </w:tcBorders>
            <w:noWrap/>
            <w:vAlign w:val="center"/>
          </w:tcPr>
          <w:p w14:paraId="3A0FDE5C" w14:textId="77777777" w:rsidR="006B113F" w:rsidRDefault="000000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IE"/>
              </w:rPr>
            </w:pPr>
            <w:r>
              <w:rPr>
                <w:rFonts w:ascii="Calibri" w:hAnsi="Calibri" w:cs="Calibri"/>
                <w:color w:val="000000"/>
              </w:rPr>
              <w:t>€ 106,453.96</w:t>
            </w:r>
          </w:p>
        </w:tc>
      </w:tr>
      <w:tr w:rsidR="006B113F" w14:paraId="50D53888" w14:textId="77777777" w:rsidTr="006B1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uto"/>
            </w:tcBorders>
            <w:noWrap/>
          </w:tcPr>
          <w:p w14:paraId="58EF4E63" w14:textId="77777777" w:rsidR="006B113F" w:rsidRDefault="00000000">
            <w:pPr>
              <w:jc w:val="right"/>
              <w:rPr>
                <w:rFonts w:asciiTheme="minorHAnsi" w:hAnsiTheme="minorHAnsi" w:cstheme="minorHAnsi"/>
                <w:color w:val="000000"/>
                <w:lang w:eastAsia="en-IE"/>
              </w:rPr>
            </w:pPr>
            <w:r>
              <w:rPr>
                <w:rFonts w:asciiTheme="minorHAnsi" w:hAnsiTheme="minorHAnsi" w:cstheme="minorHAnsi"/>
                <w:color w:val="000000"/>
                <w:lang w:eastAsia="en-IE"/>
              </w:rPr>
              <w:t>Total (rounded)</w:t>
            </w:r>
          </w:p>
        </w:tc>
        <w:tc>
          <w:tcPr>
            <w:tcW w:w="2219" w:type="dxa"/>
            <w:tcBorders>
              <w:top w:val="single" w:sz="4" w:space="0" w:color="auto"/>
            </w:tcBorders>
            <w:vAlign w:val="center"/>
          </w:tcPr>
          <w:p w14:paraId="6F9F19B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€ 405,000.00</w:t>
            </w:r>
          </w:p>
        </w:tc>
        <w:tc>
          <w:tcPr>
            <w:tcW w:w="2219" w:type="dxa"/>
            <w:tcBorders>
              <w:top w:val="single" w:sz="4" w:space="0" w:color="auto"/>
            </w:tcBorders>
            <w:vAlign w:val="center"/>
          </w:tcPr>
          <w:p w14:paraId="45AB1F1B" w14:textId="77777777" w:rsidR="006B113F" w:rsidRDefault="0000000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€ 810,000.00</w:t>
            </w:r>
          </w:p>
        </w:tc>
      </w:tr>
    </w:tbl>
    <w:p w14:paraId="1EE69E90" w14:textId="77777777" w:rsidR="006B113F" w:rsidRDefault="006B113F">
      <w:pPr>
        <w:spacing w:line="240" w:lineRule="auto"/>
        <w:rPr>
          <w:rFonts w:asciiTheme="minorHAnsi" w:hAnsiTheme="minorHAnsi" w:cstheme="minorHAnsi"/>
        </w:rPr>
      </w:pPr>
    </w:p>
    <w:p w14:paraId="105DB609" w14:textId="77777777" w:rsidR="006B113F" w:rsidRDefault="00000000">
      <w:pPr>
        <w:spacing w:line="240" w:lineRule="auto"/>
        <w:rPr>
          <w:b/>
          <w:bCs/>
          <w:sz w:val="28"/>
          <w:szCs w:val="28"/>
        </w:rPr>
      </w:pPr>
      <w:r>
        <w:rPr>
          <w:b/>
          <w:bCs/>
          <w:sz w:val="28"/>
          <w:szCs w:val="28"/>
        </w:rPr>
        <w:br w:type="page" w:clear="all"/>
      </w:r>
    </w:p>
    <w:p w14:paraId="761D21D3" w14:textId="77777777" w:rsidR="006B113F" w:rsidRDefault="00000000">
      <w:pPr>
        <w:spacing w:line="240" w:lineRule="auto"/>
        <w:rPr>
          <w:b/>
          <w:bCs/>
          <w:sz w:val="28"/>
          <w:szCs w:val="28"/>
        </w:rPr>
      </w:pPr>
      <w:r>
        <w:rPr>
          <w:b/>
          <w:bCs/>
          <w:sz w:val="28"/>
          <w:szCs w:val="28"/>
        </w:rPr>
        <w:lastRenderedPageBreak/>
        <w:t>Part II. Standard Costing Model for Programmes of the European University of Post-Industrial Cities (UNIC)</w:t>
      </w:r>
    </w:p>
    <w:p w14:paraId="56A7A273" w14:textId="77777777" w:rsidR="006B113F" w:rsidRDefault="00000000">
      <w:pPr>
        <w:spacing w:before="120" w:line="240" w:lineRule="auto"/>
        <w:rPr>
          <w:b/>
          <w:bCs/>
          <w:sz w:val="24"/>
          <w:szCs w:val="24"/>
        </w:rPr>
      </w:pPr>
      <w:r>
        <w:rPr>
          <w:b/>
          <w:bCs/>
          <w:sz w:val="24"/>
          <w:szCs w:val="24"/>
        </w:rPr>
        <w:t>Financial Approval Process for UNIC programmes</w:t>
      </w:r>
    </w:p>
    <w:p w14:paraId="780FE6EC" w14:textId="56D9877A" w:rsidR="006B113F" w:rsidRDefault="00000000">
      <w:pPr>
        <w:spacing w:line="240" w:lineRule="auto"/>
        <w:rPr>
          <w:rFonts w:asciiTheme="minorHAnsi" w:hAnsiTheme="minorHAnsi" w:cstheme="minorHAnsi"/>
          <w:lang w:val="en-GB"/>
        </w:rPr>
      </w:pPr>
      <w:r>
        <w:rPr>
          <w:rFonts w:asciiTheme="minorHAnsi" w:hAnsiTheme="minorHAnsi" w:cstheme="minorHAnsi"/>
          <w:lang w:val="en-GB"/>
        </w:rPr>
        <w:t xml:space="preserve">The schematic below illustrates the financial assessment and approval process for </w:t>
      </w:r>
      <w:r w:rsidR="00B270F7">
        <w:rPr>
          <w:rFonts w:asciiTheme="minorHAnsi" w:hAnsiTheme="minorHAnsi" w:cstheme="minorHAnsi"/>
          <w:lang w:val="en-GB"/>
        </w:rPr>
        <w:t>XX</w:t>
      </w:r>
      <w:r>
        <w:rPr>
          <w:rFonts w:asciiTheme="minorHAnsi" w:hAnsiTheme="minorHAnsi" w:cstheme="minorHAnsi"/>
          <w:lang w:val="en-GB"/>
        </w:rPr>
        <w:t xml:space="preserve"> and other UNIC joint degrees.</w:t>
      </w:r>
    </w:p>
    <w:p w14:paraId="151AE113" w14:textId="77777777" w:rsidR="006B113F" w:rsidRDefault="00000000">
      <w:pPr>
        <w:spacing w:line="240" w:lineRule="auto"/>
        <w:rPr>
          <w:b/>
          <w:lang w:val="en-GB"/>
        </w:rPr>
      </w:pPr>
      <w:r>
        <w:rPr>
          <w:noProof/>
        </w:rPr>
        <mc:AlternateContent>
          <mc:Choice Requires="wpg">
            <w:drawing>
              <wp:inline distT="0" distB="0" distL="0" distR="0" wp14:anchorId="0DF84EC9" wp14:editId="09F33A42">
                <wp:extent cx="5476177" cy="1695450"/>
                <wp:effectExtent l="0" t="0" r="0" b="0"/>
                <wp:docPr id="3" name="Grafik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50"/>
                        <a:stretch/>
                      </pic:blipFill>
                      <pic:spPr bwMode="auto">
                        <a:xfrm>
                          <a:off x="0" y="0"/>
                          <a:ext cx="5478591" cy="169619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1.20pt;height:133.50pt;mso-wrap-distance-left:0.00pt;mso-wrap-distance-top:0.00pt;mso-wrap-distance-right:0.00pt;mso-wrap-distance-bottom:0.00pt;z-index:1;" stroked="false">
                <v:imagedata r:id="rId51" o:title=""/>
                <o:lock v:ext="edit" rotation="t"/>
              </v:shape>
            </w:pict>
          </mc:Fallback>
        </mc:AlternateContent>
      </w:r>
    </w:p>
    <w:p w14:paraId="43395AC3" w14:textId="77777777" w:rsidR="006B113F" w:rsidRDefault="00000000">
      <w:pPr>
        <w:spacing w:line="240" w:lineRule="auto"/>
        <w:rPr>
          <w:b/>
          <w:bCs/>
          <w:sz w:val="24"/>
          <w:szCs w:val="24"/>
        </w:rPr>
      </w:pPr>
      <w:bookmarkStart w:id="161" w:name="_Ref127369093"/>
      <w:r>
        <w:rPr>
          <w:b/>
          <w:bCs/>
          <w:sz w:val="24"/>
          <w:szCs w:val="24"/>
        </w:rPr>
        <w:t>Cost Calculation</w:t>
      </w:r>
      <w:bookmarkEnd w:id="161"/>
      <w:r>
        <w:rPr>
          <w:b/>
          <w:bCs/>
          <w:sz w:val="24"/>
          <w:szCs w:val="24"/>
        </w:rPr>
        <w:t xml:space="preserve"> </w:t>
      </w:r>
    </w:p>
    <w:p w14:paraId="0A5BC1E9"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 xml:space="preserve">The costs of the programme will be assessed using the agreed cost calculation model once the structure of the programme has been defined.  </w:t>
      </w:r>
      <w:proofErr w:type="gramStart"/>
      <w:r>
        <w:rPr>
          <w:rFonts w:asciiTheme="minorHAnsi" w:hAnsiTheme="minorHAnsi" w:cstheme="minorHAnsi"/>
          <w:lang w:val="en-GB"/>
        </w:rPr>
        <w:t>Due to the fact that</w:t>
      </w:r>
      <w:proofErr w:type="gramEnd"/>
      <w:r>
        <w:rPr>
          <w:rFonts w:asciiTheme="minorHAnsi" w:hAnsiTheme="minorHAnsi" w:cstheme="minorHAnsi"/>
          <w:lang w:val="en-GB"/>
        </w:rPr>
        <w:t xml:space="preserve"> each university has its own specificities and that they consider different aspects when doing their cost calculation, the use of standard units across the consortium has been agreed. These standard units are based on averages from all universities´ rates. This model also includes structural costs, as well as general consortium costs and will support the calculation of the cost of new joint programmes.</w:t>
      </w:r>
    </w:p>
    <w:p w14:paraId="7D2ABDAA"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Assessing real costs across 8 or 10 different national systems and universities will not yield comparable results across partners. While a standard costing model as proposed it is not a precise cost analysis, it will provide valuable information regarding a financially viable programme. This information can also be utilized to assess financial risks during the programme development phase.</w:t>
      </w:r>
    </w:p>
    <w:bookmarkStart w:id="162" w:name="_Hlk126761862"/>
    <w:p w14:paraId="6BBB2189" w14:textId="77777777" w:rsidR="006B113F" w:rsidRDefault="00000000">
      <w:pPr>
        <w:spacing w:line="240" w:lineRule="auto"/>
        <w:rPr>
          <w:lang w:val="en-IE"/>
        </w:rPr>
      </w:pPr>
      <w:r>
        <w:rPr>
          <w:noProof/>
        </w:rPr>
        <mc:AlternateContent>
          <mc:Choice Requires="wpg">
            <w:drawing>
              <wp:inline distT="0" distB="0" distL="0" distR="0" wp14:anchorId="530EA328" wp14:editId="739623AC">
                <wp:extent cx="5671185" cy="3588152"/>
                <wp:effectExtent l="0" t="0" r="5715" b="0"/>
                <wp:docPr id="4" name="image2.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icture containing graphical user interface&#10;&#10;Description automatically generated"/>
                        <pic:cNvPicPr/>
                      </pic:nvPicPr>
                      <pic:blipFill>
                        <a:blip r:embed="rId52"/>
                        <a:stretch/>
                      </pic:blipFill>
                      <pic:spPr bwMode="auto">
                        <a:xfrm>
                          <a:off x="0" y="0"/>
                          <a:ext cx="5694949" cy="3603188"/>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46.55pt;height:282.53pt;mso-wrap-distance-left:0.00pt;mso-wrap-distance-top:0.00pt;mso-wrap-distance-right:0.00pt;mso-wrap-distance-bottom:0.00pt;z-index:1;">
                <v:imagedata r:id="rId53" o:title=""/>
                <o:lock v:ext="edit" rotation="t"/>
              </v:shape>
            </w:pict>
          </mc:Fallback>
        </mc:AlternateContent>
      </w:r>
    </w:p>
    <w:p w14:paraId="05026B80" w14:textId="77777777" w:rsidR="006B113F" w:rsidRDefault="006B113F">
      <w:pPr>
        <w:spacing w:line="240" w:lineRule="auto"/>
        <w:rPr>
          <w:b/>
          <w:bCs/>
          <w:sz w:val="24"/>
          <w:szCs w:val="24"/>
        </w:rPr>
      </w:pPr>
    </w:p>
    <w:p w14:paraId="48E2C22D" w14:textId="77777777" w:rsidR="006B113F" w:rsidRDefault="006B113F">
      <w:pPr>
        <w:spacing w:line="240" w:lineRule="auto"/>
        <w:rPr>
          <w:b/>
          <w:bCs/>
          <w:sz w:val="24"/>
          <w:szCs w:val="24"/>
        </w:rPr>
      </w:pPr>
    </w:p>
    <w:p w14:paraId="3E40066C" w14:textId="77777777" w:rsidR="006B113F" w:rsidRDefault="00000000">
      <w:pPr>
        <w:rPr>
          <w:b/>
          <w:bCs/>
          <w:sz w:val="24"/>
          <w:szCs w:val="24"/>
        </w:rPr>
      </w:pPr>
      <w:r>
        <w:rPr>
          <w:b/>
          <w:bCs/>
          <w:sz w:val="24"/>
          <w:szCs w:val="24"/>
        </w:rPr>
        <w:br w:type="page" w:clear="all"/>
      </w:r>
    </w:p>
    <w:p w14:paraId="3943416A" w14:textId="77777777" w:rsidR="006B113F" w:rsidRDefault="00000000">
      <w:pPr>
        <w:spacing w:line="240" w:lineRule="auto"/>
        <w:rPr>
          <w:b/>
          <w:bCs/>
          <w:sz w:val="24"/>
          <w:szCs w:val="24"/>
        </w:rPr>
      </w:pPr>
      <w:r>
        <w:rPr>
          <w:b/>
          <w:bCs/>
          <w:sz w:val="24"/>
          <w:szCs w:val="24"/>
        </w:rPr>
        <w:lastRenderedPageBreak/>
        <w:t>Determine appropriate tuition fee</w:t>
      </w:r>
    </w:p>
    <w:p w14:paraId="643153BA"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Based on the cost calculation and benchmarking of comparable programmes in the market, the consortium decides the tuition fees with the goal of developing a financially viable programme. This is required for calculations in the subsequent steps.</w:t>
      </w:r>
    </w:p>
    <w:p w14:paraId="5365E6B4" w14:textId="77777777" w:rsidR="006B113F" w:rsidRDefault="006B113F">
      <w:pPr>
        <w:spacing w:line="240" w:lineRule="auto"/>
        <w:jc w:val="both"/>
        <w:rPr>
          <w:rFonts w:asciiTheme="minorHAnsi" w:hAnsiTheme="minorHAnsi" w:cstheme="minorHAnsi"/>
          <w:lang w:val="en-GB"/>
        </w:rPr>
      </w:pPr>
    </w:p>
    <w:p w14:paraId="075062F5" w14:textId="77777777" w:rsidR="006B113F" w:rsidRDefault="00000000">
      <w:pPr>
        <w:spacing w:line="240" w:lineRule="auto"/>
        <w:rPr>
          <w:b/>
          <w:bCs/>
          <w:sz w:val="24"/>
          <w:szCs w:val="24"/>
        </w:rPr>
      </w:pPr>
      <w:r>
        <w:rPr>
          <w:b/>
          <w:bCs/>
          <w:sz w:val="24"/>
          <w:szCs w:val="24"/>
        </w:rPr>
        <w:t>Subsequent Steps</w:t>
      </w:r>
    </w:p>
    <w:p w14:paraId="31F10322" w14:textId="77777777" w:rsidR="006B113F" w:rsidRDefault="00000000">
      <w:pPr>
        <w:spacing w:line="240" w:lineRule="auto"/>
        <w:jc w:val="both"/>
        <w:rPr>
          <w:b/>
          <w:lang w:val="en-GB"/>
        </w:rPr>
      </w:pPr>
      <w:r>
        <w:rPr>
          <w:rFonts w:asciiTheme="minorHAnsi" w:hAnsiTheme="minorHAnsi" w:cstheme="minorHAnsi"/>
          <w:lang w:val="en-GB"/>
        </w:rPr>
        <w:t>The subsequent steps form part of the ongoing financial management of the programme and are therefore described in Part I:</w:t>
      </w:r>
    </w:p>
    <w:p w14:paraId="0611F6B0" w14:textId="77777777" w:rsidR="006B113F" w:rsidRDefault="00000000">
      <w:pPr>
        <w:pStyle w:val="Listenabsatz"/>
        <w:numPr>
          <w:ilvl w:val="0"/>
          <w:numId w:val="83"/>
        </w:numPr>
        <w:spacing w:after="60" w:line="240" w:lineRule="auto"/>
        <w:jc w:val="both"/>
        <w:rPr>
          <w:rFonts w:asciiTheme="majorHAnsi" w:hAnsiTheme="majorHAnsi" w:cstheme="majorHAnsi"/>
          <w:lang w:val="en-GB"/>
        </w:rPr>
      </w:pPr>
      <w:r>
        <w:rPr>
          <w:rFonts w:cstheme="minorHAnsi"/>
          <w:lang w:val="en-GB"/>
        </w:rPr>
        <w:t xml:space="preserve">See </w:t>
      </w:r>
      <w:r>
        <w:rPr>
          <w:rFonts w:asciiTheme="majorHAnsi" w:hAnsiTheme="majorHAnsi" w:cstheme="majorHAnsi"/>
          <w:lang w:val="en-GB"/>
        </w:rPr>
        <w:fldChar w:fldCharType="begin"/>
      </w:r>
      <w:r>
        <w:rPr>
          <w:rFonts w:asciiTheme="majorHAnsi" w:hAnsiTheme="majorHAnsi" w:cstheme="majorHAnsi"/>
          <w:lang w:val="en-GB"/>
        </w:rPr>
        <w:instrText xml:space="preserve"> REF _Ref126699662 \h  \* MERGEFORMAT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b/>
          <w:lang w:val="en-IE"/>
        </w:rPr>
        <w:t>Calculation of consortium-wide programme costs (factor C)</w:t>
      </w:r>
      <w:r>
        <w:rPr>
          <w:rFonts w:asciiTheme="majorHAnsi" w:hAnsiTheme="majorHAnsi" w:cstheme="majorHAnsi"/>
          <w:lang w:val="en-GB"/>
        </w:rPr>
        <w:fldChar w:fldCharType="end"/>
      </w:r>
    </w:p>
    <w:p w14:paraId="7A316E6A" w14:textId="77777777" w:rsidR="006B113F" w:rsidRDefault="00000000">
      <w:pPr>
        <w:pStyle w:val="Listenabsatz"/>
        <w:numPr>
          <w:ilvl w:val="0"/>
          <w:numId w:val="83"/>
        </w:numPr>
        <w:spacing w:after="60"/>
        <w:jc w:val="both"/>
        <w:rPr>
          <w:rFonts w:asciiTheme="majorHAnsi" w:hAnsiTheme="majorHAnsi" w:cstheme="majorHAnsi"/>
          <w:b/>
          <w:lang w:val="en-IE"/>
        </w:rPr>
      </w:pPr>
      <w:r>
        <w:rPr>
          <w:rFonts w:cstheme="minorHAnsi"/>
          <w:lang w:val="en-GB"/>
        </w:rPr>
        <w:t xml:space="preserve">See </w:t>
      </w:r>
      <w:r>
        <w:rPr>
          <w:rFonts w:asciiTheme="majorHAnsi" w:hAnsiTheme="majorHAnsi" w:cstheme="majorHAnsi"/>
          <w:b/>
          <w:lang w:val="en-IE"/>
        </w:rPr>
        <w:fldChar w:fldCharType="begin"/>
      </w:r>
      <w:r>
        <w:rPr>
          <w:rFonts w:asciiTheme="majorHAnsi" w:hAnsiTheme="majorHAnsi" w:cstheme="majorHAnsi"/>
          <w:b/>
          <w:lang w:val="en-IE"/>
        </w:rPr>
        <w:instrText xml:space="preserve"> REF _Ref126699741 \h  \* MERGEFORMAT </w:instrText>
      </w:r>
      <w:r>
        <w:rPr>
          <w:rFonts w:asciiTheme="majorHAnsi" w:hAnsiTheme="majorHAnsi" w:cstheme="majorHAnsi"/>
          <w:b/>
          <w:lang w:val="en-IE"/>
        </w:rPr>
      </w:r>
      <w:r>
        <w:rPr>
          <w:rFonts w:asciiTheme="majorHAnsi" w:hAnsiTheme="majorHAnsi" w:cstheme="majorHAnsi"/>
          <w:b/>
          <w:lang w:val="en-IE"/>
        </w:rPr>
        <w:fldChar w:fldCharType="separate"/>
      </w:r>
    </w:p>
    <w:p w14:paraId="5565C65A" w14:textId="77777777" w:rsidR="006B113F" w:rsidRDefault="00000000">
      <w:pPr>
        <w:pStyle w:val="Listenabsatz"/>
        <w:numPr>
          <w:ilvl w:val="0"/>
          <w:numId w:val="83"/>
        </w:numPr>
        <w:spacing w:after="60" w:line="240" w:lineRule="auto"/>
        <w:jc w:val="both"/>
        <w:rPr>
          <w:rFonts w:asciiTheme="majorHAnsi" w:hAnsiTheme="majorHAnsi" w:cstheme="majorHAnsi"/>
          <w:b/>
          <w:lang w:val="en-IE"/>
        </w:rPr>
      </w:pPr>
      <w:r>
        <w:rPr>
          <w:rFonts w:asciiTheme="majorHAnsi" w:hAnsiTheme="majorHAnsi" w:cstheme="majorHAnsi"/>
          <w:b/>
          <w:lang w:val="en-IE"/>
        </w:rPr>
        <w:t xml:space="preserve">Programme tuition fee fund </w:t>
      </w:r>
      <w:r>
        <w:rPr>
          <w:b/>
          <w:bCs/>
          <w:sz w:val="24"/>
          <w:szCs w:val="24"/>
        </w:rPr>
        <w:t>distribution</w:t>
      </w:r>
      <w:r>
        <w:rPr>
          <w:rFonts w:asciiTheme="majorHAnsi" w:hAnsiTheme="majorHAnsi" w:cstheme="majorHAnsi"/>
          <w:b/>
          <w:lang w:val="en-IE"/>
        </w:rPr>
        <w:fldChar w:fldCharType="end"/>
      </w:r>
    </w:p>
    <w:p w14:paraId="3C774FA0" w14:textId="77777777" w:rsidR="006B113F" w:rsidRDefault="00000000">
      <w:pPr>
        <w:spacing w:line="240" w:lineRule="auto"/>
        <w:jc w:val="both"/>
        <w:rPr>
          <w:rFonts w:asciiTheme="minorHAnsi" w:hAnsiTheme="minorHAnsi" w:cstheme="minorHAnsi"/>
          <w:lang w:val="en-GB"/>
        </w:rPr>
      </w:pPr>
      <w:r>
        <w:rPr>
          <w:rFonts w:asciiTheme="minorHAnsi" w:hAnsiTheme="minorHAnsi" w:cstheme="minorHAnsi"/>
          <w:lang w:val="en-GB"/>
        </w:rPr>
        <w:t>This is required to be finalised before accreditation can be sought via the European Approach for Quality Assurance.</w:t>
      </w:r>
    </w:p>
    <w:p w14:paraId="48367A4D" w14:textId="77777777" w:rsidR="006B113F" w:rsidRDefault="00000000">
      <w:pPr>
        <w:pStyle w:val="Listenabsatz"/>
        <w:numPr>
          <w:ilvl w:val="0"/>
          <w:numId w:val="84"/>
        </w:numPr>
        <w:spacing w:after="60" w:line="240" w:lineRule="auto"/>
        <w:jc w:val="both"/>
        <w:rPr>
          <w:rFonts w:asciiTheme="majorHAnsi" w:hAnsiTheme="majorHAnsi" w:cstheme="majorHAnsi"/>
          <w:b/>
          <w:lang w:val="en-IE"/>
        </w:rPr>
      </w:pPr>
      <w:r>
        <w:rPr>
          <w:rFonts w:cstheme="minorHAnsi"/>
          <w:lang w:val="en-GB"/>
        </w:rPr>
        <w:t xml:space="preserve">See </w:t>
      </w:r>
      <w:r>
        <w:rPr>
          <w:rFonts w:asciiTheme="majorHAnsi" w:hAnsiTheme="majorHAnsi" w:cstheme="majorHAnsi"/>
          <w:b/>
          <w:lang w:val="en-IE"/>
        </w:rPr>
        <w:fldChar w:fldCharType="begin"/>
      </w:r>
      <w:r>
        <w:rPr>
          <w:rFonts w:asciiTheme="majorHAnsi" w:hAnsiTheme="majorHAnsi" w:cstheme="majorHAnsi"/>
          <w:b/>
          <w:lang w:val="en-IE"/>
        </w:rPr>
        <w:instrText xml:space="preserve"> REF _Ref126700015 \h  \* MERGEFORMAT </w:instrText>
      </w:r>
      <w:r>
        <w:rPr>
          <w:rFonts w:asciiTheme="majorHAnsi" w:hAnsiTheme="majorHAnsi" w:cstheme="majorHAnsi"/>
          <w:b/>
          <w:lang w:val="en-IE"/>
        </w:rPr>
      </w:r>
      <w:r>
        <w:rPr>
          <w:rFonts w:asciiTheme="majorHAnsi" w:hAnsiTheme="majorHAnsi" w:cstheme="majorHAnsi"/>
          <w:b/>
          <w:lang w:val="en-IE"/>
        </w:rPr>
        <w:fldChar w:fldCharType="separate"/>
      </w:r>
      <w:r>
        <w:rPr>
          <w:rFonts w:asciiTheme="majorHAnsi" w:hAnsiTheme="majorHAnsi" w:cstheme="majorHAnsi"/>
          <w:b/>
          <w:lang w:val="en-IE"/>
        </w:rPr>
        <w:t xml:space="preserve">Calculation of expected distribution of programme funds based on </w:t>
      </w:r>
      <w:r>
        <w:rPr>
          <w:rFonts w:asciiTheme="majorHAnsi" w:hAnsiTheme="majorHAnsi" w:cstheme="majorHAnsi"/>
          <w:b/>
          <w:lang w:val="en-IE"/>
        </w:rPr>
        <w:fldChar w:fldCharType="end"/>
      </w:r>
    </w:p>
    <w:p w14:paraId="6CFEB942" w14:textId="77777777" w:rsidR="006B113F" w:rsidRDefault="00000000">
      <w:pPr>
        <w:pStyle w:val="Listenabsatz"/>
        <w:numPr>
          <w:ilvl w:val="0"/>
          <w:numId w:val="84"/>
        </w:numPr>
        <w:spacing w:after="60" w:line="240" w:lineRule="auto"/>
        <w:jc w:val="both"/>
        <w:rPr>
          <w:rFonts w:asciiTheme="majorHAnsi" w:hAnsiTheme="majorHAnsi" w:cstheme="majorHAnsi"/>
          <w:b/>
          <w:lang w:val="de-DE"/>
        </w:rPr>
      </w:pPr>
      <w:r>
        <w:rPr>
          <w:rFonts w:cstheme="minorHAnsi"/>
          <w:lang w:val="de-DE"/>
        </w:rPr>
        <w:t>See</w:t>
      </w:r>
      <w:r>
        <w:rPr>
          <w:rFonts w:asciiTheme="majorHAnsi" w:hAnsiTheme="majorHAnsi" w:cstheme="majorHAnsi"/>
          <w:b/>
          <w:lang w:val="de-DE"/>
        </w:rPr>
        <w:t xml:space="preserve"> </w:t>
      </w:r>
      <w:r>
        <w:rPr>
          <w:rFonts w:asciiTheme="majorHAnsi" w:hAnsiTheme="majorHAnsi" w:cstheme="majorHAnsi"/>
          <w:b/>
          <w:lang w:val="en-IE"/>
        </w:rPr>
        <w:fldChar w:fldCharType="begin"/>
      </w:r>
      <w:r>
        <w:rPr>
          <w:rFonts w:asciiTheme="majorHAnsi" w:hAnsiTheme="majorHAnsi" w:cstheme="majorHAnsi"/>
          <w:b/>
          <w:lang w:val="de-DE"/>
        </w:rPr>
        <w:instrText xml:space="preserve"> REF _Ref126700071 \h  \* MERGEFORMAT </w:instrText>
      </w:r>
      <w:r>
        <w:rPr>
          <w:rFonts w:asciiTheme="majorHAnsi" w:hAnsiTheme="majorHAnsi" w:cstheme="majorHAnsi"/>
          <w:b/>
          <w:lang w:val="en-IE"/>
        </w:rPr>
      </w:r>
      <w:r>
        <w:rPr>
          <w:rFonts w:asciiTheme="majorHAnsi" w:hAnsiTheme="majorHAnsi" w:cstheme="majorHAnsi"/>
          <w:b/>
          <w:lang w:val="en-IE"/>
        </w:rPr>
        <w:fldChar w:fldCharType="separate"/>
      </w:r>
      <w:r>
        <w:rPr>
          <w:rFonts w:asciiTheme="majorHAnsi" w:hAnsiTheme="majorHAnsi" w:cstheme="majorHAnsi"/>
          <w:bCs/>
          <w:lang w:val="de-DE"/>
        </w:rPr>
        <w:t>Fehler! Verweisquelle konnte nicht gefunden werden.</w:t>
      </w:r>
      <w:r>
        <w:rPr>
          <w:rFonts w:asciiTheme="majorHAnsi" w:hAnsiTheme="majorHAnsi" w:cstheme="majorHAnsi"/>
          <w:b/>
          <w:lang w:val="en-IE"/>
        </w:rPr>
        <w:fldChar w:fldCharType="end"/>
      </w:r>
      <w:r>
        <w:rPr>
          <w:rFonts w:asciiTheme="majorHAnsi" w:hAnsiTheme="majorHAnsi" w:cstheme="majorHAnsi"/>
          <w:b/>
          <w:lang w:val="de-DE"/>
        </w:rPr>
        <w:t>.</w:t>
      </w:r>
      <w:bookmarkEnd w:id="162"/>
    </w:p>
    <w:p w14:paraId="0315F84A" w14:textId="77777777" w:rsidR="006B113F" w:rsidRDefault="006B113F">
      <w:pPr>
        <w:pStyle w:val="berschrift2"/>
        <w:keepNext w:val="0"/>
        <w:keepLines w:val="0"/>
        <w:widowControl w:val="0"/>
        <w:spacing w:before="0" w:after="0" w:line="240" w:lineRule="auto"/>
        <w:ind w:left="676" w:hanging="576"/>
        <w:rPr>
          <w:rFonts w:ascii="Cambria" w:eastAsia="Cambria" w:hAnsi="Cambria" w:cs="Cambria"/>
          <w:b/>
          <w:sz w:val="26"/>
          <w:szCs w:val="26"/>
        </w:rPr>
      </w:pPr>
    </w:p>
    <w:p w14:paraId="7CE2E427" w14:textId="77777777" w:rsidR="006B113F" w:rsidRDefault="006B113F">
      <w:pPr>
        <w:spacing w:line="240" w:lineRule="auto"/>
      </w:pPr>
    </w:p>
    <w:p w14:paraId="2757B1FE" w14:textId="77777777" w:rsidR="006B113F" w:rsidRDefault="00000000">
      <w:pPr>
        <w:spacing w:line="240" w:lineRule="auto"/>
      </w:pPr>
      <w:r>
        <w:br w:type="page" w:clear="all"/>
      </w:r>
    </w:p>
    <w:p w14:paraId="6A54378F" w14:textId="18FAF784" w:rsidR="006B113F" w:rsidRDefault="00000000">
      <w:pPr>
        <w:pStyle w:val="berschrift2"/>
        <w:keepNext w:val="0"/>
        <w:keepLines w:val="0"/>
        <w:widowControl w:val="0"/>
        <w:numPr>
          <w:ilvl w:val="1"/>
          <w:numId w:val="42"/>
        </w:numPr>
        <w:spacing w:before="0" w:after="0" w:line="240" w:lineRule="auto"/>
        <w:ind w:left="425" w:hanging="425"/>
        <w:rPr>
          <w:rFonts w:ascii="Calibri" w:eastAsia="Calibri" w:hAnsi="Calibri" w:cs="Calibri"/>
          <w:b/>
          <w:bCs/>
          <w:sz w:val="26"/>
          <w:szCs w:val="26"/>
        </w:rPr>
      </w:pPr>
      <w:bookmarkStart w:id="163" w:name="_Toc141280014"/>
      <w:r>
        <w:rPr>
          <w:rFonts w:ascii="Calibri" w:eastAsia="Calibri" w:hAnsi="Calibri" w:cs="Calibri"/>
          <w:b/>
          <w:bCs/>
          <w:sz w:val="26"/>
          <w:szCs w:val="26"/>
        </w:rPr>
        <w:lastRenderedPageBreak/>
        <w:t xml:space="preserve">ANNEX Standard Contractual Clauses for data exchanges with Koç University as non-EU partner institution in the joint Master programme </w:t>
      </w:r>
      <w:bookmarkEnd w:id="163"/>
      <w:r w:rsidR="00B270F7">
        <w:rPr>
          <w:rFonts w:ascii="Calibri" w:eastAsia="Calibri" w:hAnsi="Calibri" w:cs="Calibri"/>
          <w:b/>
          <w:bCs/>
          <w:sz w:val="26"/>
          <w:szCs w:val="26"/>
        </w:rPr>
        <w:t>XX</w:t>
      </w:r>
    </w:p>
    <w:p w14:paraId="3BE4646E" w14:textId="77777777" w:rsidR="006B113F" w:rsidRDefault="006B113F">
      <w:pPr>
        <w:spacing w:line="240" w:lineRule="auto"/>
        <w:jc w:val="center"/>
      </w:pPr>
    </w:p>
    <w:p w14:paraId="43EDB6FD" w14:textId="77777777" w:rsidR="006B113F" w:rsidRDefault="00000000">
      <w:pPr>
        <w:spacing w:line="240" w:lineRule="auto"/>
        <w:jc w:val="center"/>
        <w:rPr>
          <w:bCs/>
          <w:color w:val="00B050"/>
          <w:sz w:val="28"/>
          <w:szCs w:val="28"/>
        </w:rPr>
      </w:pPr>
      <w:bookmarkStart w:id="164" w:name="_Toc127372865"/>
      <w:r>
        <w:rPr>
          <w:color w:val="00B050"/>
          <w:sz w:val="28"/>
          <w:szCs w:val="28"/>
        </w:rPr>
        <w:t>ANNEX</w:t>
      </w:r>
      <w:bookmarkEnd w:id="164"/>
    </w:p>
    <w:p w14:paraId="1191D863" w14:textId="77777777" w:rsidR="006B113F" w:rsidRDefault="006B113F">
      <w:pPr>
        <w:spacing w:line="240" w:lineRule="auto"/>
        <w:jc w:val="center"/>
        <w:rPr>
          <w:b/>
          <w:color w:val="00B050"/>
          <w:sz w:val="28"/>
          <w:szCs w:val="28"/>
        </w:rPr>
      </w:pPr>
    </w:p>
    <w:p w14:paraId="23270497" w14:textId="77777777" w:rsidR="006B113F" w:rsidRDefault="00000000">
      <w:pPr>
        <w:spacing w:line="240" w:lineRule="auto"/>
        <w:jc w:val="center"/>
        <w:rPr>
          <w:bCs/>
          <w:i/>
          <w:color w:val="00B050"/>
          <w:sz w:val="28"/>
          <w:szCs w:val="28"/>
        </w:rPr>
      </w:pPr>
      <w:bookmarkStart w:id="165" w:name="_Toc127372866"/>
      <w:r>
        <w:rPr>
          <w:color w:val="00B050"/>
          <w:sz w:val="28"/>
          <w:szCs w:val="28"/>
        </w:rPr>
        <w:t>to the</w:t>
      </w:r>
      <w:bookmarkEnd w:id="165"/>
    </w:p>
    <w:p w14:paraId="2AE7D84B" w14:textId="77777777" w:rsidR="006B113F" w:rsidRDefault="006B113F">
      <w:pPr>
        <w:spacing w:line="240" w:lineRule="auto"/>
        <w:jc w:val="center"/>
        <w:rPr>
          <w:b/>
          <w:color w:val="00B050"/>
          <w:sz w:val="28"/>
          <w:szCs w:val="28"/>
        </w:rPr>
      </w:pPr>
    </w:p>
    <w:p w14:paraId="1B617B02" w14:textId="77777777" w:rsidR="006B113F" w:rsidRDefault="00000000">
      <w:pPr>
        <w:spacing w:line="240" w:lineRule="auto"/>
        <w:jc w:val="center"/>
        <w:rPr>
          <w:b/>
          <w:color w:val="00B050"/>
          <w:sz w:val="28"/>
          <w:szCs w:val="28"/>
          <w:lang w:val="en-US"/>
        </w:rPr>
      </w:pPr>
      <w:r>
        <w:rPr>
          <w:b/>
          <w:color w:val="00B050"/>
          <w:sz w:val="28"/>
          <w:szCs w:val="28"/>
          <w:lang w:val="en-US"/>
        </w:rPr>
        <w:t>COMMISSION IMPLEMENTING DECISION</w:t>
      </w:r>
    </w:p>
    <w:p w14:paraId="05B8B354" w14:textId="77777777" w:rsidR="006B113F" w:rsidRDefault="006B113F">
      <w:pPr>
        <w:spacing w:line="240" w:lineRule="auto"/>
        <w:jc w:val="center"/>
        <w:rPr>
          <w:b/>
          <w:color w:val="00B050"/>
        </w:rPr>
      </w:pPr>
    </w:p>
    <w:p w14:paraId="19C44874" w14:textId="77777777" w:rsidR="006B113F" w:rsidRDefault="00000000">
      <w:pPr>
        <w:spacing w:line="240" w:lineRule="auto"/>
        <w:jc w:val="center"/>
        <w:rPr>
          <w:b/>
          <w:color w:val="00B050"/>
          <w:lang w:val="en-US"/>
        </w:rPr>
      </w:pPr>
      <w:r>
        <w:rPr>
          <w:b/>
          <w:color w:val="00B050"/>
          <w:lang w:val="en-US"/>
        </w:rPr>
        <w:t>on standard contractual clauses for the transfer of personal data to third countries pursuant to Regulation (EU) 2016/679 of the European Parliament and of the Council</w:t>
      </w:r>
    </w:p>
    <w:p w14:paraId="1A1C40B1" w14:textId="77777777" w:rsidR="006B113F" w:rsidRDefault="006B113F">
      <w:pPr>
        <w:spacing w:line="240" w:lineRule="auto"/>
        <w:jc w:val="center"/>
        <w:rPr>
          <w:b/>
          <w:color w:val="00B050"/>
          <w:lang w:val="en-US"/>
        </w:rPr>
      </w:pPr>
    </w:p>
    <w:p w14:paraId="48EA82C5" w14:textId="77777777" w:rsidR="006B113F" w:rsidRDefault="00000000">
      <w:pPr>
        <w:spacing w:line="240" w:lineRule="auto"/>
        <w:jc w:val="center"/>
        <w:rPr>
          <w:bCs/>
          <w:color w:val="00B050"/>
          <w:sz w:val="36"/>
          <w:szCs w:val="36"/>
        </w:rPr>
      </w:pPr>
      <w:bookmarkStart w:id="166" w:name="_Toc127372867"/>
      <w:r>
        <w:rPr>
          <w:color w:val="00B050"/>
          <w:sz w:val="36"/>
          <w:szCs w:val="36"/>
        </w:rPr>
        <w:t>Module 1: Transfer controller to controller</w:t>
      </w:r>
      <w:bookmarkEnd w:id="166"/>
    </w:p>
    <w:p w14:paraId="67A78972" w14:textId="77777777" w:rsidR="006B113F" w:rsidRDefault="006B113F">
      <w:pPr>
        <w:spacing w:line="240" w:lineRule="auto"/>
        <w:jc w:val="center"/>
        <w:rPr>
          <w:b/>
          <w:color w:val="00B050"/>
          <w:lang w:val="en-US"/>
        </w:rPr>
      </w:pPr>
    </w:p>
    <w:p w14:paraId="2150B800" w14:textId="77777777" w:rsidR="006B113F" w:rsidRDefault="006B113F">
      <w:pPr>
        <w:spacing w:line="240" w:lineRule="auto"/>
        <w:jc w:val="center"/>
        <w:rPr>
          <w:b/>
          <w:color w:val="00B050"/>
          <w:lang w:val="en-US"/>
        </w:rPr>
      </w:pPr>
    </w:p>
    <w:p w14:paraId="30AFACD2" w14:textId="77777777" w:rsidR="006B113F" w:rsidRDefault="006B113F">
      <w:pPr>
        <w:spacing w:line="240" w:lineRule="auto"/>
        <w:jc w:val="center"/>
        <w:rPr>
          <w:b/>
          <w:bCs/>
          <w:color w:val="00B050"/>
          <w:u w:val="single"/>
          <w:lang w:val="en-US"/>
        </w:rPr>
      </w:pPr>
    </w:p>
    <w:p w14:paraId="5E85BF71" w14:textId="77777777" w:rsidR="006B113F" w:rsidRDefault="00000000">
      <w:pPr>
        <w:spacing w:line="240" w:lineRule="auto"/>
        <w:jc w:val="center"/>
        <w:rPr>
          <w:rFonts w:eastAsiaTheme="majorEastAsia" w:cstheme="majorBidi"/>
          <w:color w:val="00B050"/>
          <w:sz w:val="28"/>
          <w:szCs w:val="28"/>
          <w:lang w:val="en-US"/>
        </w:rPr>
      </w:pPr>
      <w:r>
        <w:rPr>
          <w:rFonts w:eastAsiaTheme="majorEastAsia" w:cstheme="majorBidi"/>
          <w:color w:val="00B050"/>
          <w:sz w:val="28"/>
          <w:szCs w:val="28"/>
          <w:lang w:val="en-US"/>
        </w:rPr>
        <w:t>ANNEX</w:t>
      </w:r>
    </w:p>
    <w:p w14:paraId="4C0E3302" w14:textId="77777777" w:rsidR="006B113F" w:rsidRDefault="006B113F">
      <w:pPr>
        <w:spacing w:line="240" w:lineRule="auto"/>
        <w:jc w:val="center"/>
        <w:rPr>
          <w:rFonts w:eastAsiaTheme="majorEastAsia" w:cstheme="majorBidi"/>
          <w:color w:val="00B050"/>
          <w:sz w:val="28"/>
          <w:szCs w:val="28"/>
          <w:lang w:val="en-US"/>
        </w:rPr>
      </w:pPr>
    </w:p>
    <w:p w14:paraId="57C7AF36" w14:textId="77777777" w:rsidR="006B113F" w:rsidRDefault="00000000">
      <w:pPr>
        <w:spacing w:line="240" w:lineRule="auto"/>
        <w:jc w:val="center"/>
        <w:rPr>
          <w:rFonts w:eastAsiaTheme="majorEastAsia" w:cstheme="majorBidi"/>
          <w:color w:val="00B050"/>
          <w:sz w:val="28"/>
          <w:szCs w:val="28"/>
          <w:lang w:val="en-US"/>
        </w:rPr>
      </w:pPr>
      <w:r>
        <w:rPr>
          <w:rFonts w:eastAsiaTheme="majorEastAsia" w:cstheme="majorBidi"/>
          <w:color w:val="00B050"/>
          <w:sz w:val="28"/>
          <w:szCs w:val="28"/>
          <w:lang w:val="en-US"/>
        </w:rPr>
        <w:t>STANDARD CONTRACTUAL CLAUSES</w:t>
      </w:r>
    </w:p>
    <w:p w14:paraId="2299A281" w14:textId="77777777" w:rsidR="006B113F" w:rsidRDefault="006B113F">
      <w:pPr>
        <w:spacing w:line="240" w:lineRule="auto"/>
        <w:jc w:val="center"/>
        <w:rPr>
          <w:rFonts w:eastAsiaTheme="majorEastAsia" w:cstheme="majorBidi"/>
          <w:color w:val="00B050"/>
          <w:sz w:val="28"/>
          <w:szCs w:val="28"/>
          <w:lang w:val="en-US"/>
        </w:rPr>
      </w:pPr>
    </w:p>
    <w:p w14:paraId="7AFBFA50" w14:textId="77777777" w:rsidR="006B113F" w:rsidRDefault="00000000">
      <w:pPr>
        <w:spacing w:line="240" w:lineRule="auto"/>
        <w:jc w:val="center"/>
        <w:rPr>
          <w:rFonts w:eastAsiaTheme="majorEastAsia" w:cstheme="majorBidi"/>
          <w:color w:val="00B050"/>
          <w:sz w:val="28"/>
          <w:szCs w:val="28"/>
          <w:u w:val="single"/>
          <w:lang w:val="en-US"/>
        </w:rPr>
      </w:pPr>
      <w:r>
        <w:rPr>
          <w:rFonts w:eastAsiaTheme="majorEastAsia" w:cstheme="majorBidi"/>
          <w:color w:val="00B050"/>
          <w:sz w:val="28"/>
          <w:szCs w:val="28"/>
          <w:u w:val="single"/>
          <w:lang w:val="en-US"/>
        </w:rPr>
        <w:t>SECTION I</w:t>
      </w:r>
    </w:p>
    <w:p w14:paraId="2FBECBE5" w14:textId="77777777" w:rsidR="006B113F" w:rsidRDefault="006B113F">
      <w:pPr>
        <w:spacing w:line="240" w:lineRule="auto"/>
        <w:jc w:val="center"/>
        <w:rPr>
          <w:b/>
          <w:bCs/>
          <w:color w:val="00B050"/>
          <w:lang w:val="en-US"/>
        </w:rPr>
      </w:pPr>
    </w:p>
    <w:p w14:paraId="45A0DB58" w14:textId="77777777" w:rsidR="006B113F" w:rsidRDefault="006B113F">
      <w:pPr>
        <w:spacing w:line="240" w:lineRule="auto"/>
        <w:rPr>
          <w:b/>
          <w:bCs/>
          <w:lang w:val="en-US"/>
        </w:rPr>
      </w:pPr>
    </w:p>
    <w:p w14:paraId="470B9FED" w14:textId="77777777" w:rsidR="006B113F" w:rsidRDefault="00000000">
      <w:pPr>
        <w:spacing w:line="240" w:lineRule="auto"/>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1 – Purpose and scope</w:t>
      </w:r>
    </w:p>
    <w:p w14:paraId="24032296" w14:textId="77777777" w:rsidR="006B113F" w:rsidRDefault="00000000">
      <w:pPr>
        <w:spacing w:line="240" w:lineRule="auto"/>
        <w:ind w:left="708" w:hanging="708"/>
        <w:rPr>
          <w:rFonts w:ascii="Museo Sans 100" w:eastAsiaTheme="majorEastAsia" w:hAnsi="Museo Sans 100" w:cstheme="majorBidi"/>
          <w:color w:val="000000" w:themeColor="text1"/>
          <w:sz w:val="20"/>
          <w:szCs w:val="26"/>
          <w:lang w:val="en-US"/>
        </w:rPr>
      </w:pPr>
      <w:r>
        <w:rPr>
          <w:rFonts w:ascii="Museo Sans 100" w:eastAsiaTheme="majorEastAsia" w:hAnsi="Museo Sans 100" w:cstheme="majorBidi"/>
          <w:color w:val="000000" w:themeColor="text1"/>
          <w:sz w:val="20"/>
          <w:szCs w:val="26"/>
          <w:lang w:val="en-US"/>
        </w:rPr>
        <w:t>(a)</w:t>
      </w:r>
      <w:r>
        <w:rPr>
          <w:rFonts w:ascii="Museo Sans 100" w:eastAsiaTheme="majorEastAsia" w:hAnsi="Museo Sans 100" w:cstheme="majorBidi"/>
          <w:color w:val="000000" w:themeColor="text1"/>
          <w:sz w:val="20"/>
          <w:szCs w:val="26"/>
          <w:lang w:val="en-US"/>
        </w:rPr>
        <w:tab/>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r>
        <w:rPr>
          <w:rFonts w:ascii="Museo Sans 100" w:eastAsiaTheme="majorEastAsia" w:hAnsi="Museo Sans 100" w:cstheme="majorBidi"/>
          <w:color w:val="000000" w:themeColor="text1"/>
          <w:sz w:val="20"/>
          <w:szCs w:val="26"/>
          <w:vertAlign w:val="superscript"/>
        </w:rPr>
        <w:footnoteReference w:id="2"/>
      </w:r>
      <w:r>
        <w:rPr>
          <w:rFonts w:ascii="Museo Sans 100" w:eastAsiaTheme="majorEastAsia" w:hAnsi="Museo Sans 100" w:cstheme="majorBidi"/>
          <w:color w:val="000000" w:themeColor="text1"/>
          <w:sz w:val="20"/>
          <w:szCs w:val="26"/>
          <w:vertAlign w:val="superscript"/>
          <w:lang w:val="en-US"/>
        </w:rPr>
        <w:t xml:space="preserve"> </w:t>
      </w:r>
      <w:r>
        <w:rPr>
          <w:rFonts w:ascii="Museo Sans 100" w:eastAsiaTheme="majorEastAsia" w:hAnsi="Museo Sans 100" w:cstheme="majorBidi"/>
          <w:color w:val="000000" w:themeColor="text1"/>
          <w:sz w:val="20"/>
          <w:szCs w:val="26"/>
          <w:lang w:val="en-US"/>
        </w:rPr>
        <w:t>for the transfer of personal data to a third country.</w:t>
      </w:r>
    </w:p>
    <w:p w14:paraId="28B7B2E8" w14:textId="77777777" w:rsidR="006B113F" w:rsidRDefault="00000000">
      <w:pPr>
        <w:spacing w:line="240" w:lineRule="auto"/>
        <w:rPr>
          <w:rFonts w:ascii="Museo Sans 100" w:eastAsiaTheme="majorEastAsia" w:hAnsi="Museo Sans 100" w:cstheme="majorBidi"/>
          <w:color w:val="000000" w:themeColor="text1"/>
          <w:sz w:val="20"/>
          <w:szCs w:val="26"/>
          <w:lang w:val="en-US"/>
        </w:rPr>
      </w:pPr>
      <w:r>
        <w:rPr>
          <w:rFonts w:ascii="Museo Sans 100" w:eastAsiaTheme="majorEastAsia" w:hAnsi="Museo Sans 100" w:cstheme="majorBidi"/>
          <w:color w:val="000000" w:themeColor="text1"/>
          <w:sz w:val="20"/>
          <w:szCs w:val="26"/>
          <w:lang w:val="en-US"/>
        </w:rPr>
        <w:t>(b)</w:t>
      </w:r>
      <w:r>
        <w:rPr>
          <w:rFonts w:ascii="Museo Sans 100" w:eastAsiaTheme="majorEastAsia" w:hAnsi="Museo Sans 100" w:cstheme="majorBidi"/>
          <w:color w:val="000000" w:themeColor="text1"/>
          <w:sz w:val="20"/>
          <w:szCs w:val="26"/>
          <w:lang w:val="en-US"/>
        </w:rPr>
        <w:tab/>
        <w:t>The Parties:</w:t>
      </w:r>
    </w:p>
    <w:p w14:paraId="2A5744C0" w14:textId="77777777" w:rsidR="006B113F" w:rsidRDefault="00000000">
      <w:pPr>
        <w:spacing w:line="240" w:lineRule="auto"/>
        <w:ind w:left="1416" w:hanging="700"/>
        <w:rPr>
          <w:rFonts w:ascii="Museo Sans 100" w:eastAsiaTheme="majorEastAsia" w:hAnsi="Museo Sans 100" w:cstheme="majorBidi"/>
          <w:color w:val="000000" w:themeColor="text1"/>
          <w:sz w:val="20"/>
          <w:szCs w:val="26"/>
          <w:lang w:val="en-US"/>
        </w:rPr>
      </w:pPr>
      <w:r>
        <w:rPr>
          <w:rFonts w:ascii="Museo Sans 100" w:eastAsiaTheme="majorEastAsia" w:hAnsi="Museo Sans 100" w:cstheme="majorBidi"/>
          <w:color w:val="000000" w:themeColor="text1"/>
          <w:sz w:val="20"/>
          <w:szCs w:val="26"/>
          <w:lang w:val="en-US"/>
        </w:rPr>
        <w:t>(</w:t>
      </w:r>
      <w:proofErr w:type="spellStart"/>
      <w:r>
        <w:rPr>
          <w:rFonts w:ascii="Museo Sans 100" w:eastAsiaTheme="majorEastAsia" w:hAnsi="Museo Sans 100" w:cstheme="majorBidi"/>
          <w:color w:val="000000" w:themeColor="text1"/>
          <w:sz w:val="20"/>
          <w:szCs w:val="26"/>
          <w:lang w:val="en-US"/>
        </w:rPr>
        <w:t>i</w:t>
      </w:r>
      <w:proofErr w:type="spellEnd"/>
      <w:r>
        <w:rPr>
          <w:rFonts w:ascii="Museo Sans 100" w:eastAsiaTheme="majorEastAsia" w:hAnsi="Museo Sans 100" w:cstheme="majorBidi"/>
          <w:color w:val="000000" w:themeColor="text1"/>
          <w:sz w:val="20"/>
          <w:szCs w:val="26"/>
          <w:lang w:val="en-US"/>
        </w:rPr>
        <w:t>)</w:t>
      </w:r>
      <w:r>
        <w:rPr>
          <w:rFonts w:ascii="Museo Sans 100" w:eastAsiaTheme="majorEastAsia" w:hAnsi="Museo Sans 100" w:cstheme="majorBidi"/>
          <w:color w:val="000000" w:themeColor="text1"/>
          <w:sz w:val="20"/>
          <w:szCs w:val="26"/>
          <w:lang w:val="en-US"/>
        </w:rPr>
        <w:tab/>
        <w:t>the natural or legal person(s), public authority/</w:t>
      </w:r>
      <w:proofErr w:type="spellStart"/>
      <w:r>
        <w:rPr>
          <w:rFonts w:ascii="Museo Sans 100" w:eastAsiaTheme="majorEastAsia" w:hAnsi="Museo Sans 100" w:cstheme="majorBidi"/>
          <w:color w:val="000000" w:themeColor="text1"/>
          <w:sz w:val="20"/>
          <w:szCs w:val="26"/>
          <w:lang w:val="en-US"/>
        </w:rPr>
        <w:t>ies</w:t>
      </w:r>
      <w:proofErr w:type="spellEnd"/>
      <w:r>
        <w:rPr>
          <w:rFonts w:ascii="Museo Sans 100" w:eastAsiaTheme="majorEastAsia" w:hAnsi="Museo Sans 100" w:cstheme="majorBidi"/>
          <w:color w:val="000000" w:themeColor="text1"/>
          <w:sz w:val="20"/>
          <w:szCs w:val="26"/>
          <w:lang w:val="en-US"/>
        </w:rPr>
        <w:t>, agency/</w:t>
      </w:r>
      <w:proofErr w:type="spellStart"/>
      <w:r>
        <w:rPr>
          <w:rFonts w:ascii="Museo Sans 100" w:eastAsiaTheme="majorEastAsia" w:hAnsi="Museo Sans 100" w:cstheme="majorBidi"/>
          <w:color w:val="000000" w:themeColor="text1"/>
          <w:sz w:val="20"/>
          <w:szCs w:val="26"/>
          <w:lang w:val="en-US"/>
        </w:rPr>
        <w:t>ies</w:t>
      </w:r>
      <w:proofErr w:type="spellEnd"/>
      <w:r>
        <w:rPr>
          <w:rFonts w:ascii="Museo Sans 100" w:eastAsiaTheme="majorEastAsia" w:hAnsi="Museo Sans 100" w:cstheme="majorBidi"/>
          <w:color w:val="000000" w:themeColor="text1"/>
          <w:sz w:val="20"/>
          <w:szCs w:val="26"/>
          <w:lang w:val="en-US"/>
        </w:rPr>
        <w:t xml:space="preserve"> or other body/</w:t>
      </w:r>
      <w:proofErr w:type="spellStart"/>
      <w:r>
        <w:rPr>
          <w:rFonts w:ascii="Museo Sans 100" w:eastAsiaTheme="majorEastAsia" w:hAnsi="Museo Sans 100" w:cstheme="majorBidi"/>
          <w:color w:val="000000" w:themeColor="text1"/>
          <w:sz w:val="20"/>
          <w:szCs w:val="26"/>
          <w:lang w:val="en-US"/>
        </w:rPr>
        <w:t>ies</w:t>
      </w:r>
      <w:proofErr w:type="spellEnd"/>
      <w:r>
        <w:rPr>
          <w:rFonts w:ascii="Museo Sans 100" w:eastAsiaTheme="majorEastAsia" w:hAnsi="Museo Sans 100" w:cstheme="majorBidi"/>
          <w:color w:val="000000" w:themeColor="text1"/>
          <w:sz w:val="20"/>
          <w:szCs w:val="26"/>
          <w:lang w:val="en-US"/>
        </w:rPr>
        <w:t xml:space="preserve"> (hereinafter “entity/</w:t>
      </w:r>
      <w:proofErr w:type="spellStart"/>
      <w:r>
        <w:rPr>
          <w:rFonts w:ascii="Museo Sans 100" w:eastAsiaTheme="majorEastAsia" w:hAnsi="Museo Sans 100" w:cstheme="majorBidi"/>
          <w:color w:val="000000" w:themeColor="text1"/>
          <w:sz w:val="20"/>
          <w:szCs w:val="26"/>
          <w:lang w:val="en-US"/>
        </w:rPr>
        <w:t>ies</w:t>
      </w:r>
      <w:proofErr w:type="spellEnd"/>
      <w:r>
        <w:rPr>
          <w:rFonts w:ascii="Museo Sans 100" w:eastAsiaTheme="majorEastAsia" w:hAnsi="Museo Sans 100" w:cstheme="majorBidi"/>
          <w:color w:val="000000" w:themeColor="text1"/>
          <w:sz w:val="20"/>
          <w:szCs w:val="26"/>
          <w:lang w:val="en-US"/>
        </w:rPr>
        <w:t>”) transferring the personal data, as listed in Annex I.A. (hereinafter each “data exporter”), and</w:t>
      </w:r>
    </w:p>
    <w:p w14:paraId="70F544C0" w14:textId="77777777" w:rsidR="006B113F" w:rsidRDefault="00000000">
      <w:pPr>
        <w:spacing w:line="240" w:lineRule="auto"/>
        <w:ind w:left="1418" w:hanging="698"/>
        <w:rPr>
          <w:rFonts w:ascii="Museo Sans 100" w:eastAsiaTheme="majorEastAsia" w:hAnsi="Museo Sans 100" w:cstheme="majorBidi"/>
          <w:color w:val="000000" w:themeColor="text1"/>
          <w:sz w:val="20"/>
          <w:szCs w:val="26"/>
          <w:lang w:val="en-US"/>
        </w:rPr>
      </w:pPr>
      <w:r>
        <w:rPr>
          <w:rFonts w:ascii="Museo Sans 100" w:eastAsiaTheme="majorEastAsia" w:hAnsi="Museo Sans 100" w:cstheme="majorBidi"/>
          <w:color w:val="000000" w:themeColor="text1"/>
          <w:sz w:val="20"/>
          <w:szCs w:val="26"/>
          <w:lang w:val="en-US"/>
        </w:rPr>
        <w:t>(ii)</w:t>
      </w:r>
      <w:r>
        <w:rPr>
          <w:rFonts w:ascii="Museo Sans 100" w:eastAsiaTheme="majorEastAsia" w:hAnsi="Museo Sans 100" w:cstheme="majorBidi"/>
          <w:color w:val="000000" w:themeColor="text1"/>
          <w:sz w:val="20"/>
          <w:szCs w:val="26"/>
          <w:lang w:val="en-US"/>
        </w:rPr>
        <w:tab/>
        <w:t>the entity/</w:t>
      </w:r>
      <w:proofErr w:type="spellStart"/>
      <w:r>
        <w:rPr>
          <w:rFonts w:ascii="Museo Sans 100" w:eastAsiaTheme="majorEastAsia" w:hAnsi="Museo Sans 100" w:cstheme="majorBidi"/>
          <w:color w:val="000000" w:themeColor="text1"/>
          <w:sz w:val="20"/>
          <w:szCs w:val="26"/>
          <w:lang w:val="en-US"/>
        </w:rPr>
        <w:t>ies</w:t>
      </w:r>
      <w:proofErr w:type="spellEnd"/>
      <w:r>
        <w:rPr>
          <w:rFonts w:ascii="Museo Sans 100" w:eastAsiaTheme="majorEastAsia" w:hAnsi="Museo Sans 100" w:cstheme="majorBidi"/>
          <w:color w:val="000000" w:themeColor="text1"/>
          <w:sz w:val="20"/>
          <w:szCs w:val="26"/>
          <w:lang w:val="en-US"/>
        </w:rPr>
        <w:t xml:space="preserve"> in a third country receiving the personal data from the data exporter, directly or indirectly via another entity also Party to these Clauses, as listed in Annex I.A. (hereinafter each “data importer”)</w:t>
      </w:r>
    </w:p>
    <w:p w14:paraId="0C5B7323" w14:textId="77777777" w:rsidR="006B113F" w:rsidRDefault="00000000">
      <w:pPr>
        <w:spacing w:line="240" w:lineRule="auto"/>
        <w:ind w:firstLine="708"/>
        <w:rPr>
          <w:rFonts w:ascii="Museo Sans 100" w:eastAsiaTheme="majorEastAsia" w:hAnsi="Museo Sans 100" w:cstheme="majorBidi"/>
          <w:color w:val="000000" w:themeColor="text1"/>
          <w:sz w:val="20"/>
          <w:szCs w:val="26"/>
          <w:lang w:val="en-US"/>
        </w:rPr>
      </w:pPr>
      <w:r>
        <w:rPr>
          <w:rFonts w:ascii="Museo Sans 100" w:eastAsiaTheme="majorEastAsia" w:hAnsi="Museo Sans 100" w:cstheme="majorBidi"/>
          <w:color w:val="000000" w:themeColor="text1"/>
          <w:sz w:val="20"/>
          <w:szCs w:val="26"/>
          <w:lang w:val="en-US"/>
        </w:rPr>
        <w:t>have agreed to these standard contractual clauses (hereinafter: “Clauses”).</w:t>
      </w:r>
    </w:p>
    <w:p w14:paraId="2B5CC315" w14:textId="77777777" w:rsidR="006B113F" w:rsidRDefault="00000000">
      <w:pPr>
        <w:spacing w:line="240" w:lineRule="auto"/>
        <w:rPr>
          <w:rFonts w:ascii="Museo Sans 100" w:eastAsiaTheme="majorEastAsia" w:hAnsi="Museo Sans 100" w:cstheme="majorBidi"/>
          <w:color w:val="000000" w:themeColor="text1"/>
          <w:sz w:val="20"/>
          <w:szCs w:val="26"/>
          <w:lang w:val="en-US"/>
        </w:rPr>
      </w:pPr>
      <w:r>
        <w:rPr>
          <w:rFonts w:ascii="Museo Sans 100" w:eastAsiaTheme="majorEastAsia" w:hAnsi="Museo Sans 100" w:cstheme="majorBidi"/>
          <w:color w:val="000000" w:themeColor="text1"/>
          <w:sz w:val="20"/>
          <w:szCs w:val="26"/>
          <w:lang w:val="en-US"/>
        </w:rPr>
        <w:t>(c)</w:t>
      </w:r>
      <w:r>
        <w:rPr>
          <w:rFonts w:ascii="Museo Sans 100" w:eastAsiaTheme="majorEastAsia" w:hAnsi="Museo Sans 100" w:cstheme="majorBidi"/>
          <w:color w:val="000000" w:themeColor="text1"/>
          <w:sz w:val="20"/>
          <w:szCs w:val="26"/>
          <w:lang w:val="en-US"/>
        </w:rPr>
        <w:tab/>
        <w:t xml:space="preserve">These Clauses </w:t>
      </w:r>
      <w:r>
        <w:rPr>
          <w:rFonts w:ascii="Museo Sans 100" w:eastAsiaTheme="majorEastAsia" w:hAnsi="Museo Sans 100" w:cstheme="majorBidi"/>
          <w:color w:val="000000" w:themeColor="text1"/>
          <w:sz w:val="18"/>
          <w:szCs w:val="24"/>
          <w:lang w:val="en-US"/>
        </w:rPr>
        <w:t>ap</w:t>
      </w:r>
      <w:r>
        <w:rPr>
          <w:rFonts w:ascii="Museo Sans 100" w:eastAsiaTheme="majorEastAsia" w:hAnsi="Museo Sans 100" w:cstheme="majorBidi"/>
          <w:color w:val="000000" w:themeColor="text1"/>
          <w:sz w:val="20"/>
          <w:szCs w:val="26"/>
          <w:lang w:val="en-US"/>
        </w:rPr>
        <w:t>ply with respect to the transfer of personal data as specified in Annex I.B.</w:t>
      </w:r>
    </w:p>
    <w:p w14:paraId="20B4CD67" w14:textId="77777777" w:rsidR="006B113F" w:rsidRDefault="00000000">
      <w:pPr>
        <w:spacing w:line="240" w:lineRule="auto"/>
        <w:ind w:left="708" w:hanging="708"/>
        <w:rPr>
          <w:rFonts w:ascii="Museo Sans 100" w:eastAsiaTheme="majorEastAsia" w:hAnsi="Museo Sans 100" w:cstheme="majorBidi"/>
          <w:color w:val="000000" w:themeColor="text1"/>
          <w:sz w:val="20"/>
          <w:szCs w:val="26"/>
          <w:lang w:val="en-US"/>
        </w:rPr>
      </w:pPr>
      <w:r>
        <w:rPr>
          <w:rFonts w:ascii="Museo Sans 100" w:eastAsiaTheme="majorEastAsia" w:hAnsi="Museo Sans 100" w:cstheme="majorBidi"/>
          <w:color w:val="000000" w:themeColor="text1"/>
          <w:sz w:val="20"/>
          <w:szCs w:val="26"/>
          <w:lang w:val="en-US"/>
        </w:rPr>
        <w:t>(d)</w:t>
      </w:r>
      <w:r>
        <w:rPr>
          <w:rFonts w:ascii="Museo Sans 100" w:eastAsiaTheme="majorEastAsia" w:hAnsi="Museo Sans 100" w:cstheme="majorBidi"/>
          <w:color w:val="000000" w:themeColor="text1"/>
          <w:sz w:val="20"/>
          <w:szCs w:val="26"/>
          <w:lang w:val="en-US"/>
        </w:rPr>
        <w:tab/>
        <w:t>The Appendix to these Clauses containing the Annexes referred to therein forms an integral part of these Clauses.</w:t>
      </w:r>
    </w:p>
    <w:p w14:paraId="5338BAEA" w14:textId="77777777" w:rsidR="006B113F" w:rsidRDefault="006B113F">
      <w:pPr>
        <w:spacing w:line="240" w:lineRule="auto"/>
        <w:jc w:val="center"/>
        <w:rPr>
          <w:b/>
          <w:bCs/>
          <w:lang w:val="en-US"/>
        </w:rPr>
      </w:pPr>
    </w:p>
    <w:p w14:paraId="42677C53" w14:textId="77777777" w:rsidR="006B113F" w:rsidRDefault="00000000">
      <w:pPr>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br w:type="page" w:clear="all"/>
      </w:r>
    </w:p>
    <w:p w14:paraId="17194369" w14:textId="77777777" w:rsidR="006B113F" w:rsidRDefault="00000000">
      <w:pPr>
        <w:spacing w:line="240" w:lineRule="auto"/>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lastRenderedPageBreak/>
        <w:t>Clause 2- Effect and invariability of the Clauses</w:t>
      </w:r>
    </w:p>
    <w:p w14:paraId="3F3BE305"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b/>
          <w:bCs/>
          <w:sz w:val="20"/>
          <w:szCs w:val="20"/>
          <w:lang w:val="en-US"/>
        </w:rPr>
        <w:tab/>
      </w:r>
      <w:r>
        <w:rPr>
          <w:rFonts w:ascii="Museo Sans 100" w:hAnsi="Museo Sans 100"/>
          <w:sz w:val="20"/>
          <w:szCs w:val="20"/>
          <w:lang w:val="en-US"/>
        </w:rPr>
        <w:t xml:space="preserve">These Clauses set out appropriate safeguards, including enforceable data subject rights and effective legal remedies, pursuant to Article 46(1) and Article 46 (2)(c)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w:t>
      </w:r>
      <w:proofErr w:type="gramStart"/>
      <w:r>
        <w:rPr>
          <w:rFonts w:ascii="Museo Sans 100" w:hAnsi="Museo Sans 100"/>
          <w:sz w:val="20"/>
          <w:szCs w:val="20"/>
          <w:lang w:val="en-US"/>
        </w:rPr>
        <w:t>provided that</w:t>
      </w:r>
      <w:proofErr w:type="gramEnd"/>
      <w:r>
        <w:rPr>
          <w:rFonts w:ascii="Museo Sans 100" w:hAnsi="Museo Sans 100"/>
          <w:sz w:val="20"/>
          <w:szCs w:val="20"/>
          <w:lang w:val="en-US"/>
        </w:rPr>
        <w:t xml:space="preserve"> they do not contradict, directly or indirectly, these Clauses or prejudice the fundamental rights or freedoms of data subjects.</w:t>
      </w:r>
    </w:p>
    <w:p w14:paraId="7781026A"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These Clauses are without prejudice to obligations to which the data exporter is subject by virtue of Regulation (EU) 2016/679.</w:t>
      </w:r>
    </w:p>
    <w:p w14:paraId="2B46A747" w14:textId="77777777" w:rsidR="006B113F" w:rsidRDefault="006B113F">
      <w:pPr>
        <w:spacing w:line="240" w:lineRule="auto"/>
        <w:ind w:left="708" w:hanging="708"/>
        <w:jc w:val="center"/>
        <w:rPr>
          <w:b/>
          <w:bCs/>
          <w:lang w:val="en-US"/>
        </w:rPr>
      </w:pPr>
    </w:p>
    <w:p w14:paraId="508C118E" w14:textId="77777777" w:rsidR="006B113F" w:rsidRDefault="00000000">
      <w:pPr>
        <w:spacing w:line="240" w:lineRule="auto"/>
        <w:ind w:left="708" w:hanging="708"/>
        <w:rPr>
          <w:rFonts w:ascii="Museo Sans 100" w:eastAsiaTheme="majorEastAsia" w:hAnsi="Museo Sans 100" w:cstheme="majorBidi"/>
          <w:color w:val="00B050"/>
          <w:sz w:val="24"/>
          <w:szCs w:val="24"/>
          <w:lang w:val="en-US"/>
        </w:rPr>
      </w:pPr>
      <w:r>
        <w:rPr>
          <w:rFonts w:ascii="Museo Sans 100" w:eastAsiaTheme="majorEastAsia" w:hAnsi="Museo Sans 100" w:cstheme="majorBidi"/>
          <w:color w:val="00B050"/>
          <w:sz w:val="24"/>
          <w:szCs w:val="24"/>
          <w:lang w:val="en-US"/>
        </w:rPr>
        <w:t>Clause 3 – Third-party beneficiaries</w:t>
      </w:r>
    </w:p>
    <w:p w14:paraId="288A485C"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Data subjects may invoke and enforce these Clauses, as third-party beneficiaries, against the data exporter and/or data importer, with the following exceptions:</w:t>
      </w:r>
    </w:p>
    <w:p w14:paraId="5C06A7BE" w14:textId="77777777" w:rsidR="006B113F" w:rsidRDefault="00000000">
      <w:pPr>
        <w:spacing w:line="240" w:lineRule="auto"/>
        <w:ind w:left="708"/>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 xml:space="preserve">Clause 1, Clause 2, Clause 3, Clause 6, Clause </w:t>
      </w:r>
      <w:proofErr w:type="gramStart"/>
      <w:r>
        <w:rPr>
          <w:rFonts w:ascii="Museo Sans 100" w:hAnsi="Museo Sans 100"/>
          <w:sz w:val="20"/>
          <w:szCs w:val="20"/>
          <w:lang w:val="en-US"/>
        </w:rPr>
        <w:t>7;</w:t>
      </w:r>
      <w:proofErr w:type="gramEnd"/>
    </w:p>
    <w:p w14:paraId="065E1851"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t>(ii)</w:t>
      </w:r>
      <w:r>
        <w:tab/>
      </w:r>
      <w:r>
        <w:rPr>
          <w:rFonts w:ascii="Museo Sans 100" w:hAnsi="Museo Sans 100"/>
          <w:sz w:val="20"/>
          <w:szCs w:val="20"/>
          <w:lang w:val="en-US"/>
        </w:rPr>
        <w:t xml:space="preserve">Clause 8 - Clause 8.5 (e) and Clause </w:t>
      </w:r>
      <w:proofErr w:type="gramStart"/>
      <w:r>
        <w:rPr>
          <w:rFonts w:ascii="Museo Sans 100" w:hAnsi="Museo Sans 100"/>
          <w:sz w:val="20"/>
          <w:szCs w:val="20"/>
          <w:lang w:val="en-US"/>
        </w:rPr>
        <w:t>8.9(b);</w:t>
      </w:r>
      <w:proofErr w:type="gramEnd"/>
      <w:r>
        <w:rPr>
          <w:rFonts w:ascii="Museo Sans 100" w:hAnsi="Museo Sans 100"/>
          <w:sz w:val="20"/>
          <w:szCs w:val="20"/>
          <w:lang w:val="en-US"/>
        </w:rPr>
        <w:t xml:space="preserve"> </w:t>
      </w:r>
    </w:p>
    <w:p w14:paraId="62D78B4E"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t>(iii)</w:t>
      </w:r>
      <w:r>
        <w:tab/>
      </w:r>
      <w:r>
        <w:rPr>
          <w:rFonts w:ascii="Museo Sans 100" w:hAnsi="Museo Sans 100"/>
          <w:sz w:val="20"/>
          <w:szCs w:val="20"/>
          <w:lang w:val="en-US"/>
        </w:rPr>
        <w:t>n/a</w:t>
      </w:r>
    </w:p>
    <w:p w14:paraId="02080BCD"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t>(iv)</w:t>
      </w:r>
      <w:r>
        <w:tab/>
      </w:r>
      <w:r>
        <w:rPr>
          <w:rFonts w:ascii="Museo Sans 100" w:hAnsi="Museo Sans 100"/>
          <w:sz w:val="20"/>
          <w:szCs w:val="20"/>
          <w:lang w:val="en-US"/>
        </w:rPr>
        <w:t>Clause 12 - Clause 12(a) and (d</w:t>
      </w:r>
      <w:proofErr w:type="gramStart"/>
      <w:r>
        <w:rPr>
          <w:rFonts w:ascii="Museo Sans 100" w:hAnsi="Museo Sans 100"/>
          <w:sz w:val="20"/>
          <w:szCs w:val="20"/>
          <w:lang w:val="en-US"/>
        </w:rPr>
        <w:t>);</w:t>
      </w:r>
      <w:proofErr w:type="gramEnd"/>
      <w:r>
        <w:rPr>
          <w:rFonts w:ascii="Museo Sans 100" w:hAnsi="Museo Sans 100"/>
          <w:sz w:val="20"/>
          <w:szCs w:val="20"/>
          <w:lang w:val="en-US"/>
        </w:rPr>
        <w:t xml:space="preserve"> </w:t>
      </w:r>
    </w:p>
    <w:p w14:paraId="09B9707F" w14:textId="77777777" w:rsidR="006B113F" w:rsidRDefault="00000000">
      <w:pPr>
        <w:spacing w:line="240" w:lineRule="auto"/>
        <w:ind w:left="708"/>
        <w:rPr>
          <w:rFonts w:ascii="Museo Sans 100" w:hAnsi="Museo Sans 100"/>
          <w:sz w:val="20"/>
          <w:szCs w:val="20"/>
          <w:lang w:val="en-GB"/>
        </w:rPr>
      </w:pPr>
      <w:r>
        <w:rPr>
          <w:rFonts w:ascii="Museo Sans 100" w:hAnsi="Museo Sans 100"/>
          <w:sz w:val="20"/>
          <w:szCs w:val="20"/>
          <w:lang w:val="en-GB"/>
        </w:rPr>
        <w:t>(v)</w:t>
      </w:r>
      <w:r>
        <w:rPr>
          <w:rFonts w:ascii="Museo Sans 100" w:hAnsi="Museo Sans 100"/>
          <w:sz w:val="20"/>
          <w:szCs w:val="20"/>
          <w:lang w:val="en-GB"/>
        </w:rPr>
        <w:tab/>
        <w:t xml:space="preserve">Clause </w:t>
      </w:r>
      <w:proofErr w:type="gramStart"/>
      <w:r>
        <w:rPr>
          <w:rFonts w:ascii="Museo Sans 100" w:hAnsi="Museo Sans 100"/>
          <w:sz w:val="20"/>
          <w:szCs w:val="20"/>
          <w:lang w:val="en-GB"/>
        </w:rPr>
        <w:t>13;</w:t>
      </w:r>
      <w:proofErr w:type="gramEnd"/>
    </w:p>
    <w:p w14:paraId="2A1D7462" w14:textId="77777777" w:rsidR="006B113F" w:rsidRDefault="00000000">
      <w:pPr>
        <w:spacing w:line="240" w:lineRule="auto"/>
        <w:ind w:left="708"/>
        <w:rPr>
          <w:rFonts w:ascii="Museo Sans 100" w:hAnsi="Museo Sans 100"/>
          <w:sz w:val="20"/>
          <w:szCs w:val="20"/>
          <w:lang w:val="en-GB"/>
        </w:rPr>
      </w:pPr>
      <w:r>
        <w:rPr>
          <w:rFonts w:ascii="Museo Sans 100" w:hAnsi="Museo Sans 100"/>
          <w:sz w:val="20"/>
          <w:szCs w:val="20"/>
          <w:lang w:val="en-GB"/>
        </w:rPr>
        <w:t>(vi)</w:t>
      </w:r>
      <w:r>
        <w:rPr>
          <w:rFonts w:ascii="Museo Sans 100" w:hAnsi="Museo Sans 100"/>
          <w:sz w:val="20"/>
          <w:szCs w:val="20"/>
          <w:lang w:val="en-GB"/>
        </w:rPr>
        <w:tab/>
        <w:t>Clause 15.1(c), (d) and (e</w:t>
      </w:r>
      <w:proofErr w:type="gramStart"/>
      <w:r>
        <w:rPr>
          <w:rFonts w:ascii="Museo Sans 100" w:hAnsi="Museo Sans 100"/>
          <w:sz w:val="20"/>
          <w:szCs w:val="20"/>
          <w:lang w:val="en-GB"/>
        </w:rPr>
        <w:t>);</w:t>
      </w:r>
      <w:proofErr w:type="gramEnd"/>
    </w:p>
    <w:p w14:paraId="47069F92" w14:textId="77777777" w:rsidR="006B113F" w:rsidRDefault="00000000">
      <w:pPr>
        <w:spacing w:line="240" w:lineRule="auto"/>
        <w:ind w:left="708"/>
        <w:rPr>
          <w:rFonts w:ascii="Museo Sans 100" w:hAnsi="Museo Sans 100"/>
          <w:sz w:val="20"/>
          <w:szCs w:val="20"/>
          <w:lang w:val="en-GB"/>
        </w:rPr>
      </w:pPr>
      <w:r>
        <w:rPr>
          <w:rFonts w:ascii="Museo Sans 100" w:hAnsi="Museo Sans 100"/>
          <w:sz w:val="20"/>
          <w:szCs w:val="20"/>
          <w:lang w:val="en-GB"/>
        </w:rPr>
        <w:t>(vii)</w:t>
      </w:r>
      <w:r>
        <w:rPr>
          <w:rFonts w:ascii="Museo Sans 100" w:hAnsi="Museo Sans 100"/>
          <w:sz w:val="20"/>
          <w:szCs w:val="20"/>
          <w:lang w:val="en-GB"/>
        </w:rPr>
        <w:tab/>
        <w:t xml:space="preserve">Clause </w:t>
      </w:r>
      <w:proofErr w:type="gramStart"/>
      <w:r>
        <w:rPr>
          <w:rFonts w:ascii="Museo Sans 100" w:hAnsi="Museo Sans 100"/>
          <w:sz w:val="20"/>
          <w:szCs w:val="20"/>
          <w:lang w:val="en-GB"/>
        </w:rPr>
        <w:t>16(e);</w:t>
      </w:r>
      <w:proofErr w:type="gramEnd"/>
    </w:p>
    <w:p w14:paraId="642475AC"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t>(viii)</w:t>
      </w:r>
      <w:r>
        <w:tab/>
      </w:r>
      <w:r>
        <w:rPr>
          <w:rFonts w:ascii="Museo Sans 100" w:hAnsi="Museo Sans 100"/>
          <w:sz w:val="20"/>
          <w:szCs w:val="20"/>
          <w:lang w:val="en-US"/>
        </w:rPr>
        <w:t>Clause 18 - Clause 18(a) and (b</w:t>
      </w:r>
      <w:proofErr w:type="gramStart"/>
      <w:r>
        <w:rPr>
          <w:rFonts w:ascii="Museo Sans 100" w:hAnsi="Museo Sans 100"/>
          <w:sz w:val="20"/>
          <w:szCs w:val="20"/>
          <w:lang w:val="en-US"/>
        </w:rPr>
        <w:t>);</w:t>
      </w:r>
      <w:proofErr w:type="gramEnd"/>
      <w:r>
        <w:rPr>
          <w:rFonts w:ascii="Museo Sans 100" w:hAnsi="Museo Sans 100"/>
          <w:sz w:val="20"/>
          <w:szCs w:val="20"/>
          <w:lang w:val="en-US"/>
        </w:rPr>
        <w:t xml:space="preserve"> </w:t>
      </w:r>
    </w:p>
    <w:p w14:paraId="65C33088"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Paragraph (a) is without prejudice to rights of data subjects under Regulation (EU) 2016/679.</w:t>
      </w:r>
    </w:p>
    <w:p w14:paraId="0C29C493" w14:textId="77777777" w:rsidR="006B113F" w:rsidRDefault="006B113F">
      <w:pPr>
        <w:spacing w:line="240" w:lineRule="auto"/>
        <w:rPr>
          <w:lang w:val="en-US"/>
        </w:rPr>
      </w:pPr>
    </w:p>
    <w:p w14:paraId="3966F5D9" w14:textId="77777777" w:rsidR="006B113F" w:rsidRDefault="00000000">
      <w:pPr>
        <w:spacing w:line="240" w:lineRule="auto"/>
        <w:ind w:left="708" w:hanging="708"/>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4 – Interpretation</w:t>
      </w:r>
    </w:p>
    <w:p w14:paraId="3DF2536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Where these Clauses use terms that are defined in Regulation (EU) 2016/679, those terms shall have the same meaning as in that Regulation.</w:t>
      </w:r>
    </w:p>
    <w:p w14:paraId="1475B05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These Clauses shall be read and interpreted in the light of the provisions of Regulation (EU) 2016/679.</w:t>
      </w:r>
    </w:p>
    <w:p w14:paraId="01FBD0DB"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These Clauses shall not be interpreted in a way that conflicts with rights and obligations provided for in Regulation (EU) 2016/679.</w:t>
      </w:r>
    </w:p>
    <w:p w14:paraId="348818B5" w14:textId="77777777" w:rsidR="006B113F" w:rsidRDefault="006B113F">
      <w:pPr>
        <w:spacing w:line="240" w:lineRule="auto"/>
        <w:rPr>
          <w:b/>
          <w:bCs/>
          <w:lang w:val="en-US"/>
        </w:rPr>
      </w:pPr>
    </w:p>
    <w:p w14:paraId="6428A59B" w14:textId="77777777" w:rsidR="006B113F" w:rsidRDefault="00000000">
      <w:pPr>
        <w:spacing w:line="240" w:lineRule="auto"/>
        <w:ind w:left="708" w:hanging="708"/>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5 – Hierarchy</w:t>
      </w:r>
    </w:p>
    <w:p w14:paraId="06661197"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 xml:space="preserve">In the event of a contradiction between these Clauses and the provisions of related agreements between the Parties, existing at the time these Clauses are agreed or </w:t>
      </w:r>
      <w:proofErr w:type="gramStart"/>
      <w:r>
        <w:rPr>
          <w:rFonts w:ascii="Museo Sans 100" w:hAnsi="Museo Sans 100"/>
          <w:sz w:val="20"/>
          <w:szCs w:val="20"/>
          <w:lang w:val="en-US"/>
        </w:rPr>
        <w:t>entered into</w:t>
      </w:r>
      <w:proofErr w:type="gramEnd"/>
      <w:r>
        <w:rPr>
          <w:rFonts w:ascii="Museo Sans 100" w:hAnsi="Museo Sans 100"/>
          <w:sz w:val="20"/>
          <w:szCs w:val="20"/>
          <w:lang w:val="en-US"/>
        </w:rPr>
        <w:t xml:space="preserve"> thereafter, these Clauses shall prevail.</w:t>
      </w:r>
    </w:p>
    <w:p w14:paraId="14BD7F03" w14:textId="77777777" w:rsidR="006B113F" w:rsidRDefault="006B113F">
      <w:pPr>
        <w:spacing w:line="240" w:lineRule="auto"/>
        <w:rPr>
          <w:b/>
          <w:bCs/>
          <w:lang w:val="en-US"/>
        </w:rPr>
      </w:pPr>
    </w:p>
    <w:p w14:paraId="44BE4F8F" w14:textId="77777777" w:rsidR="006B113F" w:rsidRDefault="00000000">
      <w:pPr>
        <w:spacing w:line="240" w:lineRule="auto"/>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6 – Description of the transfer(s)</w:t>
      </w:r>
    </w:p>
    <w:p w14:paraId="53FF0700"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The details of the transfer(s), and in particular the categories of personal data that are transferred and the purpose(s) for which they are transferred, are specified in Annex I.B.</w:t>
      </w:r>
    </w:p>
    <w:p w14:paraId="79BC73F9" w14:textId="77777777" w:rsidR="006B113F" w:rsidRDefault="006B113F">
      <w:pPr>
        <w:spacing w:line="240" w:lineRule="auto"/>
        <w:rPr>
          <w:b/>
          <w:bCs/>
          <w:lang w:val="en-US"/>
        </w:rPr>
      </w:pPr>
    </w:p>
    <w:p w14:paraId="4DBA03A7" w14:textId="77777777" w:rsidR="006B113F" w:rsidRDefault="00000000">
      <w:pPr>
        <w:spacing w:line="240" w:lineRule="auto"/>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7 – Optional – Docking clause</w:t>
      </w:r>
    </w:p>
    <w:p w14:paraId="742B0298"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An entity that is not a Party to these Clauses may, with the agreement of the Parties, accede to these Clauses at any time, either as a data exporter or as a data importer, by completing the Appendix and signing Annex I.A.</w:t>
      </w:r>
    </w:p>
    <w:p w14:paraId="310F74C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Once it has completed the Appendix and signed Annex I.A, the acceding entity shall become a Party to these Clauses and have the rights and obligations of a data exporter or data importer in accordance with its designation in Annex I.A.</w:t>
      </w:r>
    </w:p>
    <w:p w14:paraId="38FF13EA"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The acceding entity shall have no rights or obligations arising under these Clauses from the period prior to becoming a Party.</w:t>
      </w:r>
    </w:p>
    <w:p w14:paraId="2CABBEE4" w14:textId="77777777" w:rsidR="006B113F" w:rsidRDefault="006B113F">
      <w:pPr>
        <w:spacing w:line="240" w:lineRule="auto"/>
        <w:rPr>
          <w:b/>
          <w:bCs/>
          <w:lang w:val="en-US"/>
        </w:rPr>
      </w:pPr>
    </w:p>
    <w:p w14:paraId="53C70439" w14:textId="77777777" w:rsidR="006B113F" w:rsidRDefault="006B113F">
      <w:pPr>
        <w:spacing w:line="240" w:lineRule="auto"/>
        <w:rPr>
          <w:b/>
          <w:bCs/>
          <w:lang w:val="en-US"/>
        </w:rPr>
      </w:pPr>
    </w:p>
    <w:p w14:paraId="14F9DEEB" w14:textId="77777777" w:rsidR="006B113F" w:rsidRDefault="00000000">
      <w:pPr>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br w:type="page" w:clear="all"/>
      </w:r>
    </w:p>
    <w:p w14:paraId="50E9998A" w14:textId="77777777" w:rsidR="006B113F" w:rsidRDefault="00000000">
      <w:pPr>
        <w:spacing w:line="240" w:lineRule="auto"/>
        <w:jc w:val="center"/>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lastRenderedPageBreak/>
        <w:t>SECTION II – OBLIGATIONS OF THE PARTIES</w:t>
      </w:r>
    </w:p>
    <w:p w14:paraId="2CB41781" w14:textId="77777777" w:rsidR="006B113F" w:rsidRDefault="006B113F">
      <w:pPr>
        <w:spacing w:line="240" w:lineRule="auto"/>
        <w:rPr>
          <w:b/>
          <w:bCs/>
          <w:lang w:val="en-US"/>
        </w:rPr>
      </w:pPr>
    </w:p>
    <w:p w14:paraId="13F67793" w14:textId="77777777" w:rsidR="006B113F" w:rsidRDefault="00000000">
      <w:pPr>
        <w:spacing w:line="240" w:lineRule="auto"/>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8 – Data protection safeguards</w:t>
      </w:r>
    </w:p>
    <w:p w14:paraId="7155EF5B"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 xml:space="preserve">The data exporter warrants that it has used reasonable efforts to determine that the data importer is able, through the implementation of appropriate technical and </w:t>
      </w:r>
      <w:proofErr w:type="spellStart"/>
      <w:r>
        <w:rPr>
          <w:rFonts w:ascii="Museo Sans 100" w:hAnsi="Museo Sans 100"/>
          <w:sz w:val="20"/>
          <w:szCs w:val="20"/>
          <w:lang w:val="en-US"/>
        </w:rPr>
        <w:t>organisational</w:t>
      </w:r>
      <w:proofErr w:type="spellEnd"/>
      <w:r>
        <w:rPr>
          <w:rFonts w:ascii="Museo Sans 100" w:hAnsi="Museo Sans 100"/>
          <w:sz w:val="20"/>
          <w:szCs w:val="20"/>
          <w:lang w:val="en-US"/>
        </w:rPr>
        <w:t xml:space="preserve"> measures, to satisfy its obligations under these Clauses.</w:t>
      </w:r>
    </w:p>
    <w:p w14:paraId="08CC75AA" w14:textId="77777777" w:rsidR="006B113F" w:rsidRDefault="006B113F">
      <w:pPr>
        <w:spacing w:line="240" w:lineRule="auto"/>
        <w:rPr>
          <w:rFonts w:ascii="Museo Sans 100" w:eastAsiaTheme="majorEastAsia" w:hAnsi="Museo Sans 100" w:cstheme="majorBidi"/>
          <w:i/>
          <w:color w:val="00B050"/>
          <w:sz w:val="20"/>
          <w:szCs w:val="20"/>
          <w:lang w:val="en-US"/>
        </w:rPr>
      </w:pPr>
    </w:p>
    <w:p w14:paraId="26CABB20"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 xml:space="preserve">8.1 </w:t>
      </w:r>
      <w:r>
        <w:rPr>
          <w:rFonts w:ascii="Museo Sans 100" w:eastAsiaTheme="majorEastAsia" w:hAnsi="Museo Sans 100" w:cstheme="majorBidi"/>
          <w:i/>
          <w:color w:val="00B050"/>
          <w:sz w:val="20"/>
          <w:szCs w:val="20"/>
          <w:lang w:val="en-US"/>
        </w:rPr>
        <w:tab/>
        <w:t>Purpose limitation</w:t>
      </w:r>
    </w:p>
    <w:p w14:paraId="4A796F39"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The data importer shall process the personal data only for the specific purpose(s) of the transfer, as set out in Annex I.B. It may only process the personal data for another purpose:</w:t>
      </w:r>
    </w:p>
    <w:p w14:paraId="2FACCB2E"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 xml:space="preserve">where it has obtained the data subject’s prior </w:t>
      </w:r>
      <w:proofErr w:type="gramStart"/>
      <w:r>
        <w:rPr>
          <w:rFonts w:ascii="Museo Sans 100" w:hAnsi="Museo Sans 100"/>
          <w:sz w:val="20"/>
          <w:szCs w:val="20"/>
          <w:lang w:val="en-US"/>
        </w:rPr>
        <w:t>consent;</w:t>
      </w:r>
      <w:proofErr w:type="gramEnd"/>
    </w:p>
    <w:p w14:paraId="12FB65A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 xml:space="preserve">where necessary for the establishment, exercise or </w:t>
      </w:r>
      <w:proofErr w:type="spellStart"/>
      <w:r>
        <w:rPr>
          <w:rFonts w:ascii="Museo Sans 100" w:hAnsi="Museo Sans 100"/>
          <w:sz w:val="20"/>
          <w:szCs w:val="20"/>
          <w:lang w:val="en-US"/>
        </w:rPr>
        <w:t>defence</w:t>
      </w:r>
      <w:proofErr w:type="spellEnd"/>
      <w:r>
        <w:rPr>
          <w:rFonts w:ascii="Museo Sans 100" w:hAnsi="Museo Sans 100"/>
          <w:sz w:val="20"/>
          <w:szCs w:val="20"/>
          <w:lang w:val="en-US"/>
        </w:rPr>
        <w:t xml:space="preserve"> of legal claims in the context of specific administrative, regulatory or judicial proceedings; or</w:t>
      </w:r>
    </w:p>
    <w:p w14:paraId="51776526"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(iii)</w:t>
      </w:r>
      <w:r>
        <w:rPr>
          <w:rFonts w:ascii="Museo Sans 100" w:hAnsi="Museo Sans 100"/>
          <w:sz w:val="20"/>
          <w:szCs w:val="20"/>
          <w:lang w:val="en-US"/>
        </w:rPr>
        <w:tab/>
        <w:t xml:space="preserve">where necessary </w:t>
      </w:r>
      <w:proofErr w:type="gramStart"/>
      <w:r>
        <w:rPr>
          <w:rFonts w:ascii="Museo Sans 100" w:hAnsi="Museo Sans 100"/>
          <w:sz w:val="20"/>
          <w:szCs w:val="20"/>
          <w:lang w:val="en-US"/>
        </w:rPr>
        <w:t>in order to</w:t>
      </w:r>
      <w:proofErr w:type="gramEnd"/>
      <w:r>
        <w:rPr>
          <w:rFonts w:ascii="Museo Sans 100" w:hAnsi="Museo Sans 100"/>
          <w:sz w:val="20"/>
          <w:szCs w:val="20"/>
          <w:lang w:val="en-US"/>
        </w:rPr>
        <w:t xml:space="preserve"> protect the vital interests of the data subject or of another natural person.</w:t>
      </w:r>
    </w:p>
    <w:p w14:paraId="6C704675" w14:textId="77777777" w:rsidR="006B113F" w:rsidRDefault="006B113F">
      <w:pPr>
        <w:spacing w:line="240" w:lineRule="auto"/>
        <w:ind w:left="708" w:hanging="708"/>
        <w:rPr>
          <w:lang w:val="en-US"/>
        </w:rPr>
      </w:pPr>
    </w:p>
    <w:p w14:paraId="2A4BE6AC"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8.2</w:t>
      </w:r>
      <w:r>
        <w:rPr>
          <w:rFonts w:ascii="Museo Sans 100" w:eastAsiaTheme="majorEastAsia" w:hAnsi="Museo Sans 100" w:cstheme="majorBidi"/>
          <w:i/>
          <w:color w:val="00B050"/>
          <w:sz w:val="20"/>
          <w:szCs w:val="20"/>
          <w:lang w:val="en-US"/>
        </w:rPr>
        <w:tab/>
        <w:t>Transparency</w:t>
      </w:r>
    </w:p>
    <w:p w14:paraId="3CDD2B2D"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In order to enable data subjects to effectively exercise their rights pursuant to Clause 10, the data importer shall inform them, either directly or through the data exporter:</w:t>
      </w:r>
    </w:p>
    <w:p w14:paraId="0BCE3D42" w14:textId="77777777" w:rsidR="006B113F" w:rsidRDefault="00000000">
      <w:pPr>
        <w:spacing w:line="240" w:lineRule="auto"/>
        <w:ind w:left="708"/>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 xml:space="preserve">of its identity and contact </w:t>
      </w:r>
      <w:proofErr w:type="gramStart"/>
      <w:r>
        <w:rPr>
          <w:rFonts w:ascii="Museo Sans 100" w:hAnsi="Museo Sans 100"/>
          <w:sz w:val="20"/>
          <w:szCs w:val="20"/>
          <w:lang w:val="en-US"/>
        </w:rPr>
        <w:t>details;</w:t>
      </w:r>
      <w:proofErr w:type="gramEnd"/>
    </w:p>
    <w:p w14:paraId="0210D3A3" w14:textId="77777777" w:rsidR="006B113F" w:rsidRDefault="00000000">
      <w:pPr>
        <w:spacing w:line="240" w:lineRule="auto"/>
        <w:ind w:left="708"/>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 xml:space="preserve">of the categories of personal data </w:t>
      </w:r>
      <w:proofErr w:type="gramStart"/>
      <w:r>
        <w:rPr>
          <w:rFonts w:ascii="Museo Sans 100" w:hAnsi="Museo Sans 100"/>
          <w:sz w:val="20"/>
          <w:szCs w:val="20"/>
          <w:lang w:val="en-US"/>
        </w:rPr>
        <w:t>processed;</w:t>
      </w:r>
      <w:proofErr w:type="gramEnd"/>
    </w:p>
    <w:p w14:paraId="5A93D2B4" w14:textId="77777777" w:rsidR="006B113F" w:rsidRDefault="00000000">
      <w:pPr>
        <w:spacing w:line="240" w:lineRule="auto"/>
        <w:ind w:left="708"/>
        <w:rPr>
          <w:rFonts w:ascii="Museo Sans 100" w:hAnsi="Museo Sans 100"/>
          <w:sz w:val="20"/>
          <w:szCs w:val="20"/>
          <w:lang w:val="en-US"/>
        </w:rPr>
      </w:pPr>
      <w:r>
        <w:rPr>
          <w:rFonts w:ascii="Museo Sans 100" w:hAnsi="Museo Sans 100"/>
          <w:sz w:val="20"/>
          <w:szCs w:val="20"/>
          <w:lang w:val="en-US"/>
        </w:rPr>
        <w:t>(iii)</w:t>
      </w:r>
      <w:r>
        <w:rPr>
          <w:rFonts w:ascii="Museo Sans 100" w:hAnsi="Museo Sans 100"/>
          <w:sz w:val="20"/>
          <w:szCs w:val="20"/>
          <w:lang w:val="en-US"/>
        </w:rPr>
        <w:tab/>
        <w:t xml:space="preserve">of the right to obtain a copy of these </w:t>
      </w:r>
      <w:proofErr w:type="gramStart"/>
      <w:r>
        <w:rPr>
          <w:rFonts w:ascii="Museo Sans 100" w:hAnsi="Museo Sans 100"/>
          <w:sz w:val="20"/>
          <w:szCs w:val="20"/>
          <w:lang w:val="en-US"/>
        </w:rPr>
        <w:t>Clauses;</w:t>
      </w:r>
      <w:proofErr w:type="gramEnd"/>
    </w:p>
    <w:p w14:paraId="74072FF6"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t>(iv)</w:t>
      </w:r>
      <w:r>
        <w:rPr>
          <w:rFonts w:ascii="Museo Sans 100" w:hAnsi="Museo Sans 100"/>
          <w:sz w:val="20"/>
          <w:szCs w:val="20"/>
          <w:lang w:val="en-US"/>
        </w:rPr>
        <w:tab/>
        <w:t>where it intends to onward transfer the personal data to any third party/</w:t>
      </w:r>
      <w:proofErr w:type="spellStart"/>
      <w:r>
        <w:rPr>
          <w:rFonts w:ascii="Museo Sans 100" w:hAnsi="Museo Sans 100"/>
          <w:sz w:val="20"/>
          <w:szCs w:val="20"/>
          <w:lang w:val="en-US"/>
        </w:rPr>
        <w:t>ies</w:t>
      </w:r>
      <w:proofErr w:type="spellEnd"/>
      <w:r>
        <w:rPr>
          <w:rFonts w:ascii="Museo Sans 100" w:hAnsi="Museo Sans 100"/>
          <w:sz w:val="20"/>
          <w:szCs w:val="20"/>
          <w:lang w:val="en-US"/>
        </w:rPr>
        <w:t>, of the recipient or categories of recipients (as appropriate with a view to providing meaningful information), the purpose of such onward transfer and the ground therefore pursuant to Clause 8.7.</w:t>
      </w:r>
    </w:p>
    <w:p w14:paraId="52C7E8C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Paragraph (a) shall not apply where the data subject already has the information, including when such information has already been provided by the data exporter, or providing the information proves impossible or would involve a disproportionate effort for the data importer. In the latter case, the data importer shall, to the extent possible, make the information publicly available.</w:t>
      </w:r>
    </w:p>
    <w:p w14:paraId="5A39F03C"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On request, the Parties shall make a copy of these Clauses, including the Appendix as completed by them, available to the data subject free of charge. To the extent necessary to protect business secrets or other confidential information, including personal data, the Parties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7BC214BF"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(d)</w:t>
      </w:r>
      <w:r>
        <w:rPr>
          <w:rFonts w:ascii="Museo Sans 100" w:hAnsi="Museo Sans 100"/>
          <w:sz w:val="20"/>
          <w:szCs w:val="20"/>
          <w:lang w:val="en-US"/>
        </w:rPr>
        <w:tab/>
        <w:t>Paragraphs (a) to (c) are without prejudice to the obligations of the data exporter under Articles 13 and 14 of Regulation (EU) 2016/679.</w:t>
      </w:r>
    </w:p>
    <w:p w14:paraId="5FA2D341" w14:textId="77777777" w:rsidR="006B113F" w:rsidRDefault="006B113F">
      <w:pPr>
        <w:spacing w:line="240" w:lineRule="auto"/>
        <w:ind w:left="708" w:hanging="708"/>
        <w:rPr>
          <w:lang w:val="en-US"/>
        </w:rPr>
      </w:pPr>
    </w:p>
    <w:p w14:paraId="048F45CD" w14:textId="77777777" w:rsidR="006B113F" w:rsidRDefault="00000000">
      <w:pPr>
        <w:spacing w:line="240" w:lineRule="auto"/>
        <w:ind w:left="708" w:hanging="708"/>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8.3</w:t>
      </w:r>
      <w:r>
        <w:rPr>
          <w:rFonts w:ascii="Museo Sans 100" w:eastAsiaTheme="majorEastAsia" w:hAnsi="Museo Sans 100" w:cstheme="majorBidi"/>
          <w:i/>
          <w:color w:val="00B050"/>
          <w:sz w:val="20"/>
          <w:szCs w:val="20"/>
          <w:lang w:val="en-US"/>
        </w:rPr>
        <w:tab/>
        <w:t xml:space="preserve">Accuracy and data </w:t>
      </w:r>
      <w:proofErr w:type="spellStart"/>
      <w:r>
        <w:rPr>
          <w:rFonts w:ascii="Museo Sans 100" w:eastAsiaTheme="majorEastAsia" w:hAnsi="Museo Sans 100" w:cstheme="majorBidi"/>
          <w:i/>
          <w:color w:val="00B050"/>
          <w:sz w:val="20"/>
          <w:szCs w:val="20"/>
          <w:lang w:val="en-US"/>
        </w:rPr>
        <w:t>minimisation</w:t>
      </w:r>
      <w:proofErr w:type="spellEnd"/>
    </w:p>
    <w:p w14:paraId="07756D24"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 xml:space="preserve">Each Party </w:t>
      </w:r>
      <w:proofErr w:type="gramStart"/>
      <w:r>
        <w:rPr>
          <w:rFonts w:ascii="Museo Sans 100" w:hAnsi="Museo Sans 100"/>
          <w:sz w:val="20"/>
          <w:szCs w:val="20"/>
          <w:lang w:val="en-US"/>
        </w:rPr>
        <w:t>shall</w:t>
      </w:r>
      <w:proofErr w:type="gramEnd"/>
      <w:r>
        <w:rPr>
          <w:rFonts w:ascii="Museo Sans 100" w:hAnsi="Museo Sans 100"/>
          <w:sz w:val="20"/>
          <w:szCs w:val="20"/>
          <w:lang w:val="en-US"/>
        </w:rPr>
        <w:t xml:space="preserve"> ensure that the personal data is accurate and, where necessary, kept up to date. The data importer shall take every reasonable step to ensure that personal data that is inaccurate, having regard to the purpose(s) of processing, is erased or rectified without delay.</w:t>
      </w:r>
    </w:p>
    <w:p w14:paraId="3EE8C33D"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If one of the Parties becomes aware that the personal data it has transferred or received is inaccurate, or has become outdated, it shall inform the other Party without undue delay.</w:t>
      </w:r>
    </w:p>
    <w:p w14:paraId="0296C7B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The data importer shall ensure that the personal data is adequate, relevant and limited to what is necessary in relation to the purpose(s) of processing.</w:t>
      </w:r>
    </w:p>
    <w:p w14:paraId="6D79698F" w14:textId="77777777" w:rsidR="006B113F" w:rsidRDefault="006B113F">
      <w:pPr>
        <w:spacing w:line="240" w:lineRule="auto"/>
        <w:ind w:left="708" w:hanging="708"/>
        <w:rPr>
          <w:lang w:val="en-US"/>
        </w:rPr>
      </w:pPr>
    </w:p>
    <w:p w14:paraId="65D3933A" w14:textId="77777777" w:rsidR="006B113F" w:rsidRDefault="00000000">
      <w:pPr>
        <w:spacing w:line="240" w:lineRule="auto"/>
        <w:ind w:left="708" w:hanging="708"/>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8.4</w:t>
      </w:r>
      <w:r>
        <w:rPr>
          <w:rFonts w:ascii="Museo Sans 100" w:eastAsiaTheme="majorEastAsia" w:hAnsi="Museo Sans 100" w:cstheme="majorBidi"/>
          <w:i/>
          <w:color w:val="00B050"/>
          <w:sz w:val="20"/>
          <w:szCs w:val="20"/>
          <w:lang w:val="en-US"/>
        </w:rPr>
        <w:tab/>
        <w:t>Storage limitation</w:t>
      </w:r>
    </w:p>
    <w:p w14:paraId="00C407CB"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 xml:space="preserve">The data importer shall retain the personal data for no longer than necessary for the purpose(s) for which it is processed. It </w:t>
      </w:r>
      <w:proofErr w:type="gramStart"/>
      <w:r>
        <w:rPr>
          <w:rFonts w:ascii="Museo Sans 100" w:hAnsi="Museo Sans 100"/>
          <w:sz w:val="20"/>
          <w:szCs w:val="20"/>
          <w:lang w:val="en-US"/>
        </w:rPr>
        <w:t>shall</w:t>
      </w:r>
      <w:proofErr w:type="gramEnd"/>
      <w:r>
        <w:rPr>
          <w:rFonts w:ascii="Museo Sans 100" w:hAnsi="Museo Sans 100"/>
          <w:sz w:val="20"/>
          <w:szCs w:val="20"/>
          <w:lang w:val="en-US"/>
        </w:rPr>
        <w:t xml:space="preserve"> put in place appropriate technical or </w:t>
      </w:r>
      <w:proofErr w:type="spellStart"/>
      <w:r>
        <w:rPr>
          <w:rFonts w:ascii="Museo Sans 100" w:hAnsi="Museo Sans 100"/>
          <w:sz w:val="20"/>
          <w:szCs w:val="20"/>
          <w:lang w:val="en-US"/>
        </w:rPr>
        <w:t>organisational</w:t>
      </w:r>
      <w:proofErr w:type="spellEnd"/>
      <w:r>
        <w:rPr>
          <w:rFonts w:ascii="Museo Sans 100" w:hAnsi="Museo Sans 100"/>
          <w:sz w:val="20"/>
          <w:szCs w:val="20"/>
          <w:lang w:val="en-US"/>
        </w:rPr>
        <w:t xml:space="preserve"> measures to ensure compliance with this obligation, including erasure or </w:t>
      </w:r>
      <w:proofErr w:type="spellStart"/>
      <w:r>
        <w:rPr>
          <w:rFonts w:ascii="Museo Sans 100" w:hAnsi="Museo Sans 100"/>
          <w:sz w:val="20"/>
          <w:szCs w:val="20"/>
          <w:lang w:val="en-US"/>
        </w:rPr>
        <w:t>anonymisation</w:t>
      </w:r>
      <w:proofErr w:type="spellEnd"/>
      <w:r>
        <w:rPr>
          <w:rFonts w:ascii="Museo Sans 100" w:hAnsi="Museo Sans 100"/>
          <w:sz w:val="20"/>
          <w:szCs w:val="20"/>
          <w:vertAlign w:val="superscript"/>
        </w:rPr>
        <w:footnoteReference w:id="3"/>
      </w:r>
      <w:r>
        <w:rPr>
          <w:rFonts w:ascii="Museo Sans 100" w:hAnsi="Museo Sans 100"/>
          <w:sz w:val="20"/>
          <w:szCs w:val="20"/>
          <w:vertAlign w:val="superscript"/>
          <w:lang w:val="en-US"/>
        </w:rPr>
        <w:t xml:space="preserve"> </w:t>
      </w:r>
      <w:r>
        <w:rPr>
          <w:rFonts w:ascii="Museo Sans 100" w:hAnsi="Museo Sans 100"/>
          <w:sz w:val="20"/>
          <w:szCs w:val="20"/>
          <w:lang w:val="en-US"/>
        </w:rPr>
        <w:t>of the data and all back-ups at the end of the retention period.</w:t>
      </w:r>
    </w:p>
    <w:p w14:paraId="6B6E49E3"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lastRenderedPageBreak/>
        <w:t>8.5</w:t>
      </w:r>
      <w:r>
        <w:rPr>
          <w:rFonts w:ascii="Museo Sans 100" w:eastAsiaTheme="majorEastAsia" w:hAnsi="Museo Sans 100" w:cstheme="majorBidi"/>
          <w:i/>
          <w:color w:val="00B050"/>
          <w:sz w:val="20"/>
          <w:szCs w:val="20"/>
          <w:lang w:val="en-US"/>
        </w:rPr>
        <w:tab/>
        <w:t>Security of processing</w:t>
      </w:r>
    </w:p>
    <w:p w14:paraId="011583FA"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 xml:space="preserve">The data importer and, during transmission, also the data exporter shall implement appropriate technical and </w:t>
      </w:r>
      <w:proofErr w:type="spellStart"/>
      <w:r>
        <w:rPr>
          <w:rFonts w:ascii="Museo Sans 100" w:hAnsi="Museo Sans 100"/>
          <w:sz w:val="20"/>
          <w:szCs w:val="20"/>
          <w:lang w:val="en-US"/>
        </w:rPr>
        <w:t>organisational</w:t>
      </w:r>
      <w:proofErr w:type="spellEnd"/>
      <w:r>
        <w:rPr>
          <w:rFonts w:ascii="Museo Sans 100" w:hAnsi="Museo Sans 100"/>
          <w:sz w:val="20"/>
          <w:szCs w:val="20"/>
          <w:lang w:val="en-US"/>
        </w:rPr>
        <w:t xml:space="preserve"> measures to ensure the security of the personal data, including protection against a breach of security leading to accidental or unlawful destruction, loss, alteration, </w:t>
      </w:r>
      <w:proofErr w:type="spellStart"/>
      <w:r>
        <w:rPr>
          <w:rFonts w:ascii="Museo Sans 100" w:hAnsi="Museo Sans 100"/>
          <w:sz w:val="20"/>
          <w:szCs w:val="20"/>
          <w:lang w:val="en-US"/>
        </w:rPr>
        <w:t>unauthorised</w:t>
      </w:r>
      <w:proofErr w:type="spellEnd"/>
      <w:r>
        <w:rPr>
          <w:rFonts w:ascii="Museo Sans 100" w:hAnsi="Museo Sans 100"/>
          <w:sz w:val="20"/>
          <w:szCs w:val="20"/>
          <w:lang w:val="en-US"/>
        </w:rPr>
        <w:t xml:space="preserve"> disclosure or access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w:t>
      </w:r>
      <w:proofErr w:type="gramStart"/>
      <w:r>
        <w:rPr>
          <w:rFonts w:ascii="Museo Sans 100" w:hAnsi="Museo Sans 100"/>
          <w:sz w:val="20"/>
          <w:szCs w:val="20"/>
          <w:lang w:val="en-US"/>
        </w:rPr>
        <w:t>in particular consider</w:t>
      </w:r>
      <w:proofErr w:type="gramEnd"/>
      <w:r>
        <w:rPr>
          <w:rFonts w:ascii="Museo Sans 100" w:hAnsi="Museo Sans 100"/>
          <w:sz w:val="20"/>
          <w:szCs w:val="20"/>
          <w:lang w:val="en-US"/>
        </w:rPr>
        <w:t xml:space="preserve"> having recourse to encryption or </w:t>
      </w:r>
      <w:proofErr w:type="spellStart"/>
      <w:r>
        <w:rPr>
          <w:rFonts w:ascii="Museo Sans 100" w:hAnsi="Museo Sans 100"/>
          <w:sz w:val="20"/>
          <w:szCs w:val="20"/>
          <w:lang w:val="en-US"/>
        </w:rPr>
        <w:t>pseudonymisation</w:t>
      </w:r>
      <w:proofErr w:type="spellEnd"/>
      <w:r>
        <w:rPr>
          <w:rFonts w:ascii="Museo Sans 100" w:hAnsi="Museo Sans 100"/>
          <w:sz w:val="20"/>
          <w:szCs w:val="20"/>
          <w:lang w:val="en-US"/>
        </w:rPr>
        <w:t>, including during transmission, where the purpose of processing can be fulfilled in that manner.</w:t>
      </w:r>
    </w:p>
    <w:p w14:paraId="3174C0B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 xml:space="preserve">The Parties have agreed on the technical and </w:t>
      </w:r>
      <w:proofErr w:type="spellStart"/>
      <w:r>
        <w:rPr>
          <w:rFonts w:ascii="Museo Sans 100" w:hAnsi="Museo Sans 100"/>
          <w:sz w:val="20"/>
          <w:szCs w:val="20"/>
          <w:lang w:val="en-US"/>
        </w:rPr>
        <w:t>organisational</w:t>
      </w:r>
      <w:proofErr w:type="spellEnd"/>
      <w:r>
        <w:rPr>
          <w:rFonts w:ascii="Museo Sans 100" w:hAnsi="Museo Sans 100"/>
          <w:sz w:val="20"/>
          <w:szCs w:val="20"/>
          <w:lang w:val="en-US"/>
        </w:rPr>
        <w:t xml:space="preserve"> measures set out in Annex II. The data importer shall carry out regular checks to ensure that these measures continue to provide an appropriate level of security.</w:t>
      </w:r>
    </w:p>
    <w:p w14:paraId="67115351"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 xml:space="preserve">The data importer shall ensure that </w:t>
      </w:r>
      <w:proofErr w:type="gramStart"/>
      <w:r>
        <w:rPr>
          <w:rFonts w:ascii="Museo Sans 100" w:hAnsi="Museo Sans 100"/>
          <w:sz w:val="20"/>
          <w:szCs w:val="20"/>
          <w:lang w:val="en-US"/>
        </w:rPr>
        <w:t>persons</w:t>
      </w:r>
      <w:proofErr w:type="gramEnd"/>
      <w:r>
        <w:rPr>
          <w:rFonts w:ascii="Museo Sans 100" w:hAnsi="Museo Sans 100"/>
          <w:sz w:val="20"/>
          <w:szCs w:val="20"/>
          <w:lang w:val="en-US"/>
        </w:rPr>
        <w:t xml:space="preserve"> </w:t>
      </w:r>
      <w:proofErr w:type="spellStart"/>
      <w:r>
        <w:rPr>
          <w:rFonts w:ascii="Museo Sans 100" w:hAnsi="Museo Sans 100"/>
          <w:sz w:val="20"/>
          <w:szCs w:val="20"/>
          <w:lang w:val="en-US"/>
        </w:rPr>
        <w:t>authorised</w:t>
      </w:r>
      <w:proofErr w:type="spellEnd"/>
      <w:r>
        <w:rPr>
          <w:rFonts w:ascii="Museo Sans 100" w:hAnsi="Museo Sans 100"/>
          <w:sz w:val="20"/>
          <w:szCs w:val="20"/>
          <w:lang w:val="en-US"/>
        </w:rPr>
        <w:t xml:space="preserve"> to process the personal data have committed themselves to confidentiality or are under an appropriate statutory obligation of confidentiality.</w:t>
      </w:r>
    </w:p>
    <w:p w14:paraId="1EB629ED"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(d)</w:t>
      </w:r>
      <w:r>
        <w:rPr>
          <w:rFonts w:ascii="Museo Sans 100" w:hAnsi="Museo Sans 100"/>
          <w:sz w:val="20"/>
          <w:szCs w:val="20"/>
          <w:lang w:val="en-US"/>
        </w:rPr>
        <w:tab/>
        <w:t>In the event of a personal data breach concerning personal data processed by the data importer under these Clauses, the data importer shall take appropriate measures to address the personal data breach, including measures to mitigate its possible adverse effects.</w:t>
      </w:r>
    </w:p>
    <w:p w14:paraId="4D731CA6"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(e)</w:t>
      </w:r>
      <w:r>
        <w:rPr>
          <w:rFonts w:ascii="Museo Sans 100" w:hAnsi="Museo Sans 100"/>
          <w:sz w:val="20"/>
          <w:szCs w:val="20"/>
          <w:lang w:val="en-US"/>
        </w:rPr>
        <w:tab/>
        <w:t xml:space="preserve">In case of a personal data breach that is likely to result in a risk to the rights and freedoms of natural persons, the data importer shall without undue delay notify both the data exporter and the competent supervisory authority pursuant to Clause 13. Such notification shall contain </w:t>
      </w:r>
      <w:proofErr w:type="spellStart"/>
      <w:r>
        <w:rPr>
          <w:rFonts w:ascii="Museo Sans 100" w:hAnsi="Museo Sans 100"/>
          <w:sz w:val="20"/>
          <w:szCs w:val="20"/>
          <w:lang w:val="en-US"/>
        </w:rPr>
        <w:t>i</w:t>
      </w:r>
      <w:proofErr w:type="spellEnd"/>
      <w:r>
        <w:rPr>
          <w:rFonts w:ascii="Museo Sans 100" w:hAnsi="Museo Sans 100"/>
          <w:sz w:val="20"/>
          <w:szCs w:val="20"/>
          <w:lang w:val="en-US"/>
        </w:rPr>
        <w:t>) a description of the nature of the breach (including, where possible, categories and approximate number of data subjects and personal data records concerned), ii) its likely consequences, iii) the measures taken or proposed to address the breach, and iv) the details of a contact point from whom more information can be obtained. To the extent it is not possible for the data importer to provide all the information at the same time, it may do so in phases without undue further delay.</w:t>
      </w:r>
    </w:p>
    <w:p w14:paraId="541EE4F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(f)</w:t>
      </w:r>
      <w:r>
        <w:rPr>
          <w:rFonts w:ascii="Museo Sans 100" w:hAnsi="Museo Sans 100"/>
          <w:sz w:val="20"/>
          <w:szCs w:val="20"/>
          <w:lang w:val="en-US"/>
        </w:rPr>
        <w:tab/>
        <w:t>In case of a personal data breach that is likely to result in a high risk to the rights and freedoms of natural persons, the data importer shall also notify without undue delay the data subjects concerned of the personal data breach and its nature, if necessary in cooperation with the data exporter, together with the information referred to in paragraph (e), points ii) to iv), unless the data importer has implemented measures to significantly reduce the risk to the rights or freedoms of natural persons, or notification would involve disproportionate efforts. In the latter case, the data importer shall instead issue a public communication or take a similar measure to inform the public of the personal data breach.</w:t>
      </w:r>
    </w:p>
    <w:p w14:paraId="4041ED2F"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(g)</w:t>
      </w:r>
      <w:r>
        <w:rPr>
          <w:rFonts w:ascii="Museo Sans 100" w:hAnsi="Museo Sans 100"/>
          <w:sz w:val="20"/>
          <w:szCs w:val="20"/>
          <w:lang w:val="en-US"/>
        </w:rPr>
        <w:tab/>
        <w:t>The data importer shall document all relevant facts relating to the personal data breach, including its effects and any remedial action taken, and keep a record thereof.</w:t>
      </w:r>
    </w:p>
    <w:p w14:paraId="3C34F2AD" w14:textId="77777777" w:rsidR="006B113F" w:rsidRDefault="006B113F">
      <w:pPr>
        <w:spacing w:line="240" w:lineRule="auto"/>
        <w:ind w:left="708" w:hanging="708"/>
        <w:rPr>
          <w:lang w:val="en-US"/>
        </w:rPr>
      </w:pPr>
    </w:p>
    <w:p w14:paraId="564E9F14" w14:textId="77777777" w:rsidR="006B113F" w:rsidRDefault="00000000">
      <w:pPr>
        <w:spacing w:line="240" w:lineRule="auto"/>
        <w:ind w:left="708" w:hanging="708"/>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8.6</w:t>
      </w:r>
      <w:r>
        <w:rPr>
          <w:rFonts w:ascii="Museo Sans 100" w:eastAsiaTheme="majorEastAsia" w:hAnsi="Museo Sans 100" w:cstheme="majorBidi"/>
          <w:i/>
          <w:color w:val="00B050"/>
          <w:sz w:val="20"/>
          <w:szCs w:val="20"/>
          <w:lang w:val="en-US"/>
        </w:rPr>
        <w:tab/>
        <w:t>Sensitive data</w:t>
      </w:r>
    </w:p>
    <w:p w14:paraId="2139A001"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Where the transfer involves personal data revealing racial or ethnic origin, political opinions,</w:t>
      </w:r>
    </w:p>
    <w:p w14:paraId="3ABC02C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religious or philosophical beliefs, or trade union membership, genetic data, or biometric data for the</w:t>
      </w:r>
    </w:p>
    <w:p w14:paraId="59C28F6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purpose of uniquely identifying a natural person, data concerning health or a person’s sex life or</w:t>
      </w:r>
    </w:p>
    <w:p w14:paraId="1803AAAD"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sexual orientation, or data relating to criminal convictions or offences (hereinafter “sensitive data”),</w:t>
      </w:r>
    </w:p>
    <w:p w14:paraId="5FB75CED"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the data importer shall apply specific restrictions and/or additional safeguards adapted to the</w:t>
      </w:r>
    </w:p>
    <w:p w14:paraId="1874E52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specific nature of the data and the risks involved. This may include restricting the personnel</w:t>
      </w:r>
    </w:p>
    <w:p w14:paraId="57873EEA"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 xml:space="preserve">permitted to access </w:t>
      </w:r>
      <w:proofErr w:type="gramStart"/>
      <w:r>
        <w:rPr>
          <w:rFonts w:ascii="Museo Sans 100" w:hAnsi="Museo Sans 100"/>
          <w:sz w:val="20"/>
          <w:szCs w:val="20"/>
          <w:lang w:val="en-US"/>
        </w:rPr>
        <w:t>the personal</w:t>
      </w:r>
      <w:proofErr w:type="gramEnd"/>
      <w:r>
        <w:rPr>
          <w:rFonts w:ascii="Museo Sans 100" w:hAnsi="Museo Sans 100"/>
          <w:sz w:val="20"/>
          <w:szCs w:val="20"/>
          <w:lang w:val="en-US"/>
        </w:rPr>
        <w:t xml:space="preserve"> data, additional security measures (such as </w:t>
      </w:r>
      <w:proofErr w:type="spellStart"/>
      <w:r>
        <w:rPr>
          <w:rFonts w:ascii="Museo Sans 100" w:hAnsi="Museo Sans 100"/>
          <w:sz w:val="20"/>
          <w:szCs w:val="20"/>
          <w:lang w:val="en-US"/>
        </w:rPr>
        <w:t>pseudonymisation</w:t>
      </w:r>
      <w:proofErr w:type="spellEnd"/>
      <w:r>
        <w:rPr>
          <w:rFonts w:ascii="Museo Sans 100" w:hAnsi="Museo Sans 100"/>
          <w:sz w:val="20"/>
          <w:szCs w:val="20"/>
          <w:lang w:val="en-US"/>
        </w:rPr>
        <w:t>)</w:t>
      </w:r>
    </w:p>
    <w:p w14:paraId="7A85709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and/or additional restrictions with respect to further disclosure.</w:t>
      </w:r>
    </w:p>
    <w:p w14:paraId="6C3E66E4" w14:textId="77777777" w:rsidR="006B113F" w:rsidRDefault="006B113F">
      <w:pPr>
        <w:spacing w:line="240" w:lineRule="auto"/>
        <w:ind w:left="708" w:hanging="708"/>
        <w:rPr>
          <w:rFonts w:ascii="Museo Sans 100" w:hAnsi="Museo Sans 100"/>
          <w:sz w:val="20"/>
          <w:szCs w:val="20"/>
          <w:lang w:val="en-US"/>
        </w:rPr>
      </w:pPr>
    </w:p>
    <w:p w14:paraId="30FE1EA8"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8.7</w:t>
      </w:r>
      <w:r>
        <w:rPr>
          <w:rFonts w:ascii="Museo Sans 100" w:eastAsiaTheme="majorEastAsia" w:hAnsi="Museo Sans 100" w:cstheme="majorBidi"/>
          <w:i/>
          <w:color w:val="00B050"/>
          <w:sz w:val="20"/>
          <w:szCs w:val="20"/>
          <w:lang w:val="en-US"/>
        </w:rPr>
        <w:tab/>
        <w:t>Onward transfers</w:t>
      </w:r>
    </w:p>
    <w:p w14:paraId="1FEAE72E"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The data importer shall not disclose the personal data to a third party located outside the European Union</w:t>
      </w:r>
      <w:r>
        <w:rPr>
          <w:rFonts w:ascii="Museo Sans 100" w:hAnsi="Museo Sans 100"/>
          <w:sz w:val="20"/>
          <w:szCs w:val="20"/>
          <w:vertAlign w:val="superscript"/>
        </w:rPr>
        <w:footnoteReference w:id="4"/>
      </w:r>
      <w:r>
        <w:rPr>
          <w:rFonts w:ascii="Museo Sans 100" w:hAnsi="Museo Sans 100"/>
          <w:sz w:val="20"/>
          <w:szCs w:val="20"/>
          <w:vertAlign w:val="superscript"/>
          <w:lang w:val="en-US"/>
        </w:rPr>
        <w:t xml:space="preserve"> </w:t>
      </w:r>
      <w:r>
        <w:rPr>
          <w:rFonts w:ascii="Museo Sans 100" w:hAnsi="Museo Sans 100"/>
          <w:sz w:val="20"/>
          <w:szCs w:val="20"/>
          <w:lang w:val="en-US"/>
        </w:rPr>
        <w:t>(in the same country as the data importer or in another third country, hereinafter “onward transfer”) unless the third party is or agrees to be bound by these Clauses, under the appropriate Module. Otherwise, an onward transfer by the data importer may only take place if:</w:t>
      </w:r>
    </w:p>
    <w:p w14:paraId="2EA2BB46"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lastRenderedPageBreak/>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 xml:space="preserve">it is to a country benefitting from an adequacy decision pursuant to Article 45 of Regulation (EU) 2016/679 that covers the onward </w:t>
      </w:r>
      <w:proofErr w:type="gramStart"/>
      <w:r>
        <w:rPr>
          <w:rFonts w:ascii="Museo Sans 100" w:hAnsi="Museo Sans 100"/>
          <w:sz w:val="20"/>
          <w:szCs w:val="20"/>
          <w:lang w:val="en-US"/>
        </w:rPr>
        <w:t>transfer;</w:t>
      </w:r>
      <w:proofErr w:type="gramEnd"/>
    </w:p>
    <w:p w14:paraId="33F7448C"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 xml:space="preserve">the third party otherwise ensures appropriate safeguards pursuant to Articles 46 or 47 of Regulation (EU) 2016/679 with respect to the processing in </w:t>
      </w:r>
      <w:proofErr w:type="gramStart"/>
      <w:r>
        <w:rPr>
          <w:rFonts w:ascii="Museo Sans 100" w:hAnsi="Museo Sans 100"/>
          <w:sz w:val="20"/>
          <w:szCs w:val="20"/>
          <w:lang w:val="en-US"/>
        </w:rPr>
        <w:t>question;</w:t>
      </w:r>
      <w:proofErr w:type="gramEnd"/>
    </w:p>
    <w:p w14:paraId="300D79B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(iii)</w:t>
      </w:r>
      <w:r>
        <w:rPr>
          <w:rFonts w:ascii="Museo Sans 100" w:hAnsi="Museo Sans 100"/>
          <w:sz w:val="20"/>
          <w:szCs w:val="20"/>
          <w:lang w:val="en-US"/>
        </w:rPr>
        <w:tab/>
        <w:t xml:space="preserve">the third party </w:t>
      </w:r>
      <w:proofErr w:type="gramStart"/>
      <w:r>
        <w:rPr>
          <w:rFonts w:ascii="Museo Sans 100" w:hAnsi="Museo Sans 100"/>
          <w:sz w:val="20"/>
          <w:szCs w:val="20"/>
          <w:lang w:val="en-US"/>
        </w:rPr>
        <w:t>enters into</w:t>
      </w:r>
      <w:proofErr w:type="gramEnd"/>
      <w:r>
        <w:rPr>
          <w:rFonts w:ascii="Museo Sans 100" w:hAnsi="Museo Sans 100"/>
          <w:sz w:val="20"/>
          <w:szCs w:val="20"/>
          <w:lang w:val="en-US"/>
        </w:rPr>
        <w:t xml:space="preserve"> a binding instrument with the data importer ensuring the same level of data protection as under these Clauses, and the data importer provides a copy of these safeguards to the data </w:t>
      </w:r>
      <w:proofErr w:type="gramStart"/>
      <w:r>
        <w:rPr>
          <w:rFonts w:ascii="Museo Sans 100" w:hAnsi="Museo Sans 100"/>
          <w:sz w:val="20"/>
          <w:szCs w:val="20"/>
          <w:lang w:val="en-US"/>
        </w:rPr>
        <w:t>exporter;</w:t>
      </w:r>
      <w:proofErr w:type="gramEnd"/>
    </w:p>
    <w:p w14:paraId="10032691"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(iv)</w:t>
      </w:r>
      <w:r>
        <w:rPr>
          <w:rFonts w:ascii="Museo Sans 100" w:hAnsi="Museo Sans 100"/>
          <w:sz w:val="20"/>
          <w:szCs w:val="20"/>
          <w:lang w:val="en-US"/>
        </w:rPr>
        <w:tab/>
        <w:t xml:space="preserve">it is necessary for the establishment, exercise or </w:t>
      </w:r>
      <w:proofErr w:type="spellStart"/>
      <w:r>
        <w:rPr>
          <w:rFonts w:ascii="Museo Sans 100" w:hAnsi="Museo Sans 100"/>
          <w:sz w:val="20"/>
          <w:szCs w:val="20"/>
          <w:lang w:val="en-US"/>
        </w:rPr>
        <w:t>defence</w:t>
      </w:r>
      <w:proofErr w:type="spellEnd"/>
      <w:r>
        <w:rPr>
          <w:rFonts w:ascii="Museo Sans 100" w:hAnsi="Museo Sans 100"/>
          <w:sz w:val="20"/>
          <w:szCs w:val="20"/>
          <w:lang w:val="en-US"/>
        </w:rPr>
        <w:t xml:space="preserve"> of legal claims in the context of specific administrative, regulatory or judicial </w:t>
      </w:r>
      <w:proofErr w:type="gramStart"/>
      <w:r>
        <w:rPr>
          <w:rFonts w:ascii="Museo Sans 100" w:hAnsi="Museo Sans 100"/>
          <w:sz w:val="20"/>
          <w:szCs w:val="20"/>
          <w:lang w:val="en-US"/>
        </w:rPr>
        <w:t>proceedings;</w:t>
      </w:r>
      <w:proofErr w:type="gramEnd"/>
    </w:p>
    <w:p w14:paraId="63EB4E48"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(v)</w:t>
      </w:r>
      <w:r>
        <w:rPr>
          <w:rFonts w:ascii="Museo Sans 100" w:hAnsi="Museo Sans 100"/>
          <w:sz w:val="20"/>
          <w:szCs w:val="20"/>
          <w:lang w:val="en-US"/>
        </w:rPr>
        <w:tab/>
        <w:t xml:space="preserve">it is necessary </w:t>
      </w:r>
      <w:proofErr w:type="gramStart"/>
      <w:r>
        <w:rPr>
          <w:rFonts w:ascii="Museo Sans 100" w:hAnsi="Museo Sans 100"/>
          <w:sz w:val="20"/>
          <w:szCs w:val="20"/>
          <w:lang w:val="en-US"/>
        </w:rPr>
        <w:t>in order to</w:t>
      </w:r>
      <w:proofErr w:type="gramEnd"/>
      <w:r>
        <w:rPr>
          <w:rFonts w:ascii="Museo Sans 100" w:hAnsi="Museo Sans 100"/>
          <w:sz w:val="20"/>
          <w:szCs w:val="20"/>
          <w:lang w:val="en-US"/>
        </w:rPr>
        <w:t xml:space="preserve"> protect the vital interests of the data subject or of another natural person; or</w:t>
      </w:r>
    </w:p>
    <w:p w14:paraId="5527168B"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(vi)</w:t>
      </w:r>
      <w:r>
        <w:rPr>
          <w:rFonts w:ascii="Museo Sans 100" w:hAnsi="Museo Sans 100"/>
          <w:sz w:val="20"/>
          <w:szCs w:val="20"/>
          <w:lang w:val="en-US"/>
        </w:rPr>
        <w:tab/>
        <w:t>where none of the other conditions apply, the data importer has obtained the explicit consent of the data subject for an onward transfer in a specific situation, after having informed him/her of its purpose(s), the identity of the recipient and the possible risks of such transfer to him/her due to the lack of appropriate data protection safeguards. In this case, the data importer shall inform the data exporter and, at the request of the latter, shall transmit to it a copy of the information provided to the data subject.</w:t>
      </w:r>
    </w:p>
    <w:p w14:paraId="5798AC09"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Any onward transfer is subject to compliance by the data importer with all the other safeguards under these Clauses, in particular purpose limitation.</w:t>
      </w:r>
    </w:p>
    <w:p w14:paraId="170CB16F" w14:textId="77777777" w:rsidR="006B113F" w:rsidRDefault="006B113F">
      <w:pPr>
        <w:spacing w:line="240" w:lineRule="auto"/>
        <w:rPr>
          <w:lang w:val="en-US"/>
        </w:rPr>
      </w:pPr>
    </w:p>
    <w:p w14:paraId="5CFFB2D5" w14:textId="77777777" w:rsidR="006B113F" w:rsidRDefault="00000000">
      <w:pPr>
        <w:spacing w:line="240" w:lineRule="auto"/>
        <w:rPr>
          <w:b/>
          <w:bCs/>
          <w:lang w:val="en-US"/>
        </w:rPr>
      </w:pPr>
      <w:r>
        <w:rPr>
          <w:rFonts w:ascii="Museo Sans 100" w:eastAsiaTheme="majorEastAsia" w:hAnsi="Museo Sans 100" w:cstheme="majorBidi"/>
          <w:i/>
          <w:color w:val="00B050"/>
          <w:sz w:val="20"/>
          <w:szCs w:val="20"/>
          <w:lang w:val="en-US"/>
        </w:rPr>
        <w:t>8.8</w:t>
      </w:r>
      <w:r>
        <w:rPr>
          <w:rFonts w:ascii="Museo Sans 100" w:eastAsiaTheme="majorEastAsia" w:hAnsi="Museo Sans 100" w:cstheme="majorBidi"/>
          <w:i/>
          <w:color w:val="00B050"/>
          <w:sz w:val="20"/>
          <w:szCs w:val="20"/>
          <w:lang w:val="en-US"/>
        </w:rPr>
        <w:tab/>
        <w:t>Processing under the authority of the data importer</w:t>
      </w:r>
    </w:p>
    <w:p w14:paraId="587C8878"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The data importer shall ensure that any person acting under its authority, including a processor, processes the data only on its instructions.</w:t>
      </w:r>
    </w:p>
    <w:p w14:paraId="3C8C3D6F" w14:textId="77777777" w:rsidR="006B113F" w:rsidRDefault="006B113F">
      <w:pPr>
        <w:spacing w:line="240" w:lineRule="auto"/>
        <w:rPr>
          <w:lang w:val="en-US"/>
        </w:rPr>
      </w:pPr>
    </w:p>
    <w:p w14:paraId="6B1D9CFE"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8.9</w:t>
      </w:r>
      <w:r>
        <w:rPr>
          <w:rFonts w:ascii="Museo Sans 100" w:eastAsiaTheme="majorEastAsia" w:hAnsi="Museo Sans 100" w:cstheme="majorBidi"/>
          <w:i/>
          <w:color w:val="00B050"/>
          <w:sz w:val="20"/>
          <w:szCs w:val="20"/>
          <w:lang w:val="en-US"/>
        </w:rPr>
        <w:tab/>
        <w:t>Documentation and compliance</w:t>
      </w:r>
    </w:p>
    <w:p w14:paraId="6A1CBC06"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Each Party shall be able to demonstrate compliance with its obligations under these Clauses. In particular, the data importer shall keep appropriate documentation of the processing activities carried out under its responsibility.</w:t>
      </w:r>
    </w:p>
    <w:p w14:paraId="6B6626D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The data importer shall make such documentation available to the competent supervisory authority on request.</w:t>
      </w:r>
    </w:p>
    <w:p w14:paraId="48ECFF30" w14:textId="77777777" w:rsidR="006B113F" w:rsidRDefault="006B113F">
      <w:pPr>
        <w:spacing w:line="240" w:lineRule="auto"/>
        <w:rPr>
          <w:lang w:val="en-US"/>
        </w:rPr>
      </w:pPr>
    </w:p>
    <w:p w14:paraId="4706C2A8" w14:textId="77777777" w:rsidR="006B113F" w:rsidRDefault="00000000">
      <w:pPr>
        <w:spacing w:line="240" w:lineRule="auto"/>
        <w:ind w:left="708" w:hanging="708"/>
        <w:rPr>
          <w:i/>
          <w:iCs/>
          <w:lang w:val="en-US"/>
        </w:rPr>
      </w:pPr>
      <w:r>
        <w:rPr>
          <w:rFonts w:ascii="Museo Sans 100" w:eastAsiaTheme="majorEastAsia" w:hAnsi="Museo Sans 100" w:cstheme="majorBidi"/>
          <w:color w:val="00B050"/>
          <w:sz w:val="24"/>
          <w:szCs w:val="32"/>
          <w:lang w:val="en-US"/>
        </w:rPr>
        <w:t>Clause 9 – Use of sub-processors</w:t>
      </w:r>
    </w:p>
    <w:p w14:paraId="69668849"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(N/A)</w:t>
      </w:r>
    </w:p>
    <w:p w14:paraId="1D874FE2" w14:textId="77777777" w:rsidR="006B113F" w:rsidRDefault="006B113F">
      <w:pPr>
        <w:spacing w:line="240" w:lineRule="auto"/>
        <w:ind w:left="708" w:hanging="708"/>
        <w:rPr>
          <w:lang w:val="en-US"/>
        </w:rPr>
      </w:pPr>
    </w:p>
    <w:p w14:paraId="6B105223" w14:textId="77777777" w:rsidR="006B113F" w:rsidRDefault="00000000">
      <w:pPr>
        <w:spacing w:line="240" w:lineRule="auto"/>
        <w:ind w:left="708" w:hanging="708"/>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10 – Data subject rights</w:t>
      </w:r>
    </w:p>
    <w:p w14:paraId="6C2BFC0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The data importer, where relevant with the assistance of the data exporter, shall deal with any enquiries and requests it receives from a data subject relating to the processing of his/her personal data and the exercise of his/her rights under these Clauses without undue delay and at the latest within one month of the receipt of the enquiry or request.</w:t>
      </w:r>
      <w:r>
        <w:rPr>
          <w:rFonts w:ascii="Museo Sans 100" w:hAnsi="Museo Sans 100"/>
          <w:sz w:val="20"/>
          <w:szCs w:val="20"/>
          <w:vertAlign w:val="superscript"/>
        </w:rPr>
        <w:footnoteReference w:id="5"/>
      </w:r>
      <w:r>
        <w:rPr>
          <w:rFonts w:ascii="Museo Sans 100" w:hAnsi="Museo Sans 100"/>
          <w:sz w:val="20"/>
          <w:szCs w:val="20"/>
          <w:vertAlign w:val="superscript"/>
          <w:lang w:val="en-US"/>
        </w:rPr>
        <w:t xml:space="preserve"> </w:t>
      </w:r>
      <w:r>
        <w:rPr>
          <w:rFonts w:ascii="Museo Sans 100" w:hAnsi="Museo Sans 100"/>
          <w:sz w:val="20"/>
          <w:szCs w:val="20"/>
          <w:lang w:val="en-US"/>
        </w:rPr>
        <w:t xml:space="preserve">The data importer shall take appropriate measures to facilitate such enquiries, requests and the exercise of data subject rights. Any information provided </w:t>
      </w:r>
      <w:proofErr w:type="gramStart"/>
      <w:r>
        <w:rPr>
          <w:rFonts w:ascii="Museo Sans 100" w:hAnsi="Museo Sans 100"/>
          <w:sz w:val="20"/>
          <w:szCs w:val="20"/>
          <w:lang w:val="en-US"/>
        </w:rPr>
        <w:t>to</w:t>
      </w:r>
      <w:proofErr w:type="gramEnd"/>
      <w:r>
        <w:rPr>
          <w:rFonts w:ascii="Museo Sans 100" w:hAnsi="Museo Sans 100"/>
          <w:sz w:val="20"/>
          <w:szCs w:val="20"/>
          <w:lang w:val="en-US"/>
        </w:rPr>
        <w:t xml:space="preserve"> the </w:t>
      </w:r>
      <w:proofErr w:type="gramStart"/>
      <w:r>
        <w:rPr>
          <w:rFonts w:ascii="Museo Sans 100" w:hAnsi="Museo Sans 100"/>
          <w:sz w:val="20"/>
          <w:szCs w:val="20"/>
          <w:lang w:val="en-US"/>
        </w:rPr>
        <w:t>data subject</w:t>
      </w:r>
      <w:proofErr w:type="gramEnd"/>
      <w:r>
        <w:rPr>
          <w:rFonts w:ascii="Museo Sans 100" w:hAnsi="Museo Sans 100"/>
          <w:sz w:val="20"/>
          <w:szCs w:val="20"/>
          <w:lang w:val="en-US"/>
        </w:rPr>
        <w:t xml:space="preserve"> shall be in an intelligible and easily accessible form, using clear and plain language.</w:t>
      </w:r>
    </w:p>
    <w:p w14:paraId="6E05C722" w14:textId="77777777" w:rsidR="006B113F" w:rsidRDefault="00000000">
      <w:pPr>
        <w:spacing w:line="240" w:lineRule="auto"/>
        <w:ind w:left="708" w:hanging="708"/>
        <w:rPr>
          <w:rFonts w:ascii="Museo Sans 100" w:hAnsi="Museo Sans 100"/>
          <w:sz w:val="20"/>
          <w:szCs w:val="20"/>
          <w:lang w:val="en-US"/>
        </w:rPr>
      </w:pPr>
      <w:proofErr w:type="gramStart"/>
      <w:r>
        <w:rPr>
          <w:rFonts w:ascii="Museo Sans 100" w:hAnsi="Museo Sans 100"/>
          <w:sz w:val="20"/>
          <w:szCs w:val="20"/>
          <w:lang w:val="en-US"/>
        </w:rPr>
        <w:t>(b)</w:t>
      </w:r>
      <w:r>
        <w:rPr>
          <w:rFonts w:ascii="Museo Sans 100" w:hAnsi="Museo Sans 100"/>
          <w:sz w:val="20"/>
          <w:szCs w:val="20"/>
          <w:lang w:val="en-US"/>
        </w:rPr>
        <w:tab/>
        <w:t>In particular, upon</w:t>
      </w:r>
      <w:proofErr w:type="gramEnd"/>
      <w:r>
        <w:rPr>
          <w:rFonts w:ascii="Museo Sans 100" w:hAnsi="Museo Sans 100"/>
          <w:sz w:val="20"/>
          <w:szCs w:val="20"/>
          <w:lang w:val="en-US"/>
        </w:rPr>
        <w:t xml:space="preserve"> request by the data subject the data importer shall, free of charge:</w:t>
      </w:r>
    </w:p>
    <w:p w14:paraId="6EB56726"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tab/>
      </w:r>
      <w:r>
        <w:rPr>
          <w:rFonts w:ascii="Museo Sans 100" w:hAnsi="Museo Sans 100"/>
          <w:sz w:val="20"/>
          <w:szCs w:val="20"/>
          <w:lang w:val="en-US"/>
        </w:rPr>
        <w:t>provide confirmation to the data subject as to whether personal data concerning him/her is being processed and, where this is the case, a copy of the data relating to him/her and the information in Annex I; if personal data has been or will be onward transferred, provide information on recipients or categories of recipients (as appropriate with a view to providing meaningful information) to which the personal data has been or will be onward transferred, the purpose of such onward transfers and their ground pursuant to Clause 8.7; and provide information on the right to lodge a complaint with a supervisory authority in accordance with Clause 11(c)(</w:t>
      </w:r>
      <w:proofErr w:type="spellStart"/>
      <w:r>
        <w:rPr>
          <w:rFonts w:ascii="Museo Sans 100" w:hAnsi="Museo Sans 100"/>
          <w:sz w:val="20"/>
          <w:szCs w:val="20"/>
          <w:lang w:val="en-US"/>
        </w:rPr>
        <w:t>i</w:t>
      </w:r>
      <w:proofErr w:type="spellEnd"/>
      <w:r>
        <w:rPr>
          <w:rFonts w:ascii="Museo Sans 100" w:hAnsi="Museo Sans 100"/>
          <w:sz w:val="20"/>
          <w:szCs w:val="20"/>
          <w:lang w:val="en-US"/>
        </w:rPr>
        <w:t>);</w:t>
      </w:r>
    </w:p>
    <w:p w14:paraId="40430A20" w14:textId="77777777" w:rsidR="006B113F" w:rsidRDefault="00000000">
      <w:pPr>
        <w:spacing w:line="240" w:lineRule="auto"/>
        <w:ind w:left="708"/>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 xml:space="preserve">rectify inaccurate or incomplete data concerning the data </w:t>
      </w:r>
      <w:proofErr w:type="gramStart"/>
      <w:r>
        <w:rPr>
          <w:rFonts w:ascii="Museo Sans 100" w:hAnsi="Museo Sans 100"/>
          <w:sz w:val="20"/>
          <w:szCs w:val="20"/>
          <w:lang w:val="en-US"/>
        </w:rPr>
        <w:t>subject;</w:t>
      </w:r>
      <w:proofErr w:type="gramEnd"/>
    </w:p>
    <w:p w14:paraId="66E84810"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lastRenderedPageBreak/>
        <w:t>(iii)</w:t>
      </w:r>
      <w:r>
        <w:rPr>
          <w:rFonts w:ascii="Museo Sans 100" w:hAnsi="Museo Sans 100"/>
          <w:sz w:val="20"/>
          <w:szCs w:val="20"/>
          <w:lang w:val="en-US"/>
        </w:rPr>
        <w:tab/>
        <w:t>erase personal data concerning the data subject if such data is being or has been processed in violation of any of these Clauses ensuring third-party beneficiary rights, or if the data subject withdraws the consent on which the processing is based.</w:t>
      </w:r>
    </w:p>
    <w:p w14:paraId="782170DD" w14:textId="77777777" w:rsidR="006B113F" w:rsidRDefault="00000000">
      <w:pPr>
        <w:spacing w:line="240" w:lineRule="auto"/>
        <w:ind w:left="708" w:hanging="708"/>
        <w:rPr>
          <w:rFonts w:ascii="Museo Sans 100" w:hAnsi="Museo Sans 100"/>
          <w:sz w:val="20"/>
          <w:szCs w:val="20"/>
          <w:lang w:val="en-US"/>
        </w:rPr>
      </w:pPr>
      <w:proofErr w:type="gramStart"/>
      <w:r>
        <w:rPr>
          <w:rFonts w:ascii="Museo Sans 100" w:hAnsi="Museo Sans 100"/>
          <w:sz w:val="20"/>
          <w:szCs w:val="20"/>
          <w:lang w:val="en-US"/>
        </w:rPr>
        <w:t>(c)</w:t>
      </w:r>
      <w:r>
        <w:rPr>
          <w:rFonts w:ascii="Museo Sans 100" w:hAnsi="Museo Sans 100"/>
          <w:sz w:val="20"/>
          <w:szCs w:val="20"/>
          <w:lang w:val="en-US"/>
        </w:rPr>
        <w:tab/>
        <w:t>Where</w:t>
      </w:r>
      <w:proofErr w:type="gramEnd"/>
      <w:r>
        <w:rPr>
          <w:rFonts w:ascii="Museo Sans 100" w:hAnsi="Museo Sans 100"/>
          <w:sz w:val="20"/>
          <w:szCs w:val="20"/>
          <w:lang w:val="en-US"/>
        </w:rPr>
        <w:t xml:space="preserve"> the data importer processes the personal data for direct marketing purposes, it shall cease processing for such purposes if the data subject objects to it.</w:t>
      </w:r>
    </w:p>
    <w:p w14:paraId="35F3D36F"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(d)</w:t>
      </w:r>
      <w:r>
        <w:rPr>
          <w:rFonts w:ascii="Museo Sans 100" w:hAnsi="Museo Sans 100"/>
          <w:sz w:val="20"/>
          <w:szCs w:val="20"/>
          <w:lang w:val="en-US"/>
        </w:rPr>
        <w:tab/>
        <w:t xml:space="preserve">The data importer shall not make a decision based solely on the automated processing of the personal data transferred (hereinafter “automated decision”), which would produce legal effects concerning the data subject or similarly significantly affect him / her, unless with the explicit consent of the data subject or if </w:t>
      </w:r>
      <w:proofErr w:type="spellStart"/>
      <w:r>
        <w:rPr>
          <w:rFonts w:ascii="Museo Sans 100" w:hAnsi="Museo Sans 100"/>
          <w:sz w:val="20"/>
          <w:szCs w:val="20"/>
          <w:lang w:val="en-US"/>
        </w:rPr>
        <w:t>authorised</w:t>
      </w:r>
      <w:proofErr w:type="spellEnd"/>
      <w:r>
        <w:rPr>
          <w:rFonts w:ascii="Museo Sans 100" w:hAnsi="Museo Sans 100"/>
          <w:sz w:val="20"/>
          <w:szCs w:val="20"/>
          <w:lang w:val="en-US"/>
        </w:rPr>
        <w:t xml:space="preserve"> to do so under the laws of the country of destination, provided that such laws lays down suitable measures to safeguard the data subject’s rights and legitimate interests. In this case, the data importer shall, where necessary in cooperation with the data exporter:</w:t>
      </w:r>
    </w:p>
    <w:p w14:paraId="66031A9F" w14:textId="77777777" w:rsidR="006B113F" w:rsidRDefault="00000000">
      <w:pPr>
        <w:spacing w:line="240" w:lineRule="auto"/>
        <w:ind w:left="1416" w:hanging="700"/>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inform the data subject about the envisaged automated decision, the envisaged consequences and the logic involved; and</w:t>
      </w:r>
    </w:p>
    <w:p w14:paraId="202122AD" w14:textId="77777777" w:rsidR="006B113F" w:rsidRDefault="00000000">
      <w:pPr>
        <w:spacing w:line="240" w:lineRule="auto"/>
        <w:ind w:left="1416" w:hanging="700"/>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implement suitable safeguards, at least by enabling the data subject to contest the decision, express his/her point of view and obtain review by a human being.</w:t>
      </w:r>
    </w:p>
    <w:p w14:paraId="323C0351" w14:textId="77777777" w:rsidR="006B113F" w:rsidRDefault="00000000">
      <w:pPr>
        <w:spacing w:line="240" w:lineRule="auto"/>
        <w:ind w:left="708" w:hanging="708"/>
        <w:rPr>
          <w:rFonts w:ascii="Museo Sans 100" w:hAnsi="Museo Sans 100"/>
          <w:sz w:val="20"/>
          <w:szCs w:val="20"/>
          <w:lang w:val="en-US"/>
        </w:rPr>
      </w:pPr>
      <w:proofErr w:type="gramStart"/>
      <w:r>
        <w:rPr>
          <w:rFonts w:ascii="Museo Sans 100" w:hAnsi="Museo Sans 100"/>
          <w:sz w:val="20"/>
          <w:szCs w:val="20"/>
          <w:lang w:val="en-US"/>
        </w:rPr>
        <w:t>(e)</w:t>
      </w:r>
      <w:r>
        <w:rPr>
          <w:rFonts w:ascii="Museo Sans 100" w:hAnsi="Museo Sans 100"/>
          <w:sz w:val="20"/>
          <w:szCs w:val="20"/>
          <w:lang w:val="en-US"/>
        </w:rPr>
        <w:tab/>
        <w:t>Where</w:t>
      </w:r>
      <w:proofErr w:type="gramEnd"/>
      <w:r>
        <w:rPr>
          <w:rFonts w:ascii="Museo Sans 100" w:hAnsi="Museo Sans 100"/>
          <w:sz w:val="20"/>
          <w:szCs w:val="20"/>
          <w:lang w:val="en-US"/>
        </w:rPr>
        <w:t xml:space="preserve"> requests from a data subject are excessive, in particular because of their repetitive character, the data importer may either charge a reasonable fee </w:t>
      </w:r>
      <w:proofErr w:type="gramStart"/>
      <w:r>
        <w:rPr>
          <w:rFonts w:ascii="Museo Sans 100" w:hAnsi="Museo Sans 100"/>
          <w:sz w:val="20"/>
          <w:szCs w:val="20"/>
          <w:lang w:val="en-US"/>
        </w:rPr>
        <w:t>taking into account</w:t>
      </w:r>
      <w:proofErr w:type="gramEnd"/>
      <w:r>
        <w:rPr>
          <w:rFonts w:ascii="Museo Sans 100" w:hAnsi="Museo Sans 100"/>
          <w:sz w:val="20"/>
          <w:szCs w:val="20"/>
          <w:lang w:val="en-US"/>
        </w:rPr>
        <w:t xml:space="preserve"> the administrative costs of granting the request or refuse to act on the request.</w:t>
      </w:r>
    </w:p>
    <w:p w14:paraId="4358044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(f)</w:t>
      </w:r>
      <w:r>
        <w:rPr>
          <w:rFonts w:ascii="Museo Sans 100" w:hAnsi="Museo Sans 100"/>
          <w:sz w:val="20"/>
          <w:szCs w:val="20"/>
          <w:lang w:val="en-US"/>
        </w:rPr>
        <w:tab/>
        <w:t>The data importer may refuse a data subject’s request if such refusal is allowed under the laws of the country of destination and is necessary and proportionate in a democratic society to protect one of the objectives listed in Article 23(1) of Regulation (EU) 2016/679.</w:t>
      </w:r>
    </w:p>
    <w:p w14:paraId="22AA01EC"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(g)</w:t>
      </w:r>
      <w:r>
        <w:rPr>
          <w:rFonts w:ascii="Museo Sans 100" w:hAnsi="Museo Sans 100"/>
          <w:sz w:val="20"/>
          <w:szCs w:val="20"/>
          <w:lang w:val="en-US"/>
        </w:rPr>
        <w:tab/>
        <w:t>If the data importer intends to refuse a data subject’s request, it shall inform the data subject of the reasons for the refusal and the possibility of lodging a complaint with the competent supervisory authority and/or seeking judicial redress</w:t>
      </w:r>
    </w:p>
    <w:p w14:paraId="6F188F8D" w14:textId="77777777" w:rsidR="006B113F" w:rsidRDefault="006B113F">
      <w:pPr>
        <w:spacing w:line="240" w:lineRule="auto"/>
        <w:rPr>
          <w:i/>
          <w:iCs/>
          <w:lang w:val="en-US"/>
        </w:rPr>
      </w:pPr>
      <w:bookmarkStart w:id="167" w:name="_Hlk75712921"/>
    </w:p>
    <w:p w14:paraId="1C4805BE" w14:textId="77777777" w:rsidR="006B113F" w:rsidRDefault="00000000">
      <w:pPr>
        <w:spacing w:line="240" w:lineRule="auto"/>
        <w:ind w:left="708" w:hanging="708"/>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11 – Redress</w:t>
      </w:r>
    </w:p>
    <w:p w14:paraId="121104B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tab/>
      </w:r>
      <w:r>
        <w:rPr>
          <w:rFonts w:ascii="Museo Sans 100" w:hAnsi="Museo Sans 100"/>
          <w:sz w:val="20"/>
          <w:szCs w:val="20"/>
          <w:lang w:val="en-US"/>
        </w:rPr>
        <w:t xml:space="preserve">The data importer shall inform data subjects in a transparent and easily accessible format, through individual notice or on its website, of a contact point </w:t>
      </w:r>
      <w:proofErr w:type="spellStart"/>
      <w:r>
        <w:rPr>
          <w:rFonts w:ascii="Museo Sans 100" w:hAnsi="Museo Sans 100"/>
          <w:sz w:val="20"/>
          <w:szCs w:val="20"/>
          <w:lang w:val="en-US"/>
        </w:rPr>
        <w:t>authorised</w:t>
      </w:r>
      <w:proofErr w:type="spellEnd"/>
      <w:r>
        <w:rPr>
          <w:rFonts w:ascii="Museo Sans 100" w:hAnsi="Museo Sans 100"/>
          <w:sz w:val="20"/>
          <w:szCs w:val="20"/>
          <w:lang w:val="en-US"/>
        </w:rPr>
        <w:t xml:space="preserve"> to handle complaints. It shall deal promptly with any complaints it receives from a data subject.</w:t>
      </w:r>
    </w:p>
    <w:p w14:paraId="31EDDCC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0D3ACBE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Where the data subject invokes a third-party beneficiary right pursuant to Clause 3, the data importer shall accept the decision of the data subject to:</w:t>
      </w:r>
    </w:p>
    <w:p w14:paraId="23AC4291" w14:textId="77777777" w:rsidR="006B113F" w:rsidRDefault="00000000">
      <w:pPr>
        <w:spacing w:line="240" w:lineRule="auto"/>
        <w:ind w:left="1416" w:hanging="700"/>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 xml:space="preserve">lodge a complaint with the supervisory authority in the Member State of his/her habitual residence or place of work, or the competent supervisory authority pursuant to Clause </w:t>
      </w:r>
      <w:proofErr w:type="gramStart"/>
      <w:r>
        <w:rPr>
          <w:rFonts w:ascii="Museo Sans 100" w:hAnsi="Museo Sans 100"/>
          <w:sz w:val="20"/>
          <w:szCs w:val="20"/>
          <w:lang w:val="en-US"/>
        </w:rPr>
        <w:t>13;</w:t>
      </w:r>
      <w:proofErr w:type="gramEnd"/>
    </w:p>
    <w:p w14:paraId="228287A0" w14:textId="77777777" w:rsidR="006B113F" w:rsidRDefault="00000000">
      <w:pPr>
        <w:spacing w:line="240" w:lineRule="auto"/>
        <w:ind w:left="708" w:firstLine="8"/>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refer the dispute to the competent courts within the meaning of Clause 18.</w:t>
      </w:r>
    </w:p>
    <w:p w14:paraId="0499BB8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(d)</w:t>
      </w:r>
      <w:r>
        <w:rPr>
          <w:rFonts w:ascii="Museo Sans 100" w:hAnsi="Museo Sans 100"/>
          <w:sz w:val="20"/>
          <w:szCs w:val="20"/>
          <w:lang w:val="en-US"/>
        </w:rPr>
        <w:tab/>
        <w:t xml:space="preserve">The Parties accept that the data subject may be represented by a not-for-profit body, </w:t>
      </w:r>
      <w:proofErr w:type="spellStart"/>
      <w:r>
        <w:rPr>
          <w:rFonts w:ascii="Museo Sans 100" w:hAnsi="Museo Sans 100"/>
          <w:sz w:val="20"/>
          <w:szCs w:val="20"/>
          <w:lang w:val="en-US"/>
        </w:rPr>
        <w:t>organisation</w:t>
      </w:r>
      <w:proofErr w:type="spellEnd"/>
      <w:r>
        <w:rPr>
          <w:rFonts w:ascii="Museo Sans 100" w:hAnsi="Museo Sans 100"/>
          <w:sz w:val="20"/>
          <w:szCs w:val="20"/>
          <w:lang w:val="en-US"/>
        </w:rPr>
        <w:t xml:space="preserve"> or association under the conditions set out in Article 80(1) of Regulation (EU) 2016/679.</w:t>
      </w:r>
    </w:p>
    <w:p w14:paraId="18BBD89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(e)</w:t>
      </w:r>
      <w:r>
        <w:rPr>
          <w:rFonts w:ascii="Museo Sans 100" w:hAnsi="Museo Sans 100"/>
          <w:sz w:val="20"/>
          <w:szCs w:val="20"/>
          <w:lang w:val="en-US"/>
        </w:rPr>
        <w:tab/>
        <w:t>The data importer shall abide by a decision that is binding under the applicable EU or Member State law.</w:t>
      </w:r>
    </w:p>
    <w:p w14:paraId="79705185"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(f)</w:t>
      </w:r>
      <w:r>
        <w:rPr>
          <w:rFonts w:ascii="Museo Sans 100" w:hAnsi="Museo Sans 100"/>
          <w:sz w:val="20"/>
          <w:szCs w:val="20"/>
          <w:lang w:val="en-US"/>
        </w:rPr>
        <w:tab/>
        <w:t>The data importer agrees that the choice made by the data subject will not prejudice his/her substantive and procedural rights to seek remedies in accordance with applicable laws.</w:t>
      </w:r>
      <w:bookmarkEnd w:id="167"/>
    </w:p>
    <w:p w14:paraId="64F45E84" w14:textId="77777777" w:rsidR="006B113F" w:rsidRDefault="006B113F">
      <w:pPr>
        <w:spacing w:line="240" w:lineRule="auto"/>
        <w:ind w:left="708" w:hanging="708"/>
        <w:jc w:val="center"/>
        <w:rPr>
          <w:lang w:val="en-US"/>
        </w:rPr>
      </w:pPr>
    </w:p>
    <w:p w14:paraId="0DDAC9E5" w14:textId="77777777" w:rsidR="006B113F" w:rsidRDefault="00000000">
      <w:pPr>
        <w:spacing w:line="240" w:lineRule="auto"/>
        <w:ind w:left="708" w:hanging="708"/>
        <w:rPr>
          <w:i/>
          <w:iCs/>
          <w:lang w:val="en-US"/>
        </w:rPr>
      </w:pPr>
      <w:r>
        <w:rPr>
          <w:rFonts w:ascii="Museo Sans 100" w:eastAsiaTheme="majorEastAsia" w:hAnsi="Museo Sans 100" w:cstheme="majorBidi"/>
          <w:color w:val="00B050"/>
          <w:sz w:val="24"/>
          <w:szCs w:val="32"/>
          <w:lang w:val="en-US"/>
        </w:rPr>
        <w:t>Clause 12 – Liability</w:t>
      </w:r>
    </w:p>
    <w:p w14:paraId="1D8004CD"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Each Party shall be liable to the other Party/</w:t>
      </w:r>
      <w:proofErr w:type="spellStart"/>
      <w:r>
        <w:rPr>
          <w:rFonts w:ascii="Museo Sans 100" w:hAnsi="Museo Sans 100"/>
          <w:sz w:val="20"/>
          <w:szCs w:val="20"/>
          <w:lang w:val="en-US"/>
        </w:rPr>
        <w:t>ies</w:t>
      </w:r>
      <w:proofErr w:type="spellEnd"/>
      <w:r>
        <w:rPr>
          <w:rFonts w:ascii="Museo Sans 100" w:hAnsi="Museo Sans 100"/>
          <w:sz w:val="20"/>
          <w:szCs w:val="20"/>
          <w:lang w:val="en-US"/>
        </w:rPr>
        <w:t xml:space="preserve"> for any damages it causes the other Party/</w:t>
      </w:r>
      <w:proofErr w:type="spellStart"/>
      <w:r>
        <w:rPr>
          <w:rFonts w:ascii="Museo Sans 100" w:hAnsi="Museo Sans 100"/>
          <w:sz w:val="20"/>
          <w:szCs w:val="20"/>
          <w:lang w:val="en-US"/>
        </w:rPr>
        <w:t>ies</w:t>
      </w:r>
      <w:proofErr w:type="spellEnd"/>
      <w:r>
        <w:rPr>
          <w:rFonts w:ascii="Museo Sans 100" w:hAnsi="Museo Sans 100"/>
          <w:sz w:val="20"/>
          <w:szCs w:val="20"/>
          <w:lang w:val="en-US"/>
        </w:rPr>
        <w:t xml:space="preserve"> by any breach of these Clauses.</w:t>
      </w:r>
    </w:p>
    <w:p w14:paraId="5344DF3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 xml:space="preserve">Each Party shall be liable to the data subject, and the data subject shall be entitled to receive </w:t>
      </w:r>
      <w:proofErr w:type="gramStart"/>
      <w:r>
        <w:rPr>
          <w:rFonts w:ascii="Museo Sans 100" w:hAnsi="Museo Sans 100"/>
          <w:sz w:val="20"/>
          <w:szCs w:val="20"/>
          <w:lang w:val="en-US"/>
        </w:rPr>
        <w:t>compensation,</w:t>
      </w:r>
      <w:proofErr w:type="gramEnd"/>
      <w:r>
        <w:rPr>
          <w:rFonts w:ascii="Museo Sans 100" w:hAnsi="Museo Sans 100"/>
          <w:sz w:val="20"/>
          <w:szCs w:val="20"/>
          <w:lang w:val="en-US"/>
        </w:rPr>
        <w:t xml:space="preserve"> for any material or non-material damages that the Party causes the data subject by breaching the third-</w:t>
      </w:r>
      <w:proofErr w:type="gramStart"/>
      <w:r>
        <w:rPr>
          <w:rFonts w:ascii="Museo Sans 100" w:hAnsi="Museo Sans 100"/>
          <w:sz w:val="20"/>
          <w:szCs w:val="20"/>
          <w:lang w:val="en-US"/>
        </w:rPr>
        <w:t>party beneficiary</w:t>
      </w:r>
      <w:proofErr w:type="gramEnd"/>
      <w:r>
        <w:rPr>
          <w:rFonts w:ascii="Museo Sans 100" w:hAnsi="Museo Sans 100"/>
          <w:sz w:val="20"/>
          <w:szCs w:val="20"/>
          <w:lang w:val="en-US"/>
        </w:rPr>
        <w:t xml:space="preserve"> rights under these Clauses. This is without prejudice to the liability of the data exporter under Regulation (EU) 2016/679.</w:t>
      </w:r>
    </w:p>
    <w:p w14:paraId="1433803F"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 xml:space="preserve">Where more than one Party is responsible for any damage caused to the data subject </w:t>
      </w:r>
      <w:proofErr w:type="gramStart"/>
      <w:r>
        <w:rPr>
          <w:rFonts w:ascii="Museo Sans 100" w:hAnsi="Museo Sans 100"/>
          <w:sz w:val="20"/>
          <w:szCs w:val="20"/>
          <w:lang w:val="en-US"/>
        </w:rPr>
        <w:t>as a result of</w:t>
      </w:r>
      <w:proofErr w:type="gramEnd"/>
      <w:r>
        <w:rPr>
          <w:rFonts w:ascii="Museo Sans 100" w:hAnsi="Museo Sans 100"/>
          <w:sz w:val="20"/>
          <w:szCs w:val="20"/>
          <w:lang w:val="en-US"/>
        </w:rPr>
        <w:t xml:space="preserve"> a breach of these Clauses, all responsible Parties shall be jointly and severally liable and the data subject is entitled to bring an action in court against any of these Parties.</w:t>
      </w:r>
    </w:p>
    <w:p w14:paraId="16CBA6C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lastRenderedPageBreak/>
        <w:t>(d)</w:t>
      </w:r>
      <w:r>
        <w:rPr>
          <w:rFonts w:ascii="Museo Sans 100" w:hAnsi="Museo Sans 100"/>
          <w:sz w:val="20"/>
          <w:szCs w:val="20"/>
          <w:lang w:val="en-US"/>
        </w:rPr>
        <w:tab/>
        <w:t>The Parties agree that if one Party is held liable under paragraph (c), it shall be entitled to claim back from the other Party/</w:t>
      </w:r>
      <w:proofErr w:type="spellStart"/>
      <w:r>
        <w:rPr>
          <w:rFonts w:ascii="Museo Sans 100" w:hAnsi="Museo Sans 100"/>
          <w:sz w:val="20"/>
          <w:szCs w:val="20"/>
          <w:lang w:val="en-US"/>
        </w:rPr>
        <w:t>ies</w:t>
      </w:r>
      <w:proofErr w:type="spellEnd"/>
      <w:r>
        <w:rPr>
          <w:rFonts w:ascii="Museo Sans 100" w:hAnsi="Museo Sans 100"/>
          <w:sz w:val="20"/>
          <w:szCs w:val="20"/>
          <w:lang w:val="en-US"/>
        </w:rPr>
        <w:t xml:space="preserve"> that part of the compensation corresponding to its / their responsibility for the damage.</w:t>
      </w:r>
    </w:p>
    <w:p w14:paraId="1DC9515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(e)</w:t>
      </w:r>
      <w:r>
        <w:rPr>
          <w:rFonts w:ascii="Museo Sans 100" w:hAnsi="Museo Sans 100"/>
          <w:sz w:val="20"/>
          <w:szCs w:val="20"/>
          <w:lang w:val="en-US"/>
        </w:rPr>
        <w:tab/>
        <w:t>The data importer may not invoke the conduct of a processor or sub-processor to avoid its own liability.</w:t>
      </w:r>
    </w:p>
    <w:p w14:paraId="4F417F65" w14:textId="77777777" w:rsidR="006B113F" w:rsidRDefault="006B113F">
      <w:pPr>
        <w:spacing w:line="240" w:lineRule="auto"/>
        <w:ind w:left="708" w:hanging="708"/>
        <w:rPr>
          <w:rFonts w:ascii="Museo Sans 100" w:hAnsi="Museo Sans 100"/>
          <w:sz w:val="20"/>
          <w:szCs w:val="20"/>
          <w:lang w:val="en-US"/>
        </w:rPr>
      </w:pPr>
    </w:p>
    <w:p w14:paraId="1EC11FE8" w14:textId="77777777" w:rsidR="006B113F" w:rsidRDefault="00000000">
      <w:pPr>
        <w:spacing w:line="240" w:lineRule="auto"/>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13 – Supervision</w:t>
      </w:r>
    </w:p>
    <w:p w14:paraId="71F1D56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tab/>
      </w:r>
      <w:r>
        <w:rPr>
          <w:rFonts w:ascii="Museo Sans 100" w:hAnsi="Museo Sans 100"/>
          <w:sz w:val="20"/>
          <w:szCs w:val="20"/>
          <w:lang w:val="en-US"/>
        </w:rPr>
        <w:t>The supervisory authority with responsibility for ensuring compliance by the data exporter with Regulation (EU) 2016/679 as regards the data transfer, as indicated in Annex I.C, shall act as competent supervisory authority.</w:t>
      </w:r>
    </w:p>
    <w:p w14:paraId="6595C81B" w14:textId="77777777" w:rsidR="006B113F" w:rsidRDefault="006B113F">
      <w:pPr>
        <w:spacing w:line="240" w:lineRule="auto"/>
        <w:ind w:left="708"/>
        <w:rPr>
          <w:rFonts w:ascii="Museo Sans 100" w:hAnsi="Museo Sans 100"/>
          <w:sz w:val="20"/>
          <w:szCs w:val="20"/>
          <w:highlight w:val="green"/>
          <w:lang w:val="en-US"/>
        </w:rPr>
      </w:pPr>
    </w:p>
    <w:p w14:paraId="3E2AAA6C"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(b)</w:t>
      </w:r>
      <w:r>
        <w:tab/>
      </w:r>
      <w:r>
        <w:rPr>
          <w:rFonts w:ascii="Museo Sans 100" w:hAnsi="Museo Sans 100"/>
          <w:sz w:val="20"/>
          <w:szCs w:val="20"/>
          <w:lang w:val="en-US"/>
        </w:rPr>
        <w:t xml:space="preserve">The data importer agrees to submit itself to the jurisdiction of and cooperate with the competent supervisory authority in any </w:t>
      </w:r>
      <w:proofErr w:type="gramStart"/>
      <w:r>
        <w:rPr>
          <w:rFonts w:ascii="Museo Sans 100" w:hAnsi="Museo Sans 100"/>
          <w:sz w:val="20"/>
          <w:szCs w:val="20"/>
          <w:lang w:val="en-US"/>
        </w:rPr>
        <w:t>procedures</w:t>
      </w:r>
      <w:proofErr w:type="gramEnd"/>
      <w:r>
        <w:rPr>
          <w:rFonts w:ascii="Museo Sans 100" w:hAnsi="Museo Sans 100"/>
          <w:sz w:val="20"/>
          <w:szCs w:val="20"/>
          <w:lang w:val="en-US"/>
        </w:rPr>
        <w:t xml:space="preserve">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05D8B952" w14:textId="77777777" w:rsidR="006B113F" w:rsidRDefault="006B113F">
      <w:pPr>
        <w:spacing w:line="240" w:lineRule="auto"/>
        <w:ind w:left="708" w:hanging="708"/>
        <w:rPr>
          <w:lang w:val="en-US"/>
        </w:rPr>
      </w:pPr>
    </w:p>
    <w:p w14:paraId="664A2839" w14:textId="77777777" w:rsidR="006B113F" w:rsidRDefault="006B113F">
      <w:pPr>
        <w:spacing w:line="240" w:lineRule="auto"/>
        <w:ind w:left="708" w:hanging="708"/>
        <w:rPr>
          <w:rFonts w:ascii="Museo Sans 100" w:eastAsiaTheme="majorEastAsia" w:hAnsi="Museo Sans 100" w:cstheme="majorBidi"/>
          <w:color w:val="00B050"/>
          <w:sz w:val="28"/>
          <w:szCs w:val="28"/>
          <w:u w:val="single"/>
          <w:lang w:val="en-US"/>
        </w:rPr>
      </w:pPr>
    </w:p>
    <w:p w14:paraId="45F5FDB4" w14:textId="77777777" w:rsidR="006B113F" w:rsidRDefault="00000000">
      <w:pPr>
        <w:spacing w:line="240" w:lineRule="auto"/>
        <w:jc w:val="center"/>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t>SECTION III – LOCAL LAWS AND OBLIGATIONS IN CASE OF ACCESS BY PUBLIC AUTHORITIES</w:t>
      </w:r>
    </w:p>
    <w:p w14:paraId="0912CAEB" w14:textId="77777777" w:rsidR="006B113F" w:rsidRDefault="006B113F">
      <w:pPr>
        <w:pStyle w:val="Textkrper"/>
        <w:rPr>
          <w:rFonts w:asciiTheme="minorHAnsi" w:eastAsiaTheme="minorHAnsi" w:hAnsiTheme="minorHAnsi" w:cstheme="minorBidi"/>
          <w:b/>
          <w:szCs w:val="22"/>
          <w:u w:val="single"/>
        </w:rPr>
      </w:pPr>
    </w:p>
    <w:p w14:paraId="30FF5BC2" w14:textId="77777777" w:rsidR="006B113F" w:rsidRDefault="006B113F">
      <w:pPr>
        <w:pStyle w:val="Textkrper"/>
        <w:rPr>
          <w:b/>
          <w:sz w:val="20"/>
        </w:rPr>
      </w:pPr>
    </w:p>
    <w:p w14:paraId="4F6FF8C4" w14:textId="77777777" w:rsidR="006B113F" w:rsidRDefault="00000000">
      <w:pPr>
        <w:pStyle w:val="Textkrper"/>
        <w:rPr>
          <w:rFonts w:asciiTheme="minorHAnsi" w:eastAsiaTheme="minorHAnsi" w:hAnsiTheme="minorHAnsi" w:cstheme="minorBidi"/>
          <w:i/>
          <w:iCs/>
          <w:sz w:val="22"/>
          <w:szCs w:val="22"/>
        </w:rPr>
      </w:pPr>
      <w:r>
        <w:rPr>
          <w:rFonts w:ascii="Museo Sans 100" w:eastAsiaTheme="majorEastAsia" w:hAnsi="Museo Sans 100" w:cstheme="majorBidi"/>
          <w:color w:val="00B050"/>
          <w:szCs w:val="32"/>
        </w:rPr>
        <w:t>Clause 14 – Local laws and practices affecting compliance with the Clauses</w:t>
      </w:r>
    </w:p>
    <w:p w14:paraId="15A7687F" w14:textId="77777777" w:rsidR="006B113F" w:rsidRDefault="00000000">
      <w:pPr>
        <w:pStyle w:val="Textkrper"/>
        <w:ind w:left="708" w:hanging="708"/>
        <w:rPr>
          <w:rFonts w:ascii="Museo Sans 100" w:eastAsiaTheme="minorHAnsi" w:hAnsi="Museo Sans 100" w:cstheme="minorBidi"/>
          <w:sz w:val="20"/>
          <w:szCs w:val="20"/>
        </w:rPr>
      </w:pPr>
      <w:r>
        <w:rPr>
          <w:rFonts w:ascii="Museo Sans 100" w:eastAsiaTheme="minorHAnsi" w:hAnsi="Museo Sans 100" w:cstheme="minorBidi"/>
          <w:sz w:val="20"/>
          <w:szCs w:val="20"/>
        </w:rPr>
        <w:t>(a)</w:t>
      </w:r>
      <w:r>
        <w:rPr>
          <w:rFonts w:ascii="Museo Sans 100" w:eastAsiaTheme="minorHAnsi" w:hAnsi="Museo Sans 100" w:cstheme="minorBidi"/>
          <w:sz w:val="20"/>
          <w:szCs w:val="20"/>
        </w:rPr>
        <w:tab/>
        <w:t xml:space="preserve">The Parties warrant that they have no reason to believe that the laws and practices in the third country of destination applicable to the processing of the personal data by the data importer, including any requirements to disclose personal data or measures </w:t>
      </w:r>
      <w:proofErr w:type="spellStart"/>
      <w:r>
        <w:rPr>
          <w:rFonts w:ascii="Museo Sans 100" w:eastAsiaTheme="minorHAnsi" w:hAnsi="Museo Sans 100" w:cstheme="minorBidi"/>
          <w:sz w:val="20"/>
          <w:szCs w:val="20"/>
        </w:rPr>
        <w:t>authorising</w:t>
      </w:r>
      <w:proofErr w:type="spellEnd"/>
      <w:r>
        <w:rPr>
          <w:rFonts w:ascii="Museo Sans 100" w:eastAsiaTheme="minorHAnsi" w:hAnsi="Museo Sans 100" w:cstheme="minorBidi"/>
          <w:sz w:val="20"/>
          <w:szCs w:val="20"/>
        </w:rPr>
        <w:t xml:space="preserve">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p>
    <w:p w14:paraId="52609C30" w14:textId="77777777" w:rsidR="006B113F" w:rsidRDefault="00000000">
      <w:pPr>
        <w:pStyle w:val="Textkrper"/>
        <w:ind w:left="708" w:hanging="708"/>
        <w:rPr>
          <w:rFonts w:ascii="Museo Sans 100" w:eastAsiaTheme="minorHAnsi" w:hAnsi="Museo Sans 100" w:cstheme="minorBidi"/>
          <w:sz w:val="20"/>
          <w:szCs w:val="20"/>
        </w:rPr>
      </w:pPr>
      <w:r>
        <w:rPr>
          <w:rFonts w:ascii="Museo Sans 100" w:eastAsiaTheme="minorHAnsi" w:hAnsi="Museo Sans 100" w:cstheme="minorBidi"/>
          <w:sz w:val="20"/>
          <w:szCs w:val="20"/>
        </w:rPr>
        <w:t>(b)</w:t>
      </w:r>
      <w:r>
        <w:rPr>
          <w:rFonts w:ascii="Museo Sans 100" w:eastAsiaTheme="minorHAnsi" w:hAnsi="Museo Sans 100" w:cstheme="minorBidi"/>
          <w:sz w:val="20"/>
          <w:szCs w:val="20"/>
        </w:rPr>
        <w:tab/>
        <w:t xml:space="preserve">The Parties declare that in providing the warranty in paragraph (a), they have taken due account </w:t>
      </w:r>
      <w:proofErr w:type="gramStart"/>
      <w:r>
        <w:rPr>
          <w:rFonts w:ascii="Museo Sans 100" w:eastAsiaTheme="minorHAnsi" w:hAnsi="Museo Sans 100" w:cstheme="minorBidi"/>
          <w:sz w:val="20"/>
          <w:szCs w:val="20"/>
        </w:rPr>
        <w:t>in particular of</w:t>
      </w:r>
      <w:proofErr w:type="gramEnd"/>
      <w:r>
        <w:rPr>
          <w:rFonts w:ascii="Museo Sans 100" w:eastAsiaTheme="minorHAnsi" w:hAnsi="Museo Sans 100" w:cstheme="minorBidi"/>
          <w:sz w:val="20"/>
          <w:szCs w:val="20"/>
        </w:rPr>
        <w:t xml:space="preserve"> the following elements:</w:t>
      </w:r>
    </w:p>
    <w:p w14:paraId="5F54C549" w14:textId="77777777" w:rsidR="006B113F" w:rsidRDefault="00000000">
      <w:pPr>
        <w:pStyle w:val="Textkrper"/>
        <w:ind w:left="1416" w:hanging="700"/>
        <w:rPr>
          <w:rFonts w:ascii="Museo Sans 100" w:eastAsiaTheme="minorHAnsi" w:hAnsi="Museo Sans 100" w:cstheme="minorBidi"/>
          <w:sz w:val="20"/>
          <w:szCs w:val="20"/>
        </w:rPr>
      </w:pPr>
      <w:r>
        <w:rPr>
          <w:rFonts w:ascii="Museo Sans 100" w:eastAsiaTheme="minorHAnsi" w:hAnsi="Museo Sans 100" w:cstheme="minorBidi"/>
          <w:sz w:val="20"/>
          <w:szCs w:val="20"/>
        </w:rPr>
        <w:t>(</w:t>
      </w:r>
      <w:proofErr w:type="spellStart"/>
      <w:r>
        <w:rPr>
          <w:rFonts w:ascii="Museo Sans 100" w:eastAsiaTheme="minorHAnsi" w:hAnsi="Museo Sans 100" w:cstheme="minorBidi"/>
          <w:sz w:val="20"/>
          <w:szCs w:val="20"/>
        </w:rPr>
        <w:t>i</w:t>
      </w:r>
      <w:proofErr w:type="spellEnd"/>
      <w:r>
        <w:rPr>
          <w:rFonts w:ascii="Museo Sans 100" w:eastAsiaTheme="minorHAnsi" w:hAnsi="Museo Sans 100" w:cstheme="minorBidi"/>
          <w:sz w:val="20"/>
          <w:szCs w:val="20"/>
        </w:rPr>
        <w:t>)</w:t>
      </w:r>
      <w:r>
        <w:rPr>
          <w:rFonts w:ascii="Museo Sans 100" w:eastAsiaTheme="minorHAnsi" w:hAnsi="Museo Sans 100" w:cstheme="minorBidi"/>
          <w:sz w:val="20"/>
          <w:szCs w:val="20"/>
        </w:rPr>
        <w:tab/>
        <w:t xml:space="preserve">the specific circumstances of the transfer, including the length of the processing chain, the number of actors </w:t>
      </w:r>
      <w:proofErr w:type="gramStart"/>
      <w:r>
        <w:rPr>
          <w:rFonts w:ascii="Museo Sans 100" w:eastAsiaTheme="minorHAnsi" w:hAnsi="Museo Sans 100" w:cstheme="minorBidi"/>
          <w:sz w:val="20"/>
          <w:szCs w:val="20"/>
        </w:rPr>
        <w:t>involved</w:t>
      </w:r>
      <w:proofErr w:type="gramEnd"/>
      <w:r>
        <w:rPr>
          <w:rFonts w:ascii="Museo Sans 100" w:eastAsiaTheme="minorHAnsi" w:hAnsi="Museo Sans 100" w:cstheme="minorBidi"/>
          <w:sz w:val="20"/>
          <w:szCs w:val="20"/>
        </w:rPr>
        <w:t xml:space="preserve"> and the transmission channels used; intended onward transfers; the type of recipient; the purpose of processing; the categories and format of the transferred personal data; the economic sector in which the transfer occurs; the storage location of the data </w:t>
      </w:r>
      <w:proofErr w:type="gramStart"/>
      <w:r>
        <w:rPr>
          <w:rFonts w:ascii="Museo Sans 100" w:eastAsiaTheme="minorHAnsi" w:hAnsi="Museo Sans 100" w:cstheme="minorBidi"/>
          <w:sz w:val="20"/>
          <w:szCs w:val="20"/>
        </w:rPr>
        <w:t>transferred;</w:t>
      </w:r>
      <w:proofErr w:type="gramEnd"/>
    </w:p>
    <w:p w14:paraId="52217848" w14:textId="77777777" w:rsidR="006B113F" w:rsidRDefault="00000000">
      <w:pPr>
        <w:pStyle w:val="Textkrper"/>
        <w:ind w:left="1416" w:hanging="700"/>
        <w:rPr>
          <w:rFonts w:ascii="Museo Sans 100" w:eastAsiaTheme="minorHAnsi" w:hAnsi="Museo Sans 100" w:cstheme="minorBidi"/>
          <w:sz w:val="20"/>
          <w:szCs w:val="20"/>
        </w:rPr>
      </w:pPr>
      <w:r>
        <w:rPr>
          <w:rFonts w:ascii="Museo Sans 100" w:eastAsiaTheme="minorEastAsia" w:hAnsi="Museo Sans 100" w:cstheme="minorBidi"/>
          <w:sz w:val="20"/>
          <w:szCs w:val="20"/>
        </w:rPr>
        <w:t>(ii)</w:t>
      </w:r>
      <w:r>
        <w:rPr>
          <w:rFonts w:ascii="Museo Sans 100" w:eastAsiaTheme="minorHAnsi" w:hAnsi="Museo Sans 100" w:cstheme="minorBidi"/>
          <w:sz w:val="20"/>
          <w:szCs w:val="20"/>
        </w:rPr>
        <w:tab/>
      </w:r>
      <w:r>
        <w:rPr>
          <w:rFonts w:ascii="Museo Sans 100" w:eastAsiaTheme="minorEastAsia" w:hAnsi="Museo Sans 100" w:cstheme="minorBidi"/>
          <w:sz w:val="20"/>
          <w:szCs w:val="20"/>
        </w:rPr>
        <w:t xml:space="preserve">the laws and practices of the third country of destination– including those requiring the disclosure of data to public authorities or </w:t>
      </w:r>
      <w:proofErr w:type="spellStart"/>
      <w:r>
        <w:rPr>
          <w:rFonts w:ascii="Museo Sans 100" w:eastAsiaTheme="minorEastAsia" w:hAnsi="Museo Sans 100" w:cstheme="minorBidi"/>
          <w:sz w:val="20"/>
          <w:szCs w:val="20"/>
        </w:rPr>
        <w:t>authorising</w:t>
      </w:r>
      <w:proofErr w:type="spellEnd"/>
      <w:r>
        <w:rPr>
          <w:rFonts w:ascii="Museo Sans 100" w:eastAsiaTheme="minorEastAsia" w:hAnsi="Museo Sans 100" w:cstheme="minorBidi"/>
          <w:sz w:val="20"/>
          <w:szCs w:val="20"/>
        </w:rPr>
        <w:t xml:space="preserve"> access by such authorities – relevant </w:t>
      </w:r>
      <w:proofErr w:type="gramStart"/>
      <w:r>
        <w:rPr>
          <w:rFonts w:ascii="Museo Sans 100" w:eastAsiaTheme="minorEastAsia" w:hAnsi="Museo Sans 100" w:cstheme="minorBidi"/>
          <w:sz w:val="20"/>
          <w:szCs w:val="20"/>
        </w:rPr>
        <w:t>in light of</w:t>
      </w:r>
      <w:proofErr w:type="gramEnd"/>
      <w:r>
        <w:rPr>
          <w:rFonts w:ascii="Museo Sans 100" w:eastAsiaTheme="minorEastAsia" w:hAnsi="Museo Sans 100" w:cstheme="minorBidi"/>
          <w:sz w:val="20"/>
          <w:szCs w:val="20"/>
        </w:rPr>
        <w:t xml:space="preserve"> the specific circumstances of the transfer, and the applicable limitations and safeguards</w:t>
      </w:r>
      <w:r>
        <w:rPr>
          <w:rFonts w:ascii="Museo Sans 100" w:eastAsiaTheme="minorEastAsia" w:hAnsi="Museo Sans 100"/>
          <w:sz w:val="20"/>
          <w:szCs w:val="20"/>
          <w:vertAlign w:val="superscript"/>
        </w:rPr>
        <w:footnoteReference w:id="6"/>
      </w:r>
      <w:r>
        <w:rPr>
          <w:rFonts w:ascii="Museo Sans 100" w:eastAsiaTheme="minorEastAsia" w:hAnsi="Museo Sans 100" w:cstheme="minorBidi"/>
          <w:sz w:val="20"/>
          <w:szCs w:val="20"/>
        </w:rPr>
        <w:t>;</w:t>
      </w:r>
    </w:p>
    <w:p w14:paraId="2E47DDE8" w14:textId="77777777" w:rsidR="006B113F" w:rsidRDefault="00000000">
      <w:pPr>
        <w:pStyle w:val="Textkrper"/>
        <w:ind w:left="1416" w:hanging="700"/>
        <w:rPr>
          <w:rFonts w:ascii="Museo Sans 100" w:eastAsiaTheme="minorHAnsi" w:hAnsi="Museo Sans 100" w:cstheme="minorBidi"/>
          <w:sz w:val="20"/>
          <w:szCs w:val="20"/>
        </w:rPr>
      </w:pPr>
      <w:r>
        <w:rPr>
          <w:rFonts w:ascii="Museo Sans 100" w:eastAsiaTheme="minorHAnsi" w:hAnsi="Museo Sans 100" w:cstheme="minorBidi"/>
          <w:sz w:val="20"/>
          <w:szCs w:val="20"/>
        </w:rPr>
        <w:t>(iii)</w:t>
      </w:r>
      <w:r>
        <w:rPr>
          <w:rFonts w:ascii="Museo Sans 100" w:eastAsiaTheme="minorHAnsi" w:hAnsi="Museo Sans 100" w:cstheme="minorBidi"/>
          <w:sz w:val="20"/>
          <w:szCs w:val="20"/>
        </w:rPr>
        <w:tab/>
        <w:t xml:space="preserve">any relevant contractual, technical or </w:t>
      </w:r>
      <w:proofErr w:type="spellStart"/>
      <w:r>
        <w:rPr>
          <w:rFonts w:ascii="Museo Sans 100" w:eastAsiaTheme="minorHAnsi" w:hAnsi="Museo Sans 100" w:cstheme="minorBidi"/>
          <w:sz w:val="20"/>
          <w:szCs w:val="20"/>
        </w:rPr>
        <w:t>organisational</w:t>
      </w:r>
      <w:proofErr w:type="spellEnd"/>
      <w:r>
        <w:rPr>
          <w:rFonts w:ascii="Museo Sans 100" w:eastAsiaTheme="minorHAnsi" w:hAnsi="Museo Sans 100" w:cstheme="minorBidi"/>
          <w:sz w:val="20"/>
          <w:szCs w:val="20"/>
        </w:rPr>
        <w:t xml:space="preserve"> safeguards put in place to supplement the safeguards under these Clauses, including measures applied during transmission and to the processing of the personal data in the country of destination.</w:t>
      </w:r>
    </w:p>
    <w:p w14:paraId="1618D2AB" w14:textId="77777777" w:rsidR="006B113F" w:rsidRDefault="00000000">
      <w:pPr>
        <w:pStyle w:val="Textkrper"/>
        <w:ind w:left="708" w:hanging="708"/>
        <w:rPr>
          <w:rFonts w:ascii="Museo Sans 100" w:eastAsiaTheme="minorHAnsi" w:hAnsi="Museo Sans 100" w:cstheme="minorBidi"/>
          <w:sz w:val="20"/>
          <w:szCs w:val="20"/>
        </w:rPr>
      </w:pPr>
      <w:r>
        <w:rPr>
          <w:rFonts w:ascii="Museo Sans 100" w:eastAsiaTheme="minorHAnsi" w:hAnsi="Museo Sans 100" w:cstheme="minorBidi"/>
          <w:sz w:val="20"/>
          <w:szCs w:val="20"/>
        </w:rPr>
        <w:lastRenderedPageBreak/>
        <w:t>(c)</w:t>
      </w:r>
      <w:r>
        <w:rPr>
          <w:rFonts w:ascii="Museo Sans 100" w:eastAsiaTheme="minorHAnsi" w:hAnsi="Museo Sans 100" w:cstheme="minorBidi"/>
          <w:sz w:val="20"/>
          <w:szCs w:val="20"/>
        </w:rPr>
        <w:tab/>
        <w:t>The data importer warrants that, in carrying out the assessment under paragraph (b), it has made its best efforts to provide the data exporter with relevant information and agrees that it will continue to cooperate with the data exporter in ensuring compliance with these Clauses.</w:t>
      </w:r>
    </w:p>
    <w:p w14:paraId="5156A53D" w14:textId="77777777" w:rsidR="006B113F" w:rsidRDefault="00000000">
      <w:pPr>
        <w:pStyle w:val="Textkrper"/>
        <w:ind w:left="708" w:hanging="708"/>
        <w:rPr>
          <w:rFonts w:ascii="Museo Sans 100" w:eastAsiaTheme="minorHAnsi" w:hAnsi="Museo Sans 100" w:cstheme="minorBidi"/>
          <w:sz w:val="20"/>
          <w:szCs w:val="20"/>
        </w:rPr>
      </w:pPr>
      <w:r>
        <w:rPr>
          <w:rFonts w:ascii="Museo Sans 100" w:eastAsiaTheme="minorHAnsi" w:hAnsi="Museo Sans 100" w:cstheme="minorBidi"/>
          <w:sz w:val="20"/>
          <w:szCs w:val="20"/>
        </w:rPr>
        <w:t>(d)</w:t>
      </w:r>
      <w:r>
        <w:rPr>
          <w:rFonts w:ascii="Museo Sans 100" w:eastAsiaTheme="minorHAnsi" w:hAnsi="Museo Sans 100" w:cstheme="minorBidi"/>
          <w:sz w:val="20"/>
          <w:szCs w:val="20"/>
        </w:rPr>
        <w:tab/>
        <w:t>The Parties agree to document the assessment under paragraph (b) and make it available to the competent supervisory authority on request.</w:t>
      </w:r>
    </w:p>
    <w:p w14:paraId="040DFB11" w14:textId="77777777" w:rsidR="006B113F" w:rsidRDefault="00000000">
      <w:pPr>
        <w:pStyle w:val="Textkrper"/>
        <w:ind w:left="708" w:hanging="708"/>
        <w:rPr>
          <w:rFonts w:ascii="Museo Sans 100" w:eastAsiaTheme="minorEastAsia" w:hAnsi="Museo Sans 100" w:cstheme="minorBidi"/>
          <w:sz w:val="20"/>
          <w:szCs w:val="20"/>
        </w:rPr>
      </w:pPr>
      <w:r>
        <w:rPr>
          <w:rFonts w:ascii="Museo Sans 100" w:eastAsiaTheme="minorEastAsia" w:hAnsi="Museo Sans 100" w:cstheme="minorBidi"/>
          <w:sz w:val="20"/>
          <w:szCs w:val="20"/>
        </w:rPr>
        <w:t>(e)</w:t>
      </w:r>
      <w:r>
        <w:tab/>
      </w:r>
      <w:r>
        <w:rPr>
          <w:rFonts w:ascii="Museo Sans 100" w:eastAsiaTheme="minorEastAsia" w:hAnsi="Museo Sans 100" w:cstheme="minorBidi"/>
          <w:sz w:val="20"/>
          <w:szCs w:val="20"/>
        </w:rPr>
        <w:t>The data importer agrees to notify the data exporter promptly if, after having agreed to</w:t>
      </w:r>
      <w:r>
        <w:rPr>
          <w:rFonts w:asciiTheme="minorHAnsi" w:eastAsiaTheme="minorEastAsia" w:hAnsiTheme="minorHAnsi" w:cstheme="minorBidi"/>
          <w:sz w:val="22"/>
          <w:szCs w:val="22"/>
        </w:rPr>
        <w:t xml:space="preserve"> </w:t>
      </w:r>
      <w:r>
        <w:rPr>
          <w:rFonts w:ascii="Museo Sans 100" w:eastAsiaTheme="minorEastAsia" w:hAnsi="Museo Sans 100" w:cstheme="minorBidi"/>
          <w:sz w:val="20"/>
          <w:szCs w:val="20"/>
        </w:rPr>
        <w:t xml:space="preserve">these Clauses and for the duration of the contract, it has reason to believe that it is or has become subject to laws or practices not in line with the requirements under paragraph (a), including following a change in the laws of the third country or a measure (such as a disclosure request) indicating an application of such laws in practice that is not in line with the requirements in paragraph (a). </w:t>
      </w:r>
    </w:p>
    <w:p w14:paraId="27656FDA" w14:textId="77777777" w:rsidR="006B113F" w:rsidRDefault="00000000">
      <w:pPr>
        <w:pStyle w:val="Textkrper"/>
        <w:ind w:left="708" w:hanging="708"/>
        <w:rPr>
          <w:rFonts w:ascii="Museo Sans 100" w:eastAsiaTheme="minorEastAsia" w:hAnsi="Museo Sans 100" w:cstheme="minorBidi"/>
          <w:sz w:val="20"/>
          <w:szCs w:val="20"/>
        </w:rPr>
      </w:pPr>
      <w:r>
        <w:rPr>
          <w:rFonts w:ascii="Museo Sans 100" w:eastAsiaTheme="minorEastAsia" w:hAnsi="Museo Sans 100" w:cstheme="minorBidi"/>
          <w:sz w:val="20"/>
          <w:szCs w:val="20"/>
        </w:rPr>
        <w:t>(f)</w:t>
      </w:r>
      <w:r>
        <w:tab/>
      </w:r>
      <w:r>
        <w:rPr>
          <w:rFonts w:ascii="Museo Sans 100" w:eastAsiaTheme="minorEastAsia" w:hAnsi="Museo Sans 100" w:cstheme="minorBidi"/>
          <w:sz w:val="20"/>
          <w:szCs w:val="20"/>
        </w:rPr>
        <w:t xml:space="preserve">Following a notification pursuant to paragraph (e), or if the data exporter otherwise has reason to believe that the data importer can no longer fulfil its obligations under these Clauses, the data exporter shall promptly identify appropriate measures (e.g. technical or </w:t>
      </w:r>
      <w:proofErr w:type="spellStart"/>
      <w:r>
        <w:rPr>
          <w:rFonts w:ascii="Museo Sans 100" w:eastAsiaTheme="minorEastAsia" w:hAnsi="Museo Sans 100" w:cstheme="minorBidi"/>
          <w:sz w:val="20"/>
          <w:szCs w:val="20"/>
        </w:rPr>
        <w:t>organisational</w:t>
      </w:r>
      <w:proofErr w:type="spellEnd"/>
      <w:r>
        <w:rPr>
          <w:rFonts w:ascii="Museo Sans 100" w:eastAsiaTheme="minorEastAsia" w:hAnsi="Museo Sans 100" w:cstheme="minorBidi"/>
          <w:sz w:val="20"/>
          <w:szCs w:val="20"/>
        </w:rPr>
        <w:t xml:space="preserve">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7980CC44" w14:textId="77777777" w:rsidR="006B113F" w:rsidRDefault="006B113F">
      <w:pPr>
        <w:pStyle w:val="Textkrper"/>
        <w:rPr>
          <w:rFonts w:asciiTheme="minorHAnsi" w:eastAsiaTheme="minorHAnsi" w:hAnsiTheme="minorHAnsi" w:cstheme="minorBidi"/>
          <w:sz w:val="22"/>
          <w:szCs w:val="22"/>
        </w:rPr>
      </w:pPr>
    </w:p>
    <w:p w14:paraId="5D29573E" w14:textId="77777777" w:rsidR="006B113F" w:rsidRDefault="00000000">
      <w:pPr>
        <w:pStyle w:val="Textkrper"/>
        <w:ind w:left="708" w:hanging="708"/>
        <w:jc w:val="center"/>
        <w:rPr>
          <w:rFonts w:ascii="Museo Sans 100" w:eastAsiaTheme="majorEastAsia" w:hAnsi="Museo Sans 100" w:cstheme="majorBidi"/>
          <w:color w:val="00B050"/>
          <w:szCs w:val="32"/>
        </w:rPr>
      </w:pPr>
      <w:r>
        <w:rPr>
          <w:rFonts w:ascii="Museo Sans 100" w:eastAsiaTheme="majorEastAsia" w:hAnsi="Museo Sans 100" w:cstheme="majorBidi"/>
          <w:color w:val="00B050"/>
          <w:szCs w:val="32"/>
        </w:rPr>
        <w:t>Clause 15 – Obligations of the data importer in case of access by public authorities</w:t>
      </w:r>
    </w:p>
    <w:p w14:paraId="1604E02F" w14:textId="77777777" w:rsidR="006B113F" w:rsidRDefault="006B113F">
      <w:pPr>
        <w:pStyle w:val="Textkrper"/>
        <w:rPr>
          <w:rFonts w:asciiTheme="minorHAnsi" w:eastAsiaTheme="minorHAnsi" w:hAnsiTheme="minorHAnsi" w:cstheme="minorBidi"/>
          <w:sz w:val="22"/>
          <w:szCs w:val="22"/>
        </w:rPr>
      </w:pPr>
    </w:p>
    <w:p w14:paraId="54192BD0"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15.1</w:t>
      </w:r>
      <w:r>
        <w:rPr>
          <w:rFonts w:ascii="Museo Sans 100" w:eastAsiaTheme="majorEastAsia" w:hAnsi="Museo Sans 100" w:cstheme="majorBidi"/>
          <w:i/>
          <w:color w:val="00B050"/>
          <w:sz w:val="20"/>
          <w:szCs w:val="20"/>
          <w:lang w:val="en-US"/>
        </w:rPr>
        <w:tab/>
        <w:t>Notification</w:t>
      </w:r>
    </w:p>
    <w:p w14:paraId="64B2A200"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 xml:space="preserve">The data importer agrees to notify the data exporter and, where possible, the data subject promptly (if </w:t>
      </w:r>
      <w:proofErr w:type="gramStart"/>
      <w:r>
        <w:rPr>
          <w:rFonts w:ascii="Museo Sans 100" w:hAnsi="Museo Sans 100"/>
          <w:sz w:val="20"/>
          <w:szCs w:val="20"/>
          <w:lang w:val="en-US"/>
        </w:rPr>
        <w:t>necessary</w:t>
      </w:r>
      <w:proofErr w:type="gramEnd"/>
      <w:r>
        <w:rPr>
          <w:rFonts w:ascii="Museo Sans 100" w:hAnsi="Museo Sans 100"/>
          <w:sz w:val="20"/>
          <w:szCs w:val="20"/>
          <w:lang w:val="en-US"/>
        </w:rPr>
        <w:t xml:space="preserve"> with the help of the data exporter) if it:</w:t>
      </w:r>
    </w:p>
    <w:p w14:paraId="33FDD93B" w14:textId="77777777" w:rsidR="006B113F" w:rsidRDefault="00000000">
      <w:pPr>
        <w:spacing w:line="240" w:lineRule="auto"/>
        <w:ind w:left="1416" w:hanging="700"/>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2C83703F" w14:textId="77777777" w:rsidR="006B113F" w:rsidRDefault="00000000">
      <w:pPr>
        <w:spacing w:line="240" w:lineRule="auto"/>
        <w:ind w:left="1416" w:hanging="700"/>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becomes aware of any direct access by public authorities to personal data transferred pursuant to these Clauses in accordance with the laws of the country of destination; such notification shall include all information available to the importer.</w:t>
      </w:r>
    </w:p>
    <w:p w14:paraId="4975E320"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 xml:space="preserve">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w:t>
      </w:r>
      <w:proofErr w:type="gramStart"/>
      <w:r>
        <w:rPr>
          <w:rFonts w:ascii="Museo Sans 100" w:hAnsi="Museo Sans 100"/>
          <w:sz w:val="20"/>
          <w:szCs w:val="20"/>
          <w:lang w:val="en-US"/>
        </w:rPr>
        <w:t>in order to</w:t>
      </w:r>
      <w:proofErr w:type="gramEnd"/>
      <w:r>
        <w:rPr>
          <w:rFonts w:ascii="Museo Sans 100" w:hAnsi="Museo Sans 100"/>
          <w:sz w:val="20"/>
          <w:szCs w:val="20"/>
          <w:lang w:val="en-US"/>
        </w:rPr>
        <w:t xml:space="preserve"> be able to demonstrate them on request of the data exporter.</w:t>
      </w:r>
    </w:p>
    <w:p w14:paraId="4A970BFB"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tab/>
      </w:r>
      <w:r>
        <w:rPr>
          <w:rFonts w:ascii="Museo Sans 100" w:hAnsi="Museo Sans 100"/>
          <w:sz w:val="20"/>
          <w:szCs w:val="20"/>
          <w:lang w:val="en-US"/>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w:t>
      </w:r>
      <w:proofErr w:type="spellStart"/>
      <w:r>
        <w:rPr>
          <w:rFonts w:ascii="Museo Sans 100" w:hAnsi="Museo Sans 100"/>
          <w:sz w:val="20"/>
          <w:szCs w:val="20"/>
          <w:lang w:val="en-US"/>
        </w:rPr>
        <w:t>ies</w:t>
      </w:r>
      <w:proofErr w:type="spellEnd"/>
      <w:r>
        <w:rPr>
          <w:rFonts w:ascii="Museo Sans 100" w:hAnsi="Museo Sans 100"/>
          <w:sz w:val="20"/>
          <w:szCs w:val="20"/>
          <w:lang w:val="en-US"/>
        </w:rPr>
        <w:t xml:space="preserve">, whether requests have been challenged and the outcome of such challenges, etc.). </w:t>
      </w:r>
    </w:p>
    <w:p w14:paraId="1FB36F5B"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(d)</w:t>
      </w:r>
      <w:r>
        <w:tab/>
      </w:r>
      <w:r>
        <w:rPr>
          <w:rFonts w:ascii="Museo Sans 100" w:hAnsi="Museo Sans 100"/>
          <w:sz w:val="20"/>
          <w:szCs w:val="20"/>
          <w:lang w:val="en-US"/>
        </w:rPr>
        <w:t>The data importer agrees to preserve the information pursuant to paragraphs (a) to (c) for the duration of the contract and make it available to the competent supervisory authority on request.</w:t>
      </w:r>
    </w:p>
    <w:p w14:paraId="41C3C15D"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(e)</w:t>
      </w:r>
      <w:r>
        <w:rPr>
          <w:rFonts w:ascii="Museo Sans 100" w:hAnsi="Museo Sans 100"/>
          <w:sz w:val="20"/>
          <w:szCs w:val="20"/>
          <w:lang w:val="en-US"/>
        </w:rPr>
        <w:tab/>
        <w:t>Paragraphs (a) to (c) are without prejudice to the obligation of the data importer pursuant to Clause 14(e) and Clause 16 to inform the data exporter promptly where it is unable to comply with these Clauses.</w:t>
      </w:r>
    </w:p>
    <w:p w14:paraId="0DDDD552" w14:textId="77777777" w:rsidR="006B113F" w:rsidRDefault="006B113F">
      <w:pPr>
        <w:spacing w:line="240" w:lineRule="auto"/>
        <w:ind w:left="708" w:hanging="708"/>
        <w:rPr>
          <w:lang w:val="en-US"/>
        </w:rPr>
      </w:pPr>
    </w:p>
    <w:p w14:paraId="124D57AD" w14:textId="77777777" w:rsidR="006B113F" w:rsidRDefault="00000000">
      <w:pPr>
        <w:spacing w:line="240" w:lineRule="auto"/>
        <w:ind w:left="708" w:hanging="708"/>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15.2</w:t>
      </w:r>
      <w:r>
        <w:rPr>
          <w:rFonts w:ascii="Museo Sans 100" w:eastAsiaTheme="majorEastAsia" w:hAnsi="Museo Sans 100" w:cstheme="majorBidi"/>
          <w:i/>
          <w:color w:val="00B050"/>
          <w:sz w:val="20"/>
          <w:szCs w:val="20"/>
          <w:lang w:val="en-US"/>
        </w:rPr>
        <w:tab/>
        <w:t xml:space="preserve">Review of legality and data </w:t>
      </w:r>
      <w:proofErr w:type="spellStart"/>
      <w:r>
        <w:rPr>
          <w:rFonts w:ascii="Museo Sans 100" w:eastAsiaTheme="majorEastAsia" w:hAnsi="Museo Sans 100" w:cstheme="majorBidi"/>
          <w:i/>
          <w:color w:val="00B050"/>
          <w:sz w:val="20"/>
          <w:szCs w:val="20"/>
          <w:lang w:val="en-US"/>
        </w:rPr>
        <w:t>minimisation</w:t>
      </w:r>
      <w:proofErr w:type="spellEnd"/>
    </w:p>
    <w:p w14:paraId="3C2933C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 xml:space="preserve">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w:t>
      </w:r>
      <w:r>
        <w:rPr>
          <w:rFonts w:ascii="Museo Sans 100" w:hAnsi="Museo Sans 100"/>
          <w:sz w:val="20"/>
          <w:szCs w:val="20"/>
          <w:lang w:val="en-US"/>
        </w:rPr>
        <w:lastRenderedPageBreak/>
        <w:t>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13B35DE4"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tab/>
      </w:r>
      <w:r>
        <w:rPr>
          <w:rFonts w:ascii="Museo Sans 100" w:hAnsi="Museo Sans 100"/>
          <w:sz w:val="20"/>
          <w:szCs w:val="20"/>
          <w:lang w:val="en-US"/>
        </w:rPr>
        <w:t>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w:t>
      </w:r>
    </w:p>
    <w:p w14:paraId="6325A115"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The data importer agrees to provide the minimum amount of information permissible when responding to a request for disclosure, based on a reasonable interpretation of the request.</w:t>
      </w:r>
    </w:p>
    <w:p w14:paraId="35A197BE" w14:textId="77777777" w:rsidR="006B113F" w:rsidRDefault="006B113F">
      <w:pPr>
        <w:spacing w:line="240" w:lineRule="auto"/>
        <w:ind w:left="708" w:hanging="708"/>
        <w:rPr>
          <w:lang w:val="en-US"/>
        </w:rPr>
      </w:pPr>
    </w:p>
    <w:p w14:paraId="13472A32" w14:textId="77777777" w:rsidR="006B113F" w:rsidRDefault="006B113F">
      <w:pPr>
        <w:spacing w:line="240" w:lineRule="auto"/>
        <w:ind w:left="708" w:hanging="708"/>
        <w:rPr>
          <w:lang w:val="en-US"/>
        </w:rPr>
      </w:pPr>
    </w:p>
    <w:p w14:paraId="2C2A6F4C" w14:textId="77777777" w:rsidR="006B113F" w:rsidRDefault="00000000">
      <w:pPr>
        <w:spacing w:line="240" w:lineRule="auto"/>
        <w:ind w:left="708" w:hanging="708"/>
        <w:jc w:val="center"/>
        <w:rPr>
          <w:b/>
          <w:bCs/>
          <w:u w:val="single"/>
          <w:lang w:val="en-US"/>
        </w:rPr>
      </w:pPr>
      <w:r>
        <w:rPr>
          <w:rFonts w:ascii="Museo Sans 100" w:eastAsiaTheme="majorEastAsia" w:hAnsi="Museo Sans 100" w:cstheme="majorBidi"/>
          <w:color w:val="00B050"/>
          <w:sz w:val="28"/>
          <w:szCs w:val="28"/>
          <w:u w:val="single"/>
          <w:lang w:val="en-US"/>
        </w:rPr>
        <w:t>SECTION IV – FINAL PROVISIONS</w:t>
      </w:r>
    </w:p>
    <w:p w14:paraId="72FC73C0" w14:textId="77777777" w:rsidR="006B113F" w:rsidRDefault="006B113F">
      <w:pPr>
        <w:spacing w:line="240" w:lineRule="auto"/>
        <w:ind w:left="708" w:hanging="708"/>
        <w:rPr>
          <w:lang w:val="en-US"/>
        </w:rPr>
      </w:pPr>
    </w:p>
    <w:p w14:paraId="59F16EFB" w14:textId="77777777" w:rsidR="006B113F" w:rsidRDefault="006B113F">
      <w:pPr>
        <w:spacing w:line="240" w:lineRule="auto"/>
        <w:ind w:left="708" w:hanging="708"/>
        <w:rPr>
          <w:lang w:val="en-US"/>
        </w:rPr>
      </w:pPr>
    </w:p>
    <w:p w14:paraId="1E3B721F" w14:textId="77777777" w:rsidR="006B113F" w:rsidRDefault="00000000">
      <w:pPr>
        <w:spacing w:line="240" w:lineRule="auto"/>
        <w:ind w:left="708" w:hanging="708"/>
        <w:rPr>
          <w:rFonts w:ascii="Museo Sans 100" w:eastAsiaTheme="majorEastAsia" w:hAnsi="Museo Sans 100" w:cstheme="majorBidi"/>
          <w:color w:val="00B050"/>
          <w:sz w:val="24"/>
          <w:szCs w:val="32"/>
          <w:lang w:val="en-US"/>
        </w:rPr>
      </w:pPr>
      <w:r>
        <w:rPr>
          <w:rFonts w:ascii="Museo Sans 100" w:eastAsiaTheme="majorEastAsia" w:hAnsi="Museo Sans 100" w:cstheme="majorBidi"/>
          <w:color w:val="00B050"/>
          <w:sz w:val="24"/>
          <w:szCs w:val="32"/>
          <w:lang w:val="en-US"/>
        </w:rPr>
        <w:t>Clause 16 – Non-compliance with the Clauses and termination</w:t>
      </w:r>
    </w:p>
    <w:p w14:paraId="6995C80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The data importer shall promptly inform the data exporter if it is unable to comply with these Clauses, for whatever reason.</w:t>
      </w:r>
    </w:p>
    <w:p w14:paraId="3228B52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(b)</w:t>
      </w:r>
      <w:r>
        <w:rPr>
          <w:rFonts w:ascii="Museo Sans 100" w:hAnsi="Museo Sans 100"/>
          <w:sz w:val="20"/>
          <w:szCs w:val="20"/>
          <w:lang w:val="en-US"/>
        </w:rPr>
        <w:tab/>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p>
    <w:p w14:paraId="5EBA5A81"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The data exporter shall be entitled to terminate the contract, insofar as it concerns the processing of personal data under these Clauses, where:</w:t>
      </w:r>
    </w:p>
    <w:p w14:paraId="2E2EEFB0" w14:textId="77777777" w:rsidR="006B113F" w:rsidRDefault="00000000">
      <w:pPr>
        <w:spacing w:line="240" w:lineRule="auto"/>
        <w:ind w:left="1416" w:hanging="708"/>
        <w:rPr>
          <w:rFonts w:ascii="Museo Sans 100" w:hAnsi="Museo Sans 100"/>
          <w:sz w:val="20"/>
          <w:szCs w:val="20"/>
          <w:lang w:val="en-US"/>
        </w:rPr>
      </w:pPr>
      <w:r>
        <w:rPr>
          <w:rFonts w:ascii="Museo Sans 100" w:hAnsi="Museo Sans 100"/>
          <w:sz w:val="20"/>
          <w:szCs w:val="20"/>
          <w:lang w:val="en-US"/>
        </w:rPr>
        <w:t>(</w:t>
      </w:r>
      <w:proofErr w:type="spellStart"/>
      <w:r>
        <w:rPr>
          <w:rFonts w:ascii="Museo Sans 100" w:hAnsi="Museo Sans 100"/>
          <w:sz w:val="20"/>
          <w:szCs w:val="20"/>
          <w:lang w:val="en-US"/>
        </w:rPr>
        <w:t>i</w:t>
      </w:r>
      <w:proofErr w:type="spellEnd"/>
      <w:r>
        <w:rPr>
          <w:rFonts w:ascii="Museo Sans 100" w:hAnsi="Museo Sans 100"/>
          <w:sz w:val="20"/>
          <w:szCs w:val="20"/>
          <w:lang w:val="en-US"/>
        </w:rPr>
        <w:t>)</w:t>
      </w:r>
      <w:r>
        <w:rPr>
          <w:rFonts w:ascii="Museo Sans 100" w:hAnsi="Museo Sans 100"/>
          <w:sz w:val="20"/>
          <w:szCs w:val="20"/>
          <w:lang w:val="en-US"/>
        </w:rPr>
        <w:tab/>
        <w:t xml:space="preserve">the data exporter has suspended the transfer of personal data to the data importer pursuant to paragraph (b) and compliance with these Clauses is not restored within a reasonable time and in any event within one month of </w:t>
      </w:r>
      <w:proofErr w:type="gramStart"/>
      <w:r>
        <w:rPr>
          <w:rFonts w:ascii="Museo Sans 100" w:hAnsi="Museo Sans 100"/>
          <w:sz w:val="20"/>
          <w:szCs w:val="20"/>
          <w:lang w:val="en-US"/>
        </w:rPr>
        <w:t>suspension;</w:t>
      </w:r>
      <w:proofErr w:type="gramEnd"/>
    </w:p>
    <w:p w14:paraId="59AE1132" w14:textId="77777777" w:rsidR="006B113F" w:rsidRDefault="00000000">
      <w:pPr>
        <w:spacing w:line="240" w:lineRule="auto"/>
        <w:ind w:left="708"/>
        <w:rPr>
          <w:rFonts w:ascii="Museo Sans 100" w:hAnsi="Museo Sans 100"/>
          <w:sz w:val="20"/>
          <w:szCs w:val="20"/>
          <w:lang w:val="en-US"/>
        </w:rPr>
      </w:pPr>
      <w:r>
        <w:rPr>
          <w:rFonts w:ascii="Museo Sans 100" w:hAnsi="Museo Sans 100"/>
          <w:sz w:val="20"/>
          <w:szCs w:val="20"/>
          <w:lang w:val="en-US"/>
        </w:rPr>
        <w:t>(ii)</w:t>
      </w:r>
      <w:r>
        <w:rPr>
          <w:rFonts w:ascii="Museo Sans 100" w:hAnsi="Museo Sans 100"/>
          <w:sz w:val="20"/>
          <w:szCs w:val="20"/>
          <w:lang w:val="en-US"/>
        </w:rPr>
        <w:tab/>
        <w:t>the data importer is in substantial or persistent breach of these Clauses; or</w:t>
      </w:r>
    </w:p>
    <w:p w14:paraId="05D69857" w14:textId="77777777" w:rsidR="006B113F" w:rsidRDefault="00000000">
      <w:pPr>
        <w:spacing w:line="240" w:lineRule="auto"/>
        <w:ind w:left="1416" w:hanging="700"/>
        <w:rPr>
          <w:rFonts w:ascii="Museo Sans 100" w:hAnsi="Museo Sans 100"/>
          <w:sz w:val="20"/>
          <w:szCs w:val="20"/>
          <w:lang w:val="en-US"/>
        </w:rPr>
      </w:pPr>
      <w:r>
        <w:rPr>
          <w:rFonts w:ascii="Museo Sans 100" w:hAnsi="Museo Sans 100"/>
          <w:sz w:val="20"/>
          <w:szCs w:val="20"/>
          <w:lang w:val="en-US"/>
        </w:rPr>
        <w:t>(iii)</w:t>
      </w:r>
      <w:r>
        <w:rPr>
          <w:rFonts w:ascii="Museo Sans 100" w:hAnsi="Museo Sans 100"/>
          <w:sz w:val="20"/>
          <w:szCs w:val="20"/>
          <w:lang w:val="en-US"/>
        </w:rPr>
        <w:tab/>
        <w:t>the data importer fails to comply with a binding decision of a competent court or supervisory authority regarding its obligations under these Clauses.</w:t>
      </w:r>
    </w:p>
    <w:p w14:paraId="149EE7AC" w14:textId="77777777" w:rsidR="006B113F" w:rsidRDefault="00000000">
      <w:pPr>
        <w:spacing w:line="240" w:lineRule="auto"/>
        <w:ind w:left="708"/>
        <w:rPr>
          <w:rFonts w:ascii="Museo Sans 100" w:hAnsi="Museo Sans 100"/>
          <w:sz w:val="20"/>
          <w:szCs w:val="20"/>
          <w:lang w:val="en-US"/>
        </w:rPr>
      </w:pPr>
      <w:r>
        <w:rPr>
          <w:rFonts w:ascii="Museo Sans 100" w:hAnsi="Museo Sans 100"/>
          <w:sz w:val="20"/>
          <w:szCs w:val="20"/>
          <w:lang w:val="en-US"/>
        </w:rPr>
        <w:t xml:space="preserve">In these cases, it </w:t>
      </w:r>
      <w:proofErr w:type="gramStart"/>
      <w:r>
        <w:rPr>
          <w:rFonts w:ascii="Museo Sans 100" w:hAnsi="Museo Sans 100"/>
          <w:sz w:val="20"/>
          <w:szCs w:val="20"/>
          <w:lang w:val="en-US"/>
        </w:rPr>
        <w:t>shall</w:t>
      </w:r>
      <w:proofErr w:type="gramEnd"/>
      <w:r>
        <w:rPr>
          <w:rFonts w:ascii="Museo Sans 100" w:hAnsi="Museo Sans 100"/>
          <w:sz w:val="20"/>
          <w:szCs w:val="20"/>
          <w:lang w:val="en-US"/>
        </w:rPr>
        <w:t xml:space="preserve"> inform the competent supervisory authority of such non-compliance. Where the contract involves more than two Parties, the data exporter may exercise this right to termination only with respect to the relevant Party, unless the Parties have agreed otherwise.</w:t>
      </w:r>
    </w:p>
    <w:p w14:paraId="2F2A6F74" w14:textId="77777777" w:rsidR="006B113F" w:rsidRDefault="00000000">
      <w:pPr>
        <w:spacing w:line="240" w:lineRule="auto"/>
        <w:ind w:left="708" w:hanging="708"/>
        <w:rPr>
          <w:lang w:val="en-US"/>
        </w:rPr>
      </w:pPr>
      <w:r>
        <w:rPr>
          <w:rFonts w:ascii="Museo Sans 100" w:hAnsi="Museo Sans 100"/>
          <w:sz w:val="20"/>
          <w:szCs w:val="20"/>
          <w:lang w:val="en-US"/>
        </w:rPr>
        <w:t>(d)</w:t>
      </w:r>
      <w:r>
        <w:tab/>
      </w:r>
      <w:r>
        <w:rPr>
          <w:rFonts w:ascii="Museo Sans 100" w:hAnsi="Museo Sans 100"/>
          <w:sz w:val="20"/>
          <w:szCs w:val="20"/>
          <w:lang w:val="en-US"/>
        </w:rPr>
        <w:t>Personal data that has been transferred prior to the termination of the contract pursuant to paragraph (c)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w:t>
      </w:r>
      <w:r>
        <w:rPr>
          <w:lang w:val="en-US"/>
        </w:rPr>
        <w:t xml:space="preserve"> </w:t>
      </w:r>
      <w:r>
        <w:rPr>
          <w:rFonts w:ascii="Museo Sans 100" w:hAnsi="Museo Sans 100"/>
          <w:sz w:val="20"/>
          <w:szCs w:val="20"/>
          <w:lang w:val="en-US"/>
        </w:rPr>
        <w:t>deletion of the transferred personal data, the data importer warrants that it will continue to ensure compliance with these Clauses and will only process the data to the extent and for as long as required under that local law.</w:t>
      </w:r>
    </w:p>
    <w:p w14:paraId="0A0270F0"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(e)</w:t>
      </w:r>
      <w:r>
        <w:rPr>
          <w:rFonts w:ascii="Museo Sans 100" w:hAnsi="Museo Sans 100"/>
          <w:sz w:val="20"/>
          <w:szCs w:val="20"/>
          <w:lang w:val="en-US"/>
        </w:rPr>
        <w:tab/>
        <w:t>Either Party may revoke its agreement to be bound by these Clauses where (</w:t>
      </w:r>
      <w:proofErr w:type="spellStart"/>
      <w:r>
        <w:rPr>
          <w:rFonts w:ascii="Museo Sans 100" w:hAnsi="Museo Sans 100"/>
          <w:sz w:val="20"/>
          <w:szCs w:val="20"/>
          <w:lang w:val="en-US"/>
        </w:rPr>
        <w:t>i</w:t>
      </w:r>
      <w:proofErr w:type="spellEnd"/>
      <w:r>
        <w:rPr>
          <w:rFonts w:ascii="Museo Sans 100" w:hAnsi="Museo Sans 100"/>
          <w:sz w:val="20"/>
          <w:szCs w:val="20"/>
          <w:lang w:val="en-US"/>
        </w:rPr>
        <w:t>)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1AB358B8" w14:textId="77777777" w:rsidR="006B113F" w:rsidRDefault="006B113F">
      <w:pPr>
        <w:spacing w:line="240" w:lineRule="auto"/>
        <w:ind w:left="708" w:hanging="708"/>
        <w:rPr>
          <w:lang w:val="en-US"/>
        </w:rPr>
      </w:pPr>
    </w:p>
    <w:p w14:paraId="6D5F40CA" w14:textId="77777777" w:rsidR="006B113F" w:rsidRDefault="00000000">
      <w:pPr>
        <w:spacing w:line="240" w:lineRule="auto"/>
        <w:ind w:left="708" w:hanging="708"/>
        <w:rPr>
          <w:i/>
          <w:iCs/>
          <w:lang w:val="en-US"/>
        </w:rPr>
      </w:pPr>
      <w:r>
        <w:rPr>
          <w:rFonts w:ascii="Museo Sans 100" w:eastAsiaTheme="majorEastAsia" w:hAnsi="Museo Sans 100" w:cstheme="majorBidi"/>
          <w:color w:val="00B050"/>
          <w:sz w:val="24"/>
          <w:szCs w:val="32"/>
          <w:lang w:val="en-US"/>
        </w:rPr>
        <w:t>Clause 17 – Governing law</w:t>
      </w:r>
    </w:p>
    <w:p w14:paraId="7A457D31"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These Clauses shall be governed by the law of one of the EU Member States, provided</w:t>
      </w:r>
    </w:p>
    <w:p w14:paraId="56E0ABB9"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such law allows for third-party beneficiary rights. The Parties agree that this shall be the law of</w:t>
      </w:r>
    </w:p>
    <w:p w14:paraId="0428B9D8"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The Netherlands.</w:t>
      </w:r>
    </w:p>
    <w:p w14:paraId="296E3A95" w14:textId="77777777" w:rsidR="006B113F" w:rsidRDefault="006B113F">
      <w:pPr>
        <w:spacing w:line="240" w:lineRule="auto"/>
        <w:ind w:left="708" w:hanging="708"/>
        <w:rPr>
          <w:rFonts w:ascii="Museo Sans 100" w:eastAsiaTheme="majorEastAsia" w:hAnsi="Museo Sans 100" w:cstheme="majorBidi"/>
          <w:color w:val="00B050"/>
          <w:sz w:val="24"/>
          <w:szCs w:val="24"/>
          <w:lang w:val="en-US"/>
        </w:rPr>
      </w:pPr>
    </w:p>
    <w:p w14:paraId="04CA38EE" w14:textId="77777777" w:rsidR="006B113F" w:rsidRDefault="00000000">
      <w:pPr>
        <w:rPr>
          <w:rFonts w:ascii="Museo Sans 100" w:eastAsiaTheme="majorEastAsia" w:hAnsi="Museo Sans 100" w:cstheme="majorBidi"/>
          <w:color w:val="00B050"/>
          <w:sz w:val="24"/>
          <w:szCs w:val="24"/>
          <w:lang w:val="en-US"/>
        </w:rPr>
      </w:pPr>
      <w:r>
        <w:rPr>
          <w:rFonts w:ascii="Museo Sans 100" w:eastAsiaTheme="majorEastAsia" w:hAnsi="Museo Sans 100" w:cstheme="majorBidi"/>
          <w:color w:val="00B050"/>
          <w:sz w:val="24"/>
          <w:szCs w:val="24"/>
          <w:lang w:val="en-US"/>
        </w:rPr>
        <w:br w:type="page" w:clear="all"/>
      </w:r>
    </w:p>
    <w:p w14:paraId="5CF6AAEC" w14:textId="77777777" w:rsidR="006B113F" w:rsidRDefault="00000000">
      <w:pPr>
        <w:spacing w:line="240" w:lineRule="auto"/>
        <w:ind w:left="708" w:hanging="708"/>
        <w:rPr>
          <w:rFonts w:ascii="Museo Sans 100" w:eastAsiaTheme="majorEastAsia" w:hAnsi="Museo Sans 100" w:cstheme="majorBidi"/>
          <w:color w:val="00B050"/>
          <w:sz w:val="24"/>
          <w:szCs w:val="24"/>
          <w:lang w:val="en-US"/>
        </w:rPr>
      </w:pPr>
      <w:r>
        <w:rPr>
          <w:rFonts w:ascii="Museo Sans 100" w:eastAsiaTheme="majorEastAsia" w:hAnsi="Museo Sans 100" w:cstheme="majorBidi"/>
          <w:color w:val="00B050"/>
          <w:sz w:val="24"/>
          <w:szCs w:val="24"/>
          <w:lang w:val="en-US"/>
        </w:rPr>
        <w:lastRenderedPageBreak/>
        <w:t>Clause 18 – Choice of forum and jurisdiction</w:t>
      </w:r>
    </w:p>
    <w:p w14:paraId="7E07FCD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w:t>
      </w:r>
      <w:r>
        <w:rPr>
          <w:rFonts w:ascii="Museo Sans 100" w:hAnsi="Museo Sans 100"/>
          <w:sz w:val="20"/>
          <w:szCs w:val="20"/>
          <w:lang w:val="en-US"/>
        </w:rPr>
        <w:tab/>
        <w:t>Any dispute arising from these Clauses shall be resolved by the courts of an EU Member State.</w:t>
      </w:r>
    </w:p>
    <w:p w14:paraId="137CC863" w14:textId="77777777" w:rsidR="006B113F" w:rsidRDefault="00000000">
      <w:pPr>
        <w:spacing w:line="240" w:lineRule="auto"/>
        <w:ind w:left="708" w:hanging="708"/>
        <w:rPr>
          <w:rFonts w:ascii="Museo Sans 100" w:hAnsi="Museo Sans 100"/>
          <w:sz w:val="20"/>
          <w:szCs w:val="20"/>
          <w:highlight w:val="yellow"/>
          <w:lang w:val="en-US"/>
        </w:rPr>
      </w:pPr>
      <w:r>
        <w:rPr>
          <w:rFonts w:ascii="Museo Sans 100" w:hAnsi="Museo Sans 100"/>
          <w:sz w:val="20"/>
          <w:szCs w:val="20"/>
          <w:lang w:val="en-US"/>
        </w:rPr>
        <w:t>(b)</w:t>
      </w:r>
      <w:r>
        <w:tab/>
      </w:r>
      <w:r>
        <w:rPr>
          <w:rFonts w:ascii="Museo Sans 100" w:hAnsi="Museo Sans 100"/>
          <w:sz w:val="20"/>
          <w:szCs w:val="20"/>
          <w:lang w:val="en-US"/>
        </w:rPr>
        <w:t>The Parties agree that those shall be the courts of Germany.</w:t>
      </w:r>
    </w:p>
    <w:p w14:paraId="35203BA2"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w:t>
      </w:r>
      <w:r>
        <w:rPr>
          <w:rFonts w:ascii="Museo Sans 100" w:hAnsi="Museo Sans 100"/>
          <w:sz w:val="20"/>
          <w:szCs w:val="20"/>
          <w:lang w:val="en-US"/>
        </w:rPr>
        <w:tab/>
        <w:t>A data subject may also bring legal proceedings against the data exporter and/or data importer before the courts of the Member State in which he/she has his/her habitual residence.</w:t>
      </w:r>
    </w:p>
    <w:p w14:paraId="309C7C2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(d)</w:t>
      </w:r>
      <w:r>
        <w:rPr>
          <w:rFonts w:ascii="Museo Sans 100" w:hAnsi="Museo Sans 100"/>
          <w:sz w:val="20"/>
          <w:szCs w:val="20"/>
          <w:lang w:val="en-US"/>
        </w:rPr>
        <w:tab/>
        <w:t>The Parties agree to submit themselves to the jurisdiction of such courts.</w:t>
      </w:r>
    </w:p>
    <w:p w14:paraId="7E530CB9" w14:textId="77777777" w:rsidR="006B113F" w:rsidRDefault="006B113F">
      <w:pPr>
        <w:spacing w:line="240" w:lineRule="auto"/>
        <w:ind w:left="708" w:hanging="708"/>
        <w:rPr>
          <w:lang w:val="en-US"/>
        </w:rPr>
      </w:pPr>
    </w:p>
    <w:p w14:paraId="531C1662" w14:textId="77777777" w:rsidR="006B113F" w:rsidRDefault="006B113F">
      <w:pPr>
        <w:spacing w:line="240" w:lineRule="auto"/>
        <w:ind w:left="708" w:hanging="708"/>
        <w:rPr>
          <w:lang w:val="en-US"/>
        </w:rPr>
      </w:pPr>
    </w:p>
    <w:p w14:paraId="77938D22" w14:textId="77777777" w:rsidR="006B113F" w:rsidRDefault="006B113F">
      <w:pPr>
        <w:spacing w:line="240" w:lineRule="auto"/>
        <w:ind w:left="708" w:hanging="708"/>
        <w:rPr>
          <w:lang w:val="en-US"/>
        </w:rPr>
      </w:pPr>
    </w:p>
    <w:p w14:paraId="729A41E4" w14:textId="77777777" w:rsidR="006B113F" w:rsidRDefault="006B113F">
      <w:pPr>
        <w:spacing w:line="240" w:lineRule="auto"/>
        <w:ind w:left="708" w:hanging="708"/>
        <w:rPr>
          <w:lang w:val="en-US"/>
        </w:rPr>
      </w:pPr>
    </w:p>
    <w:p w14:paraId="22DEC170" w14:textId="77777777" w:rsidR="006B113F" w:rsidRDefault="00000000">
      <w:pPr>
        <w:spacing w:line="240" w:lineRule="auto"/>
        <w:rPr>
          <w:rFonts w:ascii="Museo Sans 100" w:hAnsi="Museo Sans 100"/>
          <w:b/>
          <w:color w:val="00B050"/>
          <w:sz w:val="32"/>
          <w:szCs w:val="32"/>
          <w:lang w:val="en-US"/>
        </w:rPr>
      </w:pPr>
      <w:r>
        <w:rPr>
          <w:rFonts w:ascii="Museo Sans 100" w:hAnsi="Museo Sans 100"/>
          <w:b/>
          <w:color w:val="00B050"/>
          <w:sz w:val="32"/>
          <w:szCs w:val="32"/>
          <w:lang w:val="en-US"/>
        </w:rPr>
        <w:t>APPENDIX</w:t>
      </w:r>
    </w:p>
    <w:p w14:paraId="56AFB808" w14:textId="77777777" w:rsidR="006B113F" w:rsidRDefault="006B113F">
      <w:pPr>
        <w:spacing w:line="240" w:lineRule="auto"/>
        <w:ind w:left="708" w:hanging="708"/>
        <w:rPr>
          <w:rFonts w:ascii="Museo Sans 100" w:hAnsi="Museo Sans 100"/>
          <w:sz w:val="20"/>
          <w:szCs w:val="20"/>
          <w:lang w:val="en-US"/>
        </w:rPr>
      </w:pPr>
    </w:p>
    <w:p w14:paraId="2E33FCA6"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EXPLANATORY NOTE:</w:t>
      </w:r>
    </w:p>
    <w:p w14:paraId="1B703BCE"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It must be possible to clearly distinguish the information applicable to each transfer or category of</w:t>
      </w:r>
    </w:p>
    <w:p w14:paraId="3BB31CF6"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transfers and, in this regard, to determine the respective role(s) of the Parties as data exporter(s)</w:t>
      </w:r>
    </w:p>
    <w:p w14:paraId="616ADC0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and/or data importer(s). This does not necessarily require completing and signing separate</w:t>
      </w:r>
    </w:p>
    <w:p w14:paraId="5B874657"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appendices for each transfer/category of transfers and/or contractual relationship, where this</w:t>
      </w:r>
    </w:p>
    <w:p w14:paraId="6FA25CFB"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 xml:space="preserve">transparency can </w:t>
      </w:r>
      <w:proofErr w:type="gramStart"/>
      <w:r>
        <w:rPr>
          <w:rFonts w:ascii="Museo Sans 100" w:hAnsi="Museo Sans 100"/>
          <w:sz w:val="20"/>
          <w:szCs w:val="20"/>
          <w:lang w:val="en-US"/>
        </w:rPr>
        <w:t>achieved</w:t>
      </w:r>
      <w:proofErr w:type="gramEnd"/>
      <w:r>
        <w:rPr>
          <w:rFonts w:ascii="Museo Sans 100" w:hAnsi="Museo Sans 100"/>
          <w:sz w:val="20"/>
          <w:szCs w:val="20"/>
          <w:lang w:val="en-US"/>
        </w:rPr>
        <w:t xml:space="preserve"> through one appendix. However, </w:t>
      </w:r>
      <w:proofErr w:type="gramStart"/>
      <w:r>
        <w:rPr>
          <w:rFonts w:ascii="Museo Sans 100" w:hAnsi="Museo Sans 100"/>
          <w:sz w:val="20"/>
          <w:szCs w:val="20"/>
          <w:lang w:val="en-US"/>
        </w:rPr>
        <w:t>where</w:t>
      </w:r>
      <w:proofErr w:type="gramEnd"/>
      <w:r>
        <w:rPr>
          <w:rFonts w:ascii="Museo Sans 100" w:hAnsi="Museo Sans 100"/>
          <w:sz w:val="20"/>
          <w:szCs w:val="20"/>
          <w:lang w:val="en-US"/>
        </w:rPr>
        <w:t xml:space="preserve"> necessary to ensure sufficient</w:t>
      </w:r>
    </w:p>
    <w:p w14:paraId="42D6002B"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clarity, separate appendices should be used.</w:t>
      </w:r>
    </w:p>
    <w:p w14:paraId="26D15C8C" w14:textId="77777777" w:rsidR="006B113F" w:rsidRDefault="006B113F">
      <w:pPr>
        <w:spacing w:line="240" w:lineRule="auto"/>
        <w:ind w:left="708" w:hanging="708"/>
        <w:rPr>
          <w:lang w:val="en-US"/>
        </w:rPr>
      </w:pPr>
    </w:p>
    <w:p w14:paraId="48D8220D" w14:textId="77777777" w:rsidR="006B113F" w:rsidRDefault="006B113F">
      <w:pPr>
        <w:spacing w:line="240" w:lineRule="auto"/>
        <w:ind w:left="708" w:hanging="708"/>
        <w:rPr>
          <w:lang w:val="en-US"/>
        </w:rPr>
      </w:pPr>
    </w:p>
    <w:p w14:paraId="269F3998" w14:textId="77777777" w:rsidR="006B113F" w:rsidRDefault="00000000">
      <w:pPr>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br w:type="page" w:clear="all"/>
      </w:r>
    </w:p>
    <w:p w14:paraId="45715323" w14:textId="77777777" w:rsidR="006B113F" w:rsidRDefault="00000000">
      <w:pPr>
        <w:spacing w:line="240" w:lineRule="auto"/>
        <w:ind w:left="708" w:hanging="708"/>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lastRenderedPageBreak/>
        <w:t>ANNEX I</w:t>
      </w:r>
    </w:p>
    <w:p w14:paraId="278F342B" w14:textId="77777777" w:rsidR="006B113F" w:rsidRDefault="006B113F">
      <w:pPr>
        <w:spacing w:line="240" w:lineRule="auto"/>
        <w:ind w:left="708" w:hanging="708"/>
        <w:rPr>
          <w:rFonts w:ascii="Museo Sans 100" w:hAnsi="Museo Sans 100"/>
          <w:lang w:val="en-US"/>
        </w:rPr>
      </w:pPr>
    </w:p>
    <w:p w14:paraId="3BD10FEA" w14:textId="77777777" w:rsidR="006B113F" w:rsidRDefault="00000000">
      <w:pPr>
        <w:spacing w:after="120"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t>A.</w:t>
      </w:r>
      <w:r>
        <w:rPr>
          <w:rFonts w:ascii="Museo Sans 100" w:eastAsiaTheme="majorEastAsia" w:hAnsi="Museo Sans 100" w:cstheme="majorBidi"/>
          <w:i/>
          <w:color w:val="00B050"/>
          <w:sz w:val="20"/>
          <w:szCs w:val="20"/>
          <w:lang w:val="en-US"/>
        </w:rPr>
        <w:tab/>
        <w:t>LIST OF PARTIES</w:t>
      </w:r>
    </w:p>
    <w:p w14:paraId="5E5C69FC" w14:textId="77777777" w:rsidR="006B113F" w:rsidRDefault="00000000">
      <w:pPr>
        <w:spacing w:line="240" w:lineRule="auto"/>
        <w:ind w:left="708" w:hanging="708"/>
        <w:rPr>
          <w:rFonts w:ascii="Museo Sans 100" w:hAnsi="Museo Sans 100"/>
          <w:sz w:val="20"/>
          <w:szCs w:val="20"/>
          <w:lang w:val="en-US"/>
        </w:rPr>
      </w:pPr>
      <w:commentRangeStart w:id="168"/>
      <w:r>
        <w:rPr>
          <w:rFonts w:ascii="Museo Sans 100" w:hAnsi="Museo Sans 100"/>
          <w:b/>
          <w:bCs/>
          <w:sz w:val="20"/>
          <w:szCs w:val="20"/>
          <w:lang w:val="en-US"/>
        </w:rPr>
        <w:t>Data exporter</w:t>
      </w:r>
      <w:commentRangeEnd w:id="168"/>
      <w:r>
        <w:commentReference w:id="168"/>
      </w:r>
      <w:r>
        <w:rPr>
          <w:rFonts w:ascii="Museo Sans 100" w:hAnsi="Museo Sans 100"/>
          <w:b/>
          <w:bCs/>
          <w:sz w:val="20"/>
          <w:szCs w:val="20"/>
          <w:lang w:val="en-US"/>
        </w:rPr>
        <w:t>:</w:t>
      </w:r>
      <w:r>
        <w:rPr>
          <w:rFonts w:ascii="Museo Sans 100" w:hAnsi="Museo Sans 100"/>
          <w:sz w:val="20"/>
          <w:szCs w:val="20"/>
          <w:lang w:val="en-US"/>
        </w:rPr>
        <w:t xml:space="preserve"> </w:t>
      </w:r>
    </w:p>
    <w:p w14:paraId="2819738B" w14:textId="77777777" w:rsidR="006B113F" w:rsidRDefault="006B113F">
      <w:pPr>
        <w:spacing w:line="240" w:lineRule="auto"/>
        <w:ind w:left="708" w:hanging="708"/>
        <w:rPr>
          <w:rFonts w:ascii="Museo Sans 100" w:hAnsi="Museo Sans 100"/>
          <w:i/>
          <w:iCs/>
          <w:sz w:val="20"/>
          <w:szCs w:val="20"/>
          <w:lang w:val="en-US"/>
        </w:rPr>
      </w:pPr>
    </w:p>
    <w:bookmarkStart w:id="169" w:name="_Hlk127363708"/>
    <w:p w14:paraId="737259AF" w14:textId="77777777" w:rsidR="006B113F" w:rsidRDefault="00000000">
      <w:pPr>
        <w:spacing w:line="240" w:lineRule="auto"/>
        <w:ind w:left="708" w:hanging="708"/>
        <w:rPr>
          <w:rFonts w:ascii="Museo Sans 100" w:eastAsia="Times New Roman" w:hAnsi="Museo Sans 100" w:cs="Times New Roman"/>
          <w:color w:val="000000"/>
          <w:sz w:val="20"/>
          <w:szCs w:val="20"/>
          <w:lang w:val="en-GB"/>
        </w:rPr>
      </w:pPr>
      <w:r>
        <w:rPr>
          <w:rFonts w:ascii="Museo Sans 100" w:eastAsia="Times New Roman" w:hAnsi="Museo Sans 100" w:cs="Times New Roman"/>
          <w:noProof/>
          <w:color w:val="000000"/>
          <w:sz w:val="20"/>
          <w:szCs w:val="20"/>
          <w:lang w:val="en-GB"/>
        </w:rPr>
        <mc:AlternateContent>
          <mc:Choice Requires="wpg">
            <w:drawing>
              <wp:inline distT="0" distB="0" distL="0" distR="0" wp14:anchorId="61E37E22" wp14:editId="6F6AD9E8">
                <wp:extent cx="5733415" cy="3622040"/>
                <wp:effectExtent l="0" t="0" r="635" b="0"/>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4"/>
                        <a:stretch/>
                      </pic:blipFill>
                      <pic:spPr bwMode="auto">
                        <a:xfrm>
                          <a:off x="0" y="0"/>
                          <a:ext cx="5733415" cy="362204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1.45pt;height:285.20pt;mso-wrap-distance-left:0.00pt;mso-wrap-distance-top:0.00pt;mso-wrap-distance-right:0.00pt;mso-wrap-distance-bottom:0.00pt;z-index:1;" stroked="false">
                <v:imagedata r:id="rId55" o:title=""/>
                <o:lock v:ext="edit" rotation="t"/>
              </v:shape>
            </w:pict>
          </mc:Fallback>
        </mc:AlternateContent>
      </w:r>
    </w:p>
    <w:p w14:paraId="04E785A4"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 xml:space="preserve">Activities relevant to the data transferred under these Clauses: </w:t>
      </w:r>
    </w:p>
    <w:p w14:paraId="40FE89D1" w14:textId="769E6B1D" w:rsidR="006B113F" w:rsidRDefault="00000000">
      <w:pPr>
        <w:spacing w:line="240" w:lineRule="auto"/>
        <w:rPr>
          <w:lang w:val="en-GB"/>
        </w:rPr>
      </w:pPr>
      <w:r>
        <w:rPr>
          <w:rFonts w:ascii="Museo Sans 100" w:hAnsi="Museo Sans 100"/>
          <w:color w:val="000000"/>
          <w:sz w:val="20"/>
          <w:szCs w:val="20"/>
          <w:lang w:val="en-GB"/>
        </w:rPr>
        <w:t xml:space="preserve">For the sake of proper conduction of the joint MSc programme </w:t>
      </w:r>
      <w:r w:rsidR="00B270F7">
        <w:rPr>
          <w:rFonts w:ascii="Museo Sans 100" w:hAnsi="Museo Sans 100"/>
          <w:color w:val="000000"/>
          <w:sz w:val="20"/>
          <w:szCs w:val="20"/>
          <w:lang w:val="en-GB"/>
        </w:rPr>
        <w:t>XX</w:t>
      </w:r>
      <w:r>
        <w:rPr>
          <w:rFonts w:ascii="Museo Sans 100" w:hAnsi="Museo Sans 100"/>
          <w:color w:val="000000"/>
          <w:sz w:val="20"/>
          <w:szCs w:val="20"/>
          <w:lang w:val="en-GB"/>
        </w:rPr>
        <w:t>, the following data processing activities are undertaken to guarantee secure data transfer: Collection, recording, organisation, structuring, storage, adaptation or alteration, retrieval, disclosure by transmission, combination, erasure, or destruction of data.</w:t>
      </w:r>
    </w:p>
    <w:p w14:paraId="7FF9FB53" w14:textId="77777777" w:rsidR="006B113F" w:rsidRDefault="006B113F">
      <w:pPr>
        <w:spacing w:line="240" w:lineRule="auto"/>
        <w:rPr>
          <w:rFonts w:ascii="Museo Sans 100" w:hAnsi="Museo Sans 100"/>
          <w:sz w:val="20"/>
          <w:szCs w:val="20"/>
          <w:lang w:val="en-US"/>
        </w:rPr>
      </w:pPr>
    </w:p>
    <w:p w14:paraId="342BAEA4"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Role (controller/processor): Controller and Processor</w:t>
      </w:r>
      <w:bookmarkEnd w:id="169"/>
    </w:p>
    <w:p w14:paraId="0AD79D6D" w14:textId="77777777" w:rsidR="006B113F" w:rsidRDefault="006B113F">
      <w:pPr>
        <w:spacing w:line="240" w:lineRule="auto"/>
        <w:ind w:left="708" w:hanging="708"/>
        <w:rPr>
          <w:rFonts w:ascii="Museo Sans 100" w:hAnsi="Museo Sans 100"/>
          <w:sz w:val="20"/>
          <w:szCs w:val="20"/>
          <w:lang w:val="en-US"/>
        </w:rPr>
      </w:pPr>
    </w:p>
    <w:p w14:paraId="0CBF1BE4" w14:textId="77777777" w:rsidR="006B113F" w:rsidRDefault="006B113F">
      <w:pPr>
        <w:spacing w:line="240" w:lineRule="auto"/>
        <w:ind w:left="708" w:hanging="708"/>
        <w:rPr>
          <w:rFonts w:ascii="Museo Sans 100" w:hAnsi="Museo Sans 100"/>
          <w:sz w:val="20"/>
          <w:szCs w:val="20"/>
          <w:lang w:val="en-US"/>
        </w:rPr>
      </w:pPr>
    </w:p>
    <w:p w14:paraId="1A9DC3A3" w14:textId="77777777" w:rsidR="006B113F" w:rsidRDefault="00000000">
      <w:pPr>
        <w:rPr>
          <w:rFonts w:ascii="Museo Sans 100" w:hAnsi="Museo Sans 100"/>
          <w:b/>
          <w:bCs/>
          <w:sz w:val="20"/>
          <w:szCs w:val="20"/>
          <w:lang w:val="en-US"/>
        </w:rPr>
      </w:pPr>
      <w:r>
        <w:rPr>
          <w:rFonts w:ascii="Museo Sans 100" w:hAnsi="Museo Sans 100"/>
          <w:b/>
          <w:bCs/>
          <w:sz w:val="20"/>
          <w:szCs w:val="20"/>
          <w:lang w:val="en-US"/>
        </w:rPr>
        <w:br w:type="page" w:clear="all"/>
      </w:r>
    </w:p>
    <w:p w14:paraId="3166F478" w14:textId="77777777" w:rsidR="006B113F" w:rsidRDefault="006B113F">
      <w:pPr>
        <w:spacing w:line="240" w:lineRule="auto"/>
        <w:ind w:left="708" w:hanging="708"/>
        <w:rPr>
          <w:rFonts w:ascii="Museo Sans 100" w:hAnsi="Museo Sans 100"/>
          <w:b/>
          <w:bCs/>
          <w:sz w:val="20"/>
          <w:szCs w:val="20"/>
          <w:lang w:val="en-US"/>
        </w:rPr>
      </w:pPr>
    </w:p>
    <w:p w14:paraId="55BD7888" w14:textId="77777777" w:rsidR="006B113F" w:rsidRDefault="006B113F">
      <w:pPr>
        <w:spacing w:line="240" w:lineRule="auto"/>
        <w:ind w:left="708" w:hanging="708"/>
        <w:rPr>
          <w:rFonts w:ascii="Museo Sans 100" w:hAnsi="Museo Sans 100"/>
          <w:b/>
          <w:bCs/>
          <w:sz w:val="20"/>
          <w:szCs w:val="20"/>
          <w:lang w:val="en-US"/>
        </w:rPr>
      </w:pPr>
    </w:p>
    <w:p w14:paraId="60C5EA8C" w14:textId="77777777" w:rsidR="006B113F" w:rsidRDefault="006B113F">
      <w:pPr>
        <w:spacing w:line="240" w:lineRule="auto"/>
        <w:ind w:left="708" w:hanging="708"/>
        <w:rPr>
          <w:rFonts w:ascii="Museo Sans 100" w:hAnsi="Museo Sans 100"/>
          <w:b/>
          <w:bCs/>
          <w:sz w:val="20"/>
          <w:szCs w:val="20"/>
          <w:lang w:val="en-US"/>
        </w:rPr>
      </w:pPr>
    </w:p>
    <w:p w14:paraId="23C3E157" w14:textId="77777777" w:rsidR="006B113F" w:rsidRDefault="006B113F">
      <w:pPr>
        <w:spacing w:line="240" w:lineRule="auto"/>
        <w:ind w:left="708" w:hanging="708"/>
        <w:rPr>
          <w:rFonts w:ascii="Museo Sans 100" w:hAnsi="Museo Sans 100"/>
          <w:b/>
          <w:bCs/>
          <w:sz w:val="20"/>
          <w:szCs w:val="20"/>
          <w:lang w:val="en-US"/>
        </w:rPr>
      </w:pPr>
    </w:p>
    <w:p w14:paraId="2CA89056" w14:textId="77777777" w:rsidR="006B113F" w:rsidRDefault="00000000">
      <w:pPr>
        <w:spacing w:line="240" w:lineRule="auto"/>
        <w:ind w:left="708" w:hanging="708"/>
        <w:rPr>
          <w:rFonts w:ascii="Museo Sans 100" w:hAnsi="Museo Sans 100"/>
          <w:sz w:val="20"/>
          <w:szCs w:val="20"/>
          <w:lang w:val="en-US"/>
        </w:rPr>
      </w:pPr>
      <w:commentRangeStart w:id="170"/>
      <w:r>
        <w:rPr>
          <w:rFonts w:ascii="Museo Sans 100" w:hAnsi="Museo Sans 100"/>
          <w:b/>
          <w:bCs/>
          <w:sz w:val="20"/>
          <w:szCs w:val="20"/>
          <w:lang w:val="en-US"/>
        </w:rPr>
        <w:t>Data importer(s):</w:t>
      </w:r>
      <w:r>
        <w:rPr>
          <w:rFonts w:ascii="Museo Sans 100" w:hAnsi="Museo Sans 100"/>
          <w:sz w:val="20"/>
          <w:szCs w:val="20"/>
          <w:lang w:val="en-US"/>
        </w:rPr>
        <w:t xml:space="preserve"> </w:t>
      </w:r>
      <w:commentRangeEnd w:id="170"/>
      <w:r>
        <w:commentReference w:id="170"/>
      </w:r>
    </w:p>
    <w:p w14:paraId="3699C1E4" w14:textId="77777777" w:rsidR="006B113F" w:rsidRDefault="006B113F">
      <w:pPr>
        <w:spacing w:line="240" w:lineRule="auto"/>
        <w:ind w:left="708" w:hanging="708"/>
        <w:rPr>
          <w:rFonts w:ascii="Museo Sans 100" w:hAnsi="Museo Sans 100"/>
          <w:sz w:val="20"/>
          <w:szCs w:val="20"/>
          <w:lang w:val="en-US"/>
        </w:rPr>
      </w:pPr>
    </w:p>
    <w:p w14:paraId="43B0123B"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noProof/>
          <w:sz w:val="20"/>
          <w:szCs w:val="20"/>
          <w:lang w:val="en-US"/>
        </w:rPr>
        <mc:AlternateContent>
          <mc:Choice Requires="wpg">
            <w:drawing>
              <wp:inline distT="0" distB="0" distL="0" distR="0" wp14:anchorId="71368746" wp14:editId="53F07B25">
                <wp:extent cx="5733415" cy="3652520"/>
                <wp:effectExtent l="0" t="0" r="635" b="508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6"/>
                        <a:stretch/>
                      </pic:blipFill>
                      <pic:spPr bwMode="auto">
                        <a:xfrm>
                          <a:off x="0" y="0"/>
                          <a:ext cx="5733415" cy="36525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1.45pt;height:287.60pt;mso-wrap-distance-left:0.00pt;mso-wrap-distance-top:0.00pt;mso-wrap-distance-right:0.00pt;mso-wrap-distance-bottom:0.00pt;z-index:1;" stroked="false">
                <v:imagedata r:id="rId57" o:title=""/>
                <o:lock v:ext="edit" rotation="t"/>
              </v:shape>
            </w:pict>
          </mc:Fallback>
        </mc:AlternateContent>
      </w:r>
    </w:p>
    <w:p w14:paraId="54B8496F"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 xml:space="preserve">Activities relevant to the data transferred under these Clauses: </w:t>
      </w:r>
    </w:p>
    <w:p w14:paraId="3CE605A9" w14:textId="77777777" w:rsidR="006B113F" w:rsidRDefault="00000000">
      <w:pPr>
        <w:spacing w:line="240" w:lineRule="auto"/>
        <w:rPr>
          <w:lang w:val="en-GB"/>
        </w:rPr>
      </w:pPr>
      <w:r>
        <w:rPr>
          <w:rFonts w:ascii="Museo Sans 100" w:hAnsi="Museo Sans 100"/>
          <w:color w:val="000000"/>
          <w:sz w:val="20"/>
          <w:szCs w:val="20"/>
          <w:lang w:val="en-GB"/>
        </w:rPr>
        <w:t>The following data processing activities are undertaken to guarantee secure data transfer: Collection, recording, organisation, structuring, storage, adaptation or alteration, retrieval, disclosure by transmission, combination, erasure, or destruction of data.</w:t>
      </w:r>
    </w:p>
    <w:p w14:paraId="5F73F22B" w14:textId="77777777" w:rsidR="006B113F" w:rsidRDefault="006B113F">
      <w:pPr>
        <w:spacing w:line="240" w:lineRule="auto"/>
        <w:ind w:left="708" w:hanging="708"/>
        <w:rPr>
          <w:rFonts w:ascii="Museo Sans 100" w:hAnsi="Museo Sans 100"/>
          <w:sz w:val="20"/>
          <w:szCs w:val="20"/>
          <w:lang w:val="en-US"/>
        </w:rPr>
      </w:pPr>
    </w:p>
    <w:p w14:paraId="7E1E4A49" w14:textId="77777777" w:rsidR="006B113F" w:rsidRDefault="00000000">
      <w:pPr>
        <w:spacing w:line="240" w:lineRule="auto"/>
        <w:ind w:left="708" w:hanging="708"/>
        <w:rPr>
          <w:rFonts w:ascii="Museo Sans 100" w:hAnsi="Museo Sans 100"/>
          <w:lang w:val="en-US"/>
        </w:rPr>
      </w:pPr>
      <w:r>
        <w:rPr>
          <w:rFonts w:ascii="Museo Sans 100" w:hAnsi="Museo Sans 100"/>
          <w:sz w:val="20"/>
          <w:szCs w:val="20"/>
          <w:lang w:val="en-US"/>
        </w:rPr>
        <w:t>Role (controller/processor): Controller and Processor</w:t>
      </w:r>
    </w:p>
    <w:p w14:paraId="6B14DD96" w14:textId="77777777" w:rsidR="006B113F" w:rsidRDefault="006B113F">
      <w:pPr>
        <w:spacing w:line="240" w:lineRule="auto"/>
        <w:ind w:left="708" w:hanging="708"/>
        <w:rPr>
          <w:rFonts w:ascii="Museo Sans 100" w:hAnsi="Museo Sans 100"/>
          <w:sz w:val="20"/>
          <w:szCs w:val="20"/>
          <w:lang w:val="en-US"/>
        </w:rPr>
      </w:pPr>
    </w:p>
    <w:p w14:paraId="1A85A221" w14:textId="77777777" w:rsidR="006B113F" w:rsidRDefault="006B113F">
      <w:pPr>
        <w:spacing w:line="240" w:lineRule="auto"/>
        <w:ind w:left="708" w:hanging="708"/>
        <w:rPr>
          <w:rFonts w:ascii="Museo Sans 100" w:hAnsi="Museo Sans 100"/>
          <w:sz w:val="20"/>
          <w:szCs w:val="20"/>
          <w:lang w:val="en-US"/>
        </w:rPr>
      </w:pPr>
    </w:p>
    <w:p w14:paraId="13A98F5A" w14:textId="77777777" w:rsidR="006B113F" w:rsidRDefault="00000000">
      <w:pPr>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br w:type="page" w:clear="all"/>
      </w:r>
    </w:p>
    <w:p w14:paraId="6AED2E7C"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lastRenderedPageBreak/>
        <w:t>B.</w:t>
      </w:r>
      <w:r>
        <w:rPr>
          <w:rFonts w:ascii="Museo Sans 100" w:eastAsiaTheme="majorEastAsia" w:hAnsi="Museo Sans 100" w:cstheme="majorBidi"/>
          <w:i/>
          <w:color w:val="00B050"/>
          <w:sz w:val="20"/>
          <w:szCs w:val="20"/>
          <w:lang w:val="en-US"/>
        </w:rPr>
        <w:tab/>
        <w:t xml:space="preserve">DESCRIPTION OF TRANSFER </w:t>
      </w:r>
    </w:p>
    <w:p w14:paraId="281D2D21" w14:textId="77777777" w:rsidR="006B113F" w:rsidRDefault="006B113F">
      <w:pPr>
        <w:spacing w:line="240" w:lineRule="auto"/>
        <w:ind w:left="708" w:hanging="708"/>
        <w:rPr>
          <w:sz w:val="20"/>
          <w:szCs w:val="20"/>
          <w:lang w:val="en-US"/>
        </w:rPr>
      </w:pPr>
    </w:p>
    <w:p w14:paraId="02591BFD" w14:textId="77777777" w:rsidR="006B113F" w:rsidRDefault="00000000">
      <w:pPr>
        <w:spacing w:line="240" w:lineRule="auto"/>
        <w:ind w:left="708" w:hanging="708"/>
        <w:rPr>
          <w:rFonts w:ascii="Museo Sans 100" w:hAnsi="Museo Sans 100"/>
          <w:i/>
          <w:iCs/>
          <w:sz w:val="20"/>
          <w:szCs w:val="20"/>
          <w:lang w:val="en-US"/>
        </w:rPr>
      </w:pPr>
      <w:r>
        <w:rPr>
          <w:rFonts w:ascii="Museo Sans 100" w:hAnsi="Museo Sans 100"/>
          <w:i/>
          <w:iCs/>
          <w:sz w:val="20"/>
          <w:szCs w:val="20"/>
          <w:lang w:val="en-US"/>
        </w:rPr>
        <w:t>Categories of data subjects whose personal data is transferred</w:t>
      </w:r>
    </w:p>
    <w:p w14:paraId="2F9379F3" w14:textId="28AAB9BE" w:rsidR="006B113F" w:rsidRDefault="00000000">
      <w:pPr>
        <w:spacing w:line="240" w:lineRule="auto"/>
        <w:ind w:left="708" w:hanging="708"/>
        <w:rPr>
          <w:rFonts w:ascii="Museo Sans 100" w:eastAsia="Times New Roman" w:hAnsi="Museo Sans 100" w:cs="Times New Roman"/>
          <w:color w:val="000000"/>
          <w:sz w:val="20"/>
          <w:szCs w:val="20"/>
          <w:lang w:val="en-GB"/>
        </w:rPr>
      </w:pPr>
      <w:r>
        <w:rPr>
          <w:rFonts w:ascii="Museo Sans 100" w:eastAsia="Times New Roman" w:hAnsi="Museo Sans 100" w:cs="Times New Roman"/>
          <w:color w:val="000000"/>
          <w:sz w:val="20"/>
          <w:szCs w:val="20"/>
          <w:lang w:val="en-GB"/>
        </w:rPr>
        <w:t xml:space="preserve">Applicants, students, alumni, and staff (administrative and academic) of the </w:t>
      </w:r>
      <w:r w:rsidR="00B270F7">
        <w:rPr>
          <w:rFonts w:ascii="Museo Sans 100" w:eastAsia="Times New Roman" w:hAnsi="Museo Sans 100" w:cs="Times New Roman"/>
          <w:color w:val="000000"/>
          <w:sz w:val="20"/>
          <w:szCs w:val="20"/>
          <w:lang w:val="en-GB"/>
        </w:rPr>
        <w:t>XX</w:t>
      </w:r>
      <w:r>
        <w:rPr>
          <w:rFonts w:ascii="Museo Sans 100" w:eastAsia="Times New Roman" w:hAnsi="Museo Sans 100" w:cs="Times New Roman"/>
          <w:color w:val="000000"/>
          <w:sz w:val="20"/>
          <w:szCs w:val="20"/>
          <w:lang w:val="en-GB"/>
        </w:rPr>
        <w:t xml:space="preserve"> programme</w:t>
      </w:r>
    </w:p>
    <w:p w14:paraId="47BA2C3B" w14:textId="77777777" w:rsidR="006B113F" w:rsidRDefault="006B113F">
      <w:pPr>
        <w:spacing w:line="240" w:lineRule="auto"/>
        <w:ind w:left="708" w:hanging="708"/>
        <w:rPr>
          <w:rFonts w:ascii="Museo Sans 100" w:hAnsi="Museo Sans 100"/>
          <w:sz w:val="20"/>
          <w:szCs w:val="20"/>
          <w:lang w:val="en-US"/>
        </w:rPr>
      </w:pPr>
    </w:p>
    <w:p w14:paraId="4C3FB2D1" w14:textId="77777777" w:rsidR="006B113F" w:rsidRDefault="00000000">
      <w:pPr>
        <w:spacing w:line="240" w:lineRule="auto"/>
        <w:ind w:left="708" w:hanging="708"/>
        <w:rPr>
          <w:rFonts w:ascii="Museo Sans 100" w:hAnsi="Museo Sans 100"/>
          <w:i/>
          <w:iCs/>
          <w:sz w:val="20"/>
          <w:szCs w:val="20"/>
          <w:lang w:val="en-US"/>
        </w:rPr>
      </w:pPr>
      <w:r>
        <w:rPr>
          <w:rFonts w:ascii="Museo Sans 100" w:hAnsi="Museo Sans 100"/>
          <w:i/>
          <w:iCs/>
          <w:sz w:val="20"/>
          <w:szCs w:val="20"/>
          <w:lang w:val="en-US"/>
        </w:rPr>
        <w:t>Categories of personal data transferred</w:t>
      </w:r>
    </w:p>
    <w:p w14:paraId="42BBDE88" w14:textId="16796EF3" w:rsidR="006B113F" w:rsidRDefault="00000000">
      <w:pPr>
        <w:spacing w:line="240" w:lineRule="auto"/>
        <w:rPr>
          <w:rFonts w:ascii="Museo Sans 100" w:eastAsia="Times New Roman" w:hAnsi="Museo Sans 100" w:cs="Times New Roman"/>
          <w:color w:val="000000"/>
          <w:sz w:val="20"/>
          <w:szCs w:val="20"/>
          <w:lang w:val="en-GB"/>
        </w:rPr>
      </w:pPr>
      <w:r>
        <w:rPr>
          <w:rFonts w:ascii="Museo Sans 100" w:eastAsia="Times New Roman" w:hAnsi="Museo Sans 100" w:cs="Times New Roman"/>
          <w:color w:val="000000"/>
          <w:sz w:val="20"/>
          <w:szCs w:val="20"/>
          <w:lang w:val="en-GB"/>
        </w:rPr>
        <w:t>Name(s): first name -  surname(s) - maiden name, parents’ names, gender, age, marital status, date of birth, place of birth, address, nationality/</w:t>
      </w:r>
      <w:proofErr w:type="spellStart"/>
      <w:r>
        <w:rPr>
          <w:rFonts w:ascii="Museo Sans 100" w:eastAsia="Times New Roman" w:hAnsi="Museo Sans 100" w:cs="Times New Roman"/>
          <w:color w:val="000000"/>
          <w:sz w:val="20"/>
          <w:szCs w:val="20"/>
          <w:lang w:val="en-GB"/>
        </w:rPr>
        <w:t>ies</w:t>
      </w:r>
      <w:proofErr w:type="spellEnd"/>
      <w:r>
        <w:rPr>
          <w:rFonts w:ascii="Museo Sans 100" w:eastAsia="Times New Roman" w:hAnsi="Museo Sans 100" w:cs="Times New Roman"/>
          <w:color w:val="000000"/>
          <w:sz w:val="20"/>
          <w:szCs w:val="20"/>
          <w:lang w:val="en-GB"/>
        </w:rPr>
        <w:t xml:space="preserve">, country of residence, current residence, ID, copy of visa, personal photo, previous studies (field, degree), county of first enrolment, first time of studies in Germany (if applicable), semester of first enrolment (summer term / winter term), year of first enrolment, number of ECTS credit points (or equivalent) acquired, proof of English proficiency, diplomas and transcript copies with thesis grade (grade or passed/failed), and title, current semester, current Faculty / School, current courses (titles), title of modules, matriculation number, name of the Dean, examination dates and semester, examination regulation, examination status, CV, motivation letter, letters of reference, EMJM scholarship application rank (if applicable), information on valid health insurance, financial status, IBAN number, SWIFT and name of EU bank, bank pass, fee payments, preferences for locations/tracks within the </w:t>
      </w:r>
      <w:r w:rsidR="00B270F7">
        <w:rPr>
          <w:rFonts w:ascii="Museo Sans 100" w:eastAsia="Times New Roman" w:hAnsi="Museo Sans 100" w:cs="Times New Roman"/>
          <w:color w:val="000000"/>
          <w:sz w:val="20"/>
          <w:szCs w:val="20"/>
          <w:lang w:val="en-GB"/>
        </w:rPr>
        <w:t>XX</w:t>
      </w:r>
      <w:r>
        <w:rPr>
          <w:rFonts w:ascii="Museo Sans 100" w:eastAsia="Times New Roman" w:hAnsi="Museo Sans 100" w:cs="Times New Roman"/>
          <w:color w:val="000000"/>
          <w:sz w:val="20"/>
          <w:szCs w:val="20"/>
          <w:lang w:val="en-GB"/>
        </w:rPr>
        <w:t xml:space="preserve"> programme, grades, course names and codes, information about failing or passing and distinctions, transcript of records, Diploma Supplements, final degree parchment.</w:t>
      </w:r>
    </w:p>
    <w:p w14:paraId="3C54E2BF" w14:textId="77777777" w:rsidR="006B113F" w:rsidRDefault="006B113F">
      <w:pPr>
        <w:spacing w:line="240" w:lineRule="auto"/>
        <w:rPr>
          <w:rFonts w:ascii="Museo Sans 100" w:eastAsia="Times New Roman" w:hAnsi="Museo Sans 100" w:cs="Times New Roman"/>
          <w:color w:val="000000"/>
          <w:sz w:val="20"/>
          <w:szCs w:val="20"/>
          <w:lang w:val="en-GB"/>
        </w:rPr>
      </w:pPr>
    </w:p>
    <w:p w14:paraId="1F8B7CF9" w14:textId="77777777" w:rsidR="006B113F" w:rsidRDefault="00000000">
      <w:pPr>
        <w:spacing w:line="240" w:lineRule="auto"/>
        <w:rPr>
          <w:rFonts w:ascii="Museo Sans 100" w:hAnsi="Museo Sans 100"/>
          <w:i/>
          <w:iCs/>
          <w:sz w:val="20"/>
          <w:szCs w:val="20"/>
          <w:lang w:val="en-US"/>
        </w:rPr>
      </w:pPr>
      <w:r>
        <w:rPr>
          <w:rFonts w:ascii="Museo Sans 100" w:hAnsi="Museo Sans 100"/>
          <w:i/>
          <w:iCs/>
          <w:sz w:val="20"/>
          <w:szCs w:val="20"/>
          <w:lang w:val="en-US"/>
        </w:rPr>
        <w:t xml:space="preserve">Sensitive data transferred (if applicable) and applied restrictions or safeguards that fully take into consideration the nature of the data and the risks involved, such as for instance strict purpose limitation, access restrictions (including access only for staff having followed </w:t>
      </w:r>
      <w:proofErr w:type="spellStart"/>
      <w:r>
        <w:rPr>
          <w:rFonts w:ascii="Museo Sans 100" w:hAnsi="Museo Sans 100"/>
          <w:i/>
          <w:iCs/>
          <w:sz w:val="20"/>
          <w:szCs w:val="20"/>
          <w:lang w:val="en-US"/>
        </w:rPr>
        <w:t>specialised</w:t>
      </w:r>
      <w:proofErr w:type="spellEnd"/>
      <w:r>
        <w:rPr>
          <w:rFonts w:ascii="Museo Sans 100" w:hAnsi="Museo Sans 100"/>
          <w:i/>
          <w:iCs/>
          <w:sz w:val="20"/>
          <w:szCs w:val="20"/>
          <w:lang w:val="en-US"/>
        </w:rPr>
        <w:t xml:space="preserve"> training), keeping a record of access to the data, restrictions for onward transfers or additional security measures.</w:t>
      </w:r>
    </w:p>
    <w:p w14:paraId="45463027"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(N/A)</w:t>
      </w:r>
    </w:p>
    <w:p w14:paraId="30B21DE3" w14:textId="77777777" w:rsidR="006B113F" w:rsidRDefault="006B113F">
      <w:pPr>
        <w:spacing w:line="240" w:lineRule="auto"/>
        <w:ind w:left="708" w:hanging="708"/>
        <w:rPr>
          <w:rFonts w:ascii="Museo Sans 100" w:hAnsi="Museo Sans 100"/>
          <w:i/>
          <w:iCs/>
          <w:sz w:val="20"/>
          <w:szCs w:val="20"/>
          <w:lang w:val="en-US"/>
        </w:rPr>
      </w:pPr>
    </w:p>
    <w:p w14:paraId="3C315F83" w14:textId="77777777" w:rsidR="006B113F" w:rsidRDefault="00000000">
      <w:pPr>
        <w:spacing w:line="240" w:lineRule="auto"/>
        <w:ind w:left="708" w:hanging="708"/>
        <w:rPr>
          <w:rFonts w:ascii="Museo Sans 100" w:hAnsi="Museo Sans 100"/>
          <w:i/>
          <w:iCs/>
          <w:sz w:val="20"/>
          <w:szCs w:val="20"/>
          <w:lang w:val="en-US"/>
        </w:rPr>
      </w:pPr>
      <w:r>
        <w:rPr>
          <w:rFonts w:ascii="Museo Sans 100" w:hAnsi="Museo Sans 100"/>
          <w:i/>
          <w:iCs/>
          <w:sz w:val="20"/>
          <w:szCs w:val="20"/>
          <w:lang w:val="en-US"/>
        </w:rPr>
        <w:t>The frequency of the transfer (e.g. whether the data is transferred on a one-off or continuous basis).</w:t>
      </w:r>
    </w:p>
    <w:p w14:paraId="4D29FA75" w14:textId="77777777" w:rsidR="006B113F" w:rsidRDefault="00000000">
      <w:pPr>
        <w:spacing w:line="240" w:lineRule="auto"/>
        <w:rPr>
          <w:rFonts w:ascii="Museo Sans 100" w:eastAsia="Times New Roman" w:hAnsi="Museo Sans 100" w:cs="Times New Roman"/>
          <w:color w:val="000000"/>
          <w:sz w:val="20"/>
          <w:szCs w:val="20"/>
          <w:lang w:val="en-GB"/>
        </w:rPr>
      </w:pPr>
      <w:r>
        <w:rPr>
          <w:rFonts w:ascii="Museo Sans 100" w:eastAsia="Times New Roman" w:hAnsi="Museo Sans 100" w:cs="Times New Roman"/>
          <w:color w:val="000000"/>
          <w:sz w:val="20"/>
          <w:szCs w:val="20"/>
          <w:lang w:val="en-GB"/>
        </w:rPr>
        <w:t>Continuous</w:t>
      </w:r>
    </w:p>
    <w:p w14:paraId="5E7A3A7C" w14:textId="77777777" w:rsidR="006B113F" w:rsidRDefault="006B113F">
      <w:pPr>
        <w:spacing w:line="240" w:lineRule="auto"/>
        <w:ind w:left="708" w:hanging="708"/>
        <w:rPr>
          <w:rFonts w:ascii="Museo Sans 100" w:hAnsi="Museo Sans 100"/>
          <w:sz w:val="20"/>
          <w:szCs w:val="20"/>
          <w:lang w:val="en-US"/>
        </w:rPr>
      </w:pPr>
    </w:p>
    <w:p w14:paraId="12229B0A" w14:textId="77777777" w:rsidR="006B113F" w:rsidRDefault="00000000">
      <w:pPr>
        <w:spacing w:line="240" w:lineRule="auto"/>
        <w:ind w:left="708" w:hanging="708"/>
        <w:rPr>
          <w:rFonts w:ascii="Museo Sans 100" w:hAnsi="Museo Sans 100"/>
          <w:i/>
          <w:iCs/>
          <w:sz w:val="20"/>
          <w:szCs w:val="20"/>
          <w:lang w:val="en-US"/>
        </w:rPr>
      </w:pPr>
      <w:r>
        <w:rPr>
          <w:rFonts w:ascii="Museo Sans 100" w:hAnsi="Museo Sans 100"/>
          <w:i/>
          <w:iCs/>
          <w:sz w:val="20"/>
          <w:szCs w:val="20"/>
          <w:lang w:val="en-US"/>
        </w:rPr>
        <w:t>Nature of the processing</w:t>
      </w:r>
    </w:p>
    <w:p w14:paraId="54A28900" w14:textId="24D99968"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 xml:space="preserve">By electronic means, </w:t>
      </w:r>
      <w:proofErr w:type="spellStart"/>
      <w:r>
        <w:rPr>
          <w:rFonts w:ascii="Museo Sans 100" w:hAnsi="Museo Sans 100"/>
          <w:sz w:val="20"/>
          <w:szCs w:val="20"/>
          <w:lang w:val="en-US"/>
        </w:rPr>
        <w:t>e.g</w:t>
      </w:r>
      <w:proofErr w:type="spellEnd"/>
      <w:r>
        <w:rPr>
          <w:rFonts w:ascii="Museo Sans 100" w:hAnsi="Museo Sans 100"/>
          <w:sz w:val="20"/>
          <w:szCs w:val="20"/>
          <w:lang w:val="en-US"/>
        </w:rPr>
        <w:t xml:space="preserve"> via secure e-mail and online data transfer systems as the </w:t>
      </w:r>
      <w:r w:rsidR="00B270F7">
        <w:rPr>
          <w:rFonts w:ascii="Museo Sans 100" w:hAnsi="Museo Sans 100"/>
          <w:sz w:val="20"/>
          <w:szCs w:val="20"/>
          <w:lang w:val="en-US"/>
        </w:rPr>
        <w:t>XX</w:t>
      </w:r>
      <w:r>
        <w:rPr>
          <w:rFonts w:ascii="Museo Sans 100" w:hAnsi="Museo Sans 100"/>
          <w:sz w:val="20"/>
          <w:szCs w:val="20"/>
          <w:lang w:val="en-US"/>
        </w:rPr>
        <w:t xml:space="preserve"> online application portal (with username and password)</w:t>
      </w:r>
    </w:p>
    <w:p w14:paraId="7A6EB1F1" w14:textId="77777777" w:rsidR="006B113F" w:rsidRDefault="006B113F">
      <w:pPr>
        <w:spacing w:line="240" w:lineRule="auto"/>
        <w:ind w:left="708" w:hanging="708"/>
        <w:rPr>
          <w:rFonts w:ascii="Museo Sans 100" w:hAnsi="Museo Sans 100"/>
          <w:sz w:val="20"/>
          <w:szCs w:val="20"/>
          <w:lang w:val="en-US"/>
        </w:rPr>
      </w:pPr>
    </w:p>
    <w:p w14:paraId="03AD6ECE" w14:textId="77777777" w:rsidR="006B113F" w:rsidRDefault="00000000">
      <w:pPr>
        <w:spacing w:line="240" w:lineRule="auto"/>
        <w:ind w:left="708" w:hanging="708"/>
        <w:rPr>
          <w:rFonts w:ascii="Museo Sans 100" w:hAnsi="Museo Sans 100"/>
          <w:i/>
          <w:iCs/>
          <w:sz w:val="20"/>
          <w:szCs w:val="20"/>
          <w:lang w:val="en-US"/>
        </w:rPr>
      </w:pPr>
      <w:r>
        <w:rPr>
          <w:rFonts w:ascii="Museo Sans 100" w:hAnsi="Museo Sans 100"/>
          <w:i/>
          <w:iCs/>
          <w:sz w:val="20"/>
          <w:szCs w:val="20"/>
          <w:lang w:val="en-US"/>
        </w:rPr>
        <w:t>Purpose(s) of the data transfer and further processing</w:t>
      </w:r>
    </w:p>
    <w:p w14:paraId="2F8078E1" w14:textId="3A3EFA73"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 xml:space="preserve">The Parties need to process Personal Data to communicate relevant information between the parties to secure proper implementation and conduct of the joint MSc </w:t>
      </w:r>
      <w:proofErr w:type="spellStart"/>
      <w:r>
        <w:rPr>
          <w:rFonts w:ascii="Museo Sans 100" w:hAnsi="Museo Sans 100"/>
          <w:sz w:val="20"/>
          <w:szCs w:val="20"/>
          <w:lang w:val="en-US"/>
        </w:rPr>
        <w:t>programme</w:t>
      </w:r>
      <w:proofErr w:type="spellEnd"/>
      <w:r>
        <w:rPr>
          <w:rFonts w:ascii="Museo Sans 100" w:hAnsi="Museo Sans 100"/>
          <w:sz w:val="20"/>
          <w:szCs w:val="20"/>
          <w:lang w:val="en-US"/>
        </w:rPr>
        <w:t xml:space="preserve"> </w:t>
      </w:r>
      <w:r w:rsidR="00B270F7">
        <w:rPr>
          <w:rFonts w:ascii="Museo Sans 100" w:hAnsi="Museo Sans 100"/>
          <w:sz w:val="20"/>
          <w:szCs w:val="20"/>
          <w:lang w:val="en-US"/>
        </w:rPr>
        <w:t>XX</w:t>
      </w:r>
      <w:r>
        <w:rPr>
          <w:rFonts w:ascii="Museo Sans 100" w:hAnsi="Museo Sans 100"/>
          <w:sz w:val="20"/>
          <w:szCs w:val="20"/>
          <w:lang w:val="en-US"/>
        </w:rPr>
        <w:t xml:space="preserve">, as described in the underlying Partnership Agreement governing </w:t>
      </w:r>
      <w:r w:rsidR="00B270F7">
        <w:rPr>
          <w:rFonts w:ascii="Museo Sans 100" w:hAnsi="Museo Sans 100"/>
          <w:sz w:val="20"/>
          <w:szCs w:val="20"/>
          <w:lang w:val="en-US"/>
        </w:rPr>
        <w:t>XX</w:t>
      </w:r>
      <w:r>
        <w:rPr>
          <w:rFonts w:ascii="Museo Sans 100" w:hAnsi="Museo Sans 100"/>
          <w:sz w:val="20"/>
          <w:szCs w:val="20"/>
          <w:lang w:val="en-US"/>
        </w:rPr>
        <w:t xml:space="preserve"> and fully respecting the confidentiality obligation under the GDPR.</w:t>
      </w:r>
    </w:p>
    <w:p w14:paraId="6EAA115F" w14:textId="77777777" w:rsidR="006B113F" w:rsidRDefault="006B113F">
      <w:pPr>
        <w:spacing w:line="240" w:lineRule="auto"/>
        <w:ind w:left="708" w:hanging="708"/>
        <w:rPr>
          <w:rFonts w:ascii="Museo Sans 100" w:hAnsi="Museo Sans 100"/>
          <w:sz w:val="20"/>
          <w:szCs w:val="20"/>
          <w:lang w:val="en-US"/>
        </w:rPr>
      </w:pPr>
    </w:p>
    <w:p w14:paraId="0D696E37" w14:textId="77777777" w:rsidR="006B113F" w:rsidRDefault="00000000">
      <w:pPr>
        <w:spacing w:line="240" w:lineRule="auto"/>
        <w:rPr>
          <w:rFonts w:ascii="Museo Sans 100" w:hAnsi="Museo Sans 100"/>
          <w:i/>
          <w:iCs/>
          <w:sz w:val="20"/>
          <w:szCs w:val="20"/>
          <w:lang w:val="en-US"/>
        </w:rPr>
      </w:pPr>
      <w:r>
        <w:rPr>
          <w:rFonts w:ascii="Museo Sans 100" w:hAnsi="Museo Sans 100"/>
          <w:i/>
          <w:iCs/>
          <w:sz w:val="20"/>
          <w:szCs w:val="20"/>
          <w:lang w:val="en-US"/>
        </w:rPr>
        <w:t>The period for which the personal data will be retained, or, if that is not possible, the criteria used to determine that period</w:t>
      </w:r>
    </w:p>
    <w:p w14:paraId="20B5DB78"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 xml:space="preserve">Documents containing personal data will be retained for 10 years. </w:t>
      </w:r>
    </w:p>
    <w:p w14:paraId="7BB159DD" w14:textId="77777777" w:rsidR="006B113F" w:rsidRDefault="006B113F">
      <w:pPr>
        <w:spacing w:line="240" w:lineRule="auto"/>
        <w:ind w:left="708" w:hanging="708"/>
        <w:rPr>
          <w:lang w:val="en-US"/>
        </w:rPr>
      </w:pPr>
    </w:p>
    <w:p w14:paraId="5DD17A3B" w14:textId="77777777" w:rsidR="006B113F" w:rsidRDefault="00000000">
      <w:pPr>
        <w:spacing w:line="240" w:lineRule="auto"/>
        <w:ind w:left="708" w:hanging="708"/>
        <w:rPr>
          <w:rFonts w:ascii="Museo Sans 100" w:hAnsi="Museo Sans 100"/>
          <w:i/>
          <w:iCs/>
          <w:sz w:val="20"/>
          <w:szCs w:val="20"/>
          <w:lang w:val="en-US"/>
        </w:rPr>
      </w:pPr>
      <w:r>
        <w:rPr>
          <w:rFonts w:ascii="Museo Sans 100" w:hAnsi="Museo Sans 100"/>
          <w:i/>
          <w:iCs/>
          <w:sz w:val="20"/>
          <w:szCs w:val="20"/>
          <w:lang w:val="en-US"/>
        </w:rPr>
        <w:t>For transfers to (sub-) processors, also specify subject matter, nature and duration of the processing</w:t>
      </w:r>
    </w:p>
    <w:p w14:paraId="484B0884" w14:textId="77777777" w:rsidR="006B113F" w:rsidRDefault="006B113F">
      <w:pPr>
        <w:spacing w:line="240" w:lineRule="auto"/>
        <w:ind w:left="708" w:hanging="708"/>
        <w:rPr>
          <w:rFonts w:ascii="Museo Sans 100" w:hAnsi="Museo Sans 100"/>
          <w:sz w:val="20"/>
          <w:szCs w:val="20"/>
          <w:lang w:val="en-US"/>
        </w:rPr>
      </w:pPr>
    </w:p>
    <w:p w14:paraId="01929D0E" w14:textId="77777777" w:rsidR="006B113F" w:rsidRDefault="006B113F">
      <w:pPr>
        <w:spacing w:line="240" w:lineRule="auto"/>
        <w:ind w:left="708" w:hanging="708"/>
        <w:rPr>
          <w:lang w:val="en-US"/>
        </w:rPr>
      </w:pPr>
    </w:p>
    <w:p w14:paraId="709FC12E" w14:textId="77777777" w:rsidR="006B113F" w:rsidRDefault="00000000">
      <w:pPr>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br w:type="page" w:clear="all"/>
      </w:r>
    </w:p>
    <w:p w14:paraId="3BC2EA2A" w14:textId="77777777" w:rsidR="006B113F" w:rsidRDefault="00000000">
      <w:pPr>
        <w:spacing w:line="240" w:lineRule="auto"/>
        <w:rPr>
          <w:rFonts w:ascii="Museo Sans 100" w:eastAsiaTheme="majorEastAsia" w:hAnsi="Museo Sans 100" w:cstheme="majorBidi"/>
          <w:i/>
          <w:color w:val="00B050"/>
          <w:sz w:val="20"/>
          <w:szCs w:val="20"/>
          <w:lang w:val="en-US"/>
        </w:rPr>
      </w:pPr>
      <w:r>
        <w:rPr>
          <w:rFonts w:ascii="Museo Sans 100" w:eastAsiaTheme="majorEastAsia" w:hAnsi="Museo Sans 100" w:cstheme="majorBidi"/>
          <w:i/>
          <w:color w:val="00B050"/>
          <w:sz w:val="20"/>
          <w:szCs w:val="20"/>
          <w:lang w:val="en-US"/>
        </w:rPr>
        <w:lastRenderedPageBreak/>
        <w:t>C.</w:t>
      </w:r>
      <w:r>
        <w:rPr>
          <w:rFonts w:ascii="Museo Sans 100" w:eastAsiaTheme="majorEastAsia" w:hAnsi="Museo Sans 100" w:cstheme="majorBidi"/>
          <w:i/>
          <w:color w:val="00B050"/>
          <w:sz w:val="20"/>
          <w:szCs w:val="20"/>
          <w:lang w:val="en-US"/>
        </w:rPr>
        <w:tab/>
        <w:t>COMPETENT SUPERVISORY AUTHORITY</w:t>
      </w:r>
    </w:p>
    <w:p w14:paraId="3F9E1437" w14:textId="77777777" w:rsidR="006B113F" w:rsidRDefault="006B113F">
      <w:pPr>
        <w:spacing w:line="240" w:lineRule="auto"/>
        <w:rPr>
          <w:lang w:val="en-US"/>
        </w:rPr>
      </w:pPr>
    </w:p>
    <w:p w14:paraId="2E7A5C58" w14:textId="77777777" w:rsidR="006B113F" w:rsidRDefault="00000000">
      <w:pPr>
        <w:spacing w:line="240" w:lineRule="auto"/>
        <w:ind w:left="708" w:hanging="708"/>
        <w:rPr>
          <w:rFonts w:ascii="Museo Sans 100" w:hAnsi="Museo Sans 100"/>
          <w:i/>
          <w:iCs/>
          <w:sz w:val="20"/>
          <w:szCs w:val="20"/>
          <w:lang w:val="en-US"/>
        </w:rPr>
      </w:pPr>
      <w:r>
        <w:rPr>
          <w:rFonts w:ascii="Museo Sans 100" w:hAnsi="Museo Sans 100"/>
          <w:i/>
          <w:iCs/>
          <w:sz w:val="20"/>
          <w:szCs w:val="20"/>
          <w:lang w:val="en-US"/>
        </w:rPr>
        <w:t>Identify the competent supervisory authority/</w:t>
      </w:r>
      <w:proofErr w:type="spellStart"/>
      <w:r>
        <w:rPr>
          <w:rFonts w:ascii="Museo Sans 100" w:hAnsi="Museo Sans 100"/>
          <w:i/>
          <w:iCs/>
          <w:sz w:val="20"/>
          <w:szCs w:val="20"/>
          <w:lang w:val="en-US"/>
        </w:rPr>
        <w:t>ies</w:t>
      </w:r>
      <w:proofErr w:type="spellEnd"/>
      <w:r>
        <w:rPr>
          <w:rFonts w:ascii="Museo Sans 100" w:hAnsi="Museo Sans 100"/>
          <w:i/>
          <w:iCs/>
          <w:sz w:val="20"/>
          <w:szCs w:val="20"/>
          <w:lang w:val="en-US"/>
        </w:rPr>
        <w:t xml:space="preserve"> in accordance with Clause 13</w:t>
      </w:r>
    </w:p>
    <w:p w14:paraId="2735780F" w14:textId="77777777" w:rsidR="006B113F" w:rsidRDefault="006B113F">
      <w:pPr>
        <w:spacing w:line="240" w:lineRule="auto"/>
        <w:ind w:left="708" w:hanging="708"/>
        <w:rPr>
          <w:rFonts w:ascii="Museo Sans 100" w:eastAsia="Times New Roman" w:hAnsi="Museo Sans 100" w:cs="Times New Roman"/>
          <w:i/>
          <w:iCs/>
          <w:color w:val="000000"/>
          <w:sz w:val="20"/>
          <w:szCs w:val="20"/>
          <w:lang w:val="en-GB"/>
        </w:rPr>
      </w:pPr>
    </w:p>
    <w:p w14:paraId="494B93FE" w14:textId="77777777" w:rsidR="006B113F" w:rsidRDefault="00000000">
      <w:pPr>
        <w:spacing w:line="240" w:lineRule="auto"/>
        <w:rPr>
          <w:rFonts w:ascii="Museo Sans 100" w:hAnsi="Museo Sans 100"/>
          <w:sz w:val="20"/>
          <w:szCs w:val="20"/>
          <w:lang w:val="en-US"/>
        </w:rPr>
      </w:pPr>
      <w:commentRangeStart w:id="171"/>
      <w:r>
        <w:rPr>
          <w:rFonts w:ascii="Museo Sans 100" w:hAnsi="Museo Sans 100"/>
          <w:sz w:val="20"/>
          <w:szCs w:val="20"/>
          <w:lang w:val="en-US"/>
        </w:rPr>
        <w:t>As Germany is a federal state, the competent supervisory authority of the federal state of North Rhine-Westphalia is in charge:</w:t>
      </w:r>
    </w:p>
    <w:p w14:paraId="7379481E" w14:textId="77777777" w:rsidR="006B113F" w:rsidRDefault="00000000">
      <w:pPr>
        <w:spacing w:line="240" w:lineRule="auto"/>
        <w:rPr>
          <w:rFonts w:ascii="Museo Sans 100" w:hAnsi="Museo Sans 100"/>
          <w:sz w:val="20"/>
          <w:szCs w:val="20"/>
          <w:lang w:val="de-DE"/>
        </w:rPr>
      </w:pPr>
      <w:r>
        <w:rPr>
          <w:rFonts w:ascii="Museo Sans 100" w:hAnsi="Museo Sans 100"/>
          <w:sz w:val="20"/>
          <w:szCs w:val="20"/>
          <w:lang w:val="de-DE"/>
        </w:rPr>
        <w:t>LDI NRW - Landesbeauftragte für Datenschutz und Informationsfreiheit Nordrhein-Westfalen</w:t>
      </w:r>
    </w:p>
    <w:p w14:paraId="0ED0A6BB" w14:textId="77777777" w:rsidR="006B113F" w:rsidRDefault="00000000">
      <w:pPr>
        <w:spacing w:line="240" w:lineRule="auto"/>
        <w:rPr>
          <w:rFonts w:ascii="Museo Sans 100" w:hAnsi="Museo Sans 100"/>
          <w:sz w:val="20"/>
          <w:szCs w:val="20"/>
          <w:lang w:val="en-US"/>
        </w:rPr>
      </w:pPr>
      <w:proofErr w:type="gramStart"/>
      <w:r>
        <w:rPr>
          <w:rFonts w:ascii="Museo Sans 100" w:hAnsi="Museo Sans 100"/>
          <w:sz w:val="20"/>
          <w:szCs w:val="20"/>
          <w:lang w:val="en-US"/>
        </w:rPr>
        <w:t>( =</w:t>
      </w:r>
      <w:proofErr w:type="gramEnd"/>
      <w:r>
        <w:rPr>
          <w:rFonts w:ascii="Museo Sans 100" w:hAnsi="Museo Sans 100"/>
          <w:sz w:val="20"/>
          <w:szCs w:val="20"/>
          <w:lang w:val="en-US"/>
        </w:rPr>
        <w:t xml:space="preserve"> State Commissioner for Data Protection and Freedom of Information of North Rhine-Westphalia)</w:t>
      </w:r>
    </w:p>
    <w:p w14:paraId="759902E9" w14:textId="77777777" w:rsidR="006B113F" w:rsidRDefault="00000000">
      <w:pPr>
        <w:spacing w:line="240" w:lineRule="auto"/>
        <w:rPr>
          <w:rStyle w:val="Hyperlink"/>
          <w:sz w:val="20"/>
          <w:szCs w:val="20"/>
          <w:lang w:val="de-DE"/>
        </w:rPr>
      </w:pPr>
      <w:r>
        <w:rPr>
          <w:rFonts w:ascii="Museo Sans 100" w:hAnsi="Museo Sans 100"/>
          <w:sz w:val="20"/>
          <w:szCs w:val="20"/>
          <w:lang w:val="de-DE"/>
        </w:rPr>
        <w:t>Kavalleriestr. 2-4</w:t>
      </w:r>
      <w:r>
        <w:rPr>
          <w:rFonts w:ascii="Museo Sans 100" w:hAnsi="Museo Sans 100"/>
          <w:sz w:val="20"/>
          <w:szCs w:val="20"/>
          <w:lang w:val="de-DE"/>
        </w:rPr>
        <w:br/>
        <w:t>40213 Düsseldorf, Germany</w:t>
      </w:r>
      <w:r>
        <w:rPr>
          <w:rFonts w:ascii="Museo Sans 100" w:hAnsi="Museo Sans 100"/>
          <w:sz w:val="20"/>
          <w:szCs w:val="20"/>
          <w:lang w:val="de-DE"/>
        </w:rPr>
        <w:br/>
        <w:t>Fon: +49-211-38424-0</w:t>
      </w:r>
      <w:r>
        <w:rPr>
          <w:rFonts w:ascii="Museo Sans 100" w:hAnsi="Museo Sans 100"/>
          <w:sz w:val="20"/>
          <w:szCs w:val="20"/>
          <w:lang w:val="de-DE"/>
        </w:rPr>
        <w:br/>
        <w:t>Fax: +49-211-38424-999</w:t>
      </w:r>
      <w:r>
        <w:rPr>
          <w:rFonts w:ascii="Museo Sans 100" w:hAnsi="Museo Sans 100"/>
          <w:sz w:val="20"/>
          <w:szCs w:val="20"/>
          <w:lang w:val="de-DE"/>
        </w:rPr>
        <w:br/>
        <w:t>E-Mail</w:t>
      </w:r>
      <w:r>
        <w:rPr>
          <w:rStyle w:val="Hyperlink"/>
        </w:rPr>
        <w:t xml:space="preserve">: </w:t>
      </w:r>
      <w:r>
        <w:fldChar w:fldCharType="begin"/>
      </w:r>
      <w:r>
        <w:instrText>HYPERLINK "mailto:poststelle@ldi.nrw.de" \o "mailto:poststelle@ldi.nrw.de"</w:instrText>
      </w:r>
      <w:r>
        <w:fldChar w:fldCharType="separate"/>
      </w:r>
      <w:r>
        <w:rPr>
          <w:rStyle w:val="Hyperlink"/>
          <w:sz w:val="20"/>
          <w:szCs w:val="20"/>
          <w:lang w:val="de-DE"/>
        </w:rPr>
        <w:t>poststelle@ldi.nrw.de</w:t>
      </w:r>
      <w:r>
        <w:rPr>
          <w:rStyle w:val="Hyperlink"/>
          <w:sz w:val="20"/>
          <w:szCs w:val="20"/>
          <w:lang w:val="de-DE"/>
        </w:rPr>
        <w:fldChar w:fldCharType="end"/>
      </w:r>
      <w:r>
        <w:rPr>
          <w:rStyle w:val="Hyperlink"/>
          <w:sz w:val="20"/>
          <w:szCs w:val="20"/>
          <w:lang w:val="de-DE"/>
        </w:rPr>
        <w:t xml:space="preserve"> </w:t>
      </w:r>
    </w:p>
    <w:p w14:paraId="0A11A094" w14:textId="77777777" w:rsidR="006B113F" w:rsidRDefault="00000000">
      <w:pPr>
        <w:spacing w:line="240" w:lineRule="auto"/>
        <w:ind w:left="708" w:hanging="708"/>
        <w:rPr>
          <w:sz w:val="20"/>
          <w:szCs w:val="20"/>
          <w:lang w:val="de-DE"/>
        </w:rPr>
      </w:pPr>
      <w:hyperlink r:id="rId58" w:tooltip="https://www.ldi.nrw.de/" w:history="1">
        <w:r>
          <w:rPr>
            <w:rStyle w:val="Hyperlink"/>
            <w:sz w:val="20"/>
            <w:szCs w:val="20"/>
            <w:lang w:val="de-DE"/>
          </w:rPr>
          <w:t>https://www.ldi.nrw.de/</w:t>
        </w:r>
      </w:hyperlink>
      <w:r>
        <w:rPr>
          <w:sz w:val="20"/>
          <w:szCs w:val="20"/>
          <w:lang w:val="de-DE"/>
        </w:rPr>
        <w:t xml:space="preserve"> </w:t>
      </w:r>
    </w:p>
    <w:p w14:paraId="614A1206" w14:textId="77777777" w:rsidR="006B113F" w:rsidRDefault="006B113F">
      <w:pPr>
        <w:spacing w:line="240" w:lineRule="auto"/>
        <w:ind w:left="708" w:hanging="708"/>
        <w:rPr>
          <w:lang w:val="de-DE"/>
        </w:rPr>
      </w:pPr>
    </w:p>
    <w:p w14:paraId="71A25C39" w14:textId="77777777" w:rsidR="006B113F" w:rsidRDefault="006B113F">
      <w:pPr>
        <w:spacing w:line="240" w:lineRule="auto"/>
        <w:ind w:left="708" w:hanging="708"/>
        <w:rPr>
          <w:lang w:val="de-DE"/>
        </w:rPr>
      </w:pPr>
    </w:p>
    <w:p w14:paraId="7CB8F40F" w14:textId="77777777" w:rsidR="006B113F" w:rsidRDefault="006B113F">
      <w:pPr>
        <w:spacing w:line="240" w:lineRule="auto"/>
        <w:ind w:left="708" w:hanging="708"/>
        <w:rPr>
          <w:lang w:val="de-DE"/>
        </w:rPr>
      </w:pPr>
    </w:p>
    <w:p w14:paraId="5E77DF4E" w14:textId="77777777" w:rsidR="006B113F" w:rsidRDefault="00000000">
      <w:pPr>
        <w:spacing w:line="240" w:lineRule="auto"/>
        <w:ind w:left="708" w:hanging="708"/>
        <w:rPr>
          <w:rFonts w:ascii="Museo Sans 100" w:eastAsia="Times New Roman" w:hAnsi="Museo Sans 100" w:cs="Times New Roman"/>
          <w:color w:val="000000"/>
          <w:sz w:val="20"/>
          <w:szCs w:val="20"/>
          <w:lang w:val="en-GB"/>
        </w:rPr>
      </w:pPr>
      <w:bookmarkStart w:id="172" w:name="_Hlk127363749"/>
      <w:r>
        <w:rPr>
          <w:rFonts w:ascii="Museo Sans 100" w:eastAsia="Times New Roman" w:hAnsi="Museo Sans 100" w:cs="Times New Roman"/>
          <w:color w:val="000000"/>
          <w:sz w:val="20"/>
          <w:szCs w:val="20"/>
          <w:lang w:val="en-GB"/>
        </w:rPr>
        <w:t>The competent supervisory authority in Türkiye is:</w:t>
      </w:r>
    </w:p>
    <w:p w14:paraId="37BE96EB"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Turkish Data Protection Authority (</w:t>
      </w:r>
      <w:proofErr w:type="spellStart"/>
      <w:r>
        <w:rPr>
          <w:rFonts w:ascii="Museo Sans 100" w:hAnsi="Museo Sans 100"/>
          <w:sz w:val="20"/>
          <w:szCs w:val="20"/>
          <w:lang w:val="en-US"/>
        </w:rPr>
        <w:t>Kişisel</w:t>
      </w:r>
      <w:proofErr w:type="spellEnd"/>
      <w:r>
        <w:rPr>
          <w:rFonts w:ascii="Museo Sans 100" w:hAnsi="Museo Sans 100"/>
          <w:sz w:val="20"/>
          <w:szCs w:val="20"/>
          <w:lang w:val="en-US"/>
        </w:rPr>
        <w:t xml:space="preserve"> </w:t>
      </w:r>
      <w:proofErr w:type="spellStart"/>
      <w:r>
        <w:rPr>
          <w:rFonts w:ascii="Museo Sans 100" w:hAnsi="Museo Sans 100"/>
          <w:sz w:val="20"/>
          <w:szCs w:val="20"/>
          <w:lang w:val="en-US"/>
        </w:rPr>
        <w:t>Verileri</w:t>
      </w:r>
      <w:proofErr w:type="spellEnd"/>
      <w:r>
        <w:rPr>
          <w:rFonts w:ascii="Museo Sans 100" w:hAnsi="Museo Sans 100"/>
          <w:sz w:val="20"/>
          <w:szCs w:val="20"/>
          <w:lang w:val="en-US"/>
        </w:rPr>
        <w:t xml:space="preserve"> </w:t>
      </w:r>
      <w:proofErr w:type="spellStart"/>
      <w:r>
        <w:rPr>
          <w:rFonts w:ascii="Museo Sans 100" w:hAnsi="Museo Sans 100"/>
          <w:sz w:val="20"/>
          <w:szCs w:val="20"/>
          <w:lang w:val="en-US"/>
        </w:rPr>
        <w:t>Koruma</w:t>
      </w:r>
      <w:proofErr w:type="spellEnd"/>
      <w:r>
        <w:rPr>
          <w:rFonts w:ascii="Museo Sans 100" w:hAnsi="Museo Sans 100"/>
          <w:sz w:val="20"/>
          <w:szCs w:val="20"/>
          <w:lang w:val="en-US"/>
        </w:rPr>
        <w:t xml:space="preserve"> Kurumu)</w:t>
      </w:r>
    </w:p>
    <w:p w14:paraId="25B07836"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Nasuh Akar Mahallesi 1407. Sok. No:4</w:t>
      </w:r>
    </w:p>
    <w:p w14:paraId="7E0063FD"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06520 Çankaya/Ankara </w:t>
      </w:r>
    </w:p>
    <w:p w14:paraId="7008DFD6" w14:textId="77777777" w:rsidR="006B113F" w:rsidRDefault="00000000">
      <w:pPr>
        <w:spacing w:line="240" w:lineRule="auto"/>
        <w:rPr>
          <w:rFonts w:ascii="Museo Sans 100" w:hAnsi="Museo Sans 100"/>
          <w:sz w:val="20"/>
          <w:szCs w:val="20"/>
          <w:lang w:val="fr-FR"/>
        </w:rPr>
      </w:pPr>
      <w:proofErr w:type="gramStart"/>
      <w:r>
        <w:rPr>
          <w:rFonts w:ascii="Museo Sans 100" w:hAnsi="Museo Sans 100"/>
          <w:sz w:val="20"/>
          <w:szCs w:val="20"/>
          <w:lang w:val="fr-FR"/>
        </w:rPr>
        <w:t>Fon:</w:t>
      </w:r>
      <w:proofErr w:type="gramEnd"/>
      <w:r>
        <w:rPr>
          <w:rFonts w:ascii="Museo Sans 100" w:hAnsi="Museo Sans 100"/>
          <w:sz w:val="20"/>
          <w:szCs w:val="20"/>
          <w:lang w:val="fr-FR"/>
        </w:rPr>
        <w:t xml:space="preserve"> +90 312 216 50 00 </w:t>
      </w:r>
    </w:p>
    <w:p w14:paraId="1F80098F" w14:textId="77777777" w:rsidR="006B113F" w:rsidRDefault="00000000">
      <w:pPr>
        <w:spacing w:line="240" w:lineRule="auto"/>
        <w:ind w:left="708" w:hanging="708"/>
        <w:rPr>
          <w:rStyle w:val="Hyperlink"/>
          <w:sz w:val="20"/>
          <w:szCs w:val="20"/>
          <w:lang w:val="fr-FR"/>
        </w:rPr>
      </w:pPr>
      <w:hyperlink r:id="rId59" w:tooltip="http://www.kvkk.gov.tr" w:history="1">
        <w:r>
          <w:rPr>
            <w:rStyle w:val="Hyperlink"/>
            <w:sz w:val="20"/>
            <w:szCs w:val="20"/>
            <w:lang w:val="fr-FR"/>
          </w:rPr>
          <w:t>www.kvkk.gov.tr</w:t>
        </w:r>
      </w:hyperlink>
    </w:p>
    <w:p w14:paraId="0DFB6D52" w14:textId="77777777" w:rsidR="006B113F" w:rsidRDefault="00000000">
      <w:pPr>
        <w:spacing w:line="240" w:lineRule="auto"/>
        <w:ind w:left="708" w:hanging="708"/>
        <w:rPr>
          <w:rStyle w:val="Hyperlink"/>
          <w:lang w:val="fr-FR"/>
        </w:rPr>
      </w:pPr>
      <w:hyperlink r:id="rId60" w:tooltip="https://www.kvkk.gov.tr/Icerik/2025/Iletisim" w:history="1">
        <w:r>
          <w:rPr>
            <w:rStyle w:val="Hyperlink"/>
            <w:sz w:val="20"/>
            <w:szCs w:val="20"/>
            <w:lang w:val="fr-FR"/>
          </w:rPr>
          <w:t>https://www.kvkk.gov.tr/Icerik/2025/Iletisim</w:t>
        </w:r>
      </w:hyperlink>
      <w:bookmarkEnd w:id="172"/>
      <w:commentRangeEnd w:id="171"/>
      <w:r>
        <w:commentReference w:id="171"/>
      </w:r>
    </w:p>
    <w:p w14:paraId="18777F66" w14:textId="77777777" w:rsidR="006B113F" w:rsidRDefault="006B113F">
      <w:pPr>
        <w:spacing w:line="240" w:lineRule="auto"/>
        <w:ind w:left="708" w:hanging="708"/>
      </w:pPr>
    </w:p>
    <w:p w14:paraId="3B5F3663" w14:textId="77777777" w:rsidR="006B113F" w:rsidRDefault="006B113F">
      <w:pPr>
        <w:spacing w:line="240" w:lineRule="auto"/>
        <w:ind w:left="708" w:hanging="708"/>
        <w:rPr>
          <w:lang w:val="fr-FR"/>
        </w:rPr>
      </w:pPr>
    </w:p>
    <w:p w14:paraId="4EB63A22" w14:textId="77777777" w:rsidR="006B113F" w:rsidRDefault="006B113F">
      <w:pPr>
        <w:spacing w:line="240" w:lineRule="auto"/>
        <w:ind w:left="708" w:hanging="708"/>
        <w:rPr>
          <w:lang w:val="fr-FR"/>
        </w:rPr>
      </w:pPr>
    </w:p>
    <w:p w14:paraId="3FE11B7E" w14:textId="77777777" w:rsidR="006B113F" w:rsidRDefault="006B113F">
      <w:pPr>
        <w:spacing w:line="240" w:lineRule="auto"/>
        <w:ind w:left="708" w:hanging="708"/>
        <w:rPr>
          <w:lang w:val="fr-FR"/>
        </w:rPr>
      </w:pPr>
    </w:p>
    <w:p w14:paraId="39E89541" w14:textId="77777777" w:rsidR="006B113F" w:rsidRDefault="00000000">
      <w:pPr>
        <w:spacing w:line="240" w:lineRule="auto"/>
        <w:ind w:left="708" w:hanging="708"/>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t>ANNEX II - TECHNICAL AND ORGANISATIONAL MEASURES</w:t>
      </w:r>
    </w:p>
    <w:p w14:paraId="2AB2A858" w14:textId="77777777" w:rsidR="006B113F" w:rsidRDefault="00000000">
      <w:pPr>
        <w:spacing w:line="240" w:lineRule="auto"/>
        <w:ind w:left="708" w:hanging="708"/>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t>INCLUDING TECHNICAL AND ORGANISATIONAL MEASURES TO</w:t>
      </w:r>
    </w:p>
    <w:p w14:paraId="22F1079F" w14:textId="77777777" w:rsidR="006B113F" w:rsidRDefault="00000000">
      <w:pPr>
        <w:spacing w:line="240" w:lineRule="auto"/>
        <w:ind w:left="708" w:hanging="708"/>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t>ENSURE THE SECURITY OF THE DATA</w:t>
      </w:r>
    </w:p>
    <w:p w14:paraId="13BE1576" w14:textId="77777777" w:rsidR="006B113F" w:rsidRDefault="006B113F">
      <w:pPr>
        <w:spacing w:line="240" w:lineRule="auto"/>
        <w:rPr>
          <w:lang w:val="en-US"/>
        </w:rPr>
      </w:pPr>
    </w:p>
    <w:p w14:paraId="7E4A1A44" w14:textId="77777777" w:rsidR="006B113F" w:rsidRDefault="006B113F">
      <w:pPr>
        <w:spacing w:line="240" w:lineRule="auto"/>
        <w:rPr>
          <w:lang w:val="en-US"/>
        </w:rPr>
      </w:pPr>
    </w:p>
    <w:p w14:paraId="7BDEB110"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EXPLANATORY NOTE:</w:t>
      </w:r>
    </w:p>
    <w:p w14:paraId="293BB78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 xml:space="preserve">The technical and </w:t>
      </w:r>
      <w:proofErr w:type="spellStart"/>
      <w:r>
        <w:rPr>
          <w:rFonts w:ascii="Museo Sans 100" w:hAnsi="Museo Sans 100"/>
          <w:sz w:val="20"/>
          <w:szCs w:val="20"/>
          <w:lang w:val="en-US"/>
        </w:rPr>
        <w:t>organisational</w:t>
      </w:r>
      <w:proofErr w:type="spellEnd"/>
      <w:r>
        <w:rPr>
          <w:rFonts w:ascii="Museo Sans 100" w:hAnsi="Museo Sans 100"/>
          <w:sz w:val="20"/>
          <w:szCs w:val="20"/>
          <w:lang w:val="en-US"/>
        </w:rPr>
        <w:t xml:space="preserve"> measures must be described in specific (and not generic) terms.</w:t>
      </w:r>
    </w:p>
    <w:p w14:paraId="72FBEA70"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 xml:space="preserve">See also the general comment on the first page of the Appendix, </w:t>
      </w:r>
      <w:proofErr w:type="gramStart"/>
      <w:r>
        <w:rPr>
          <w:rFonts w:ascii="Museo Sans 100" w:hAnsi="Museo Sans 100"/>
          <w:sz w:val="20"/>
          <w:szCs w:val="20"/>
          <w:lang w:val="en-US"/>
        </w:rPr>
        <w:t>in particular on</w:t>
      </w:r>
      <w:proofErr w:type="gramEnd"/>
      <w:r>
        <w:rPr>
          <w:rFonts w:ascii="Museo Sans 100" w:hAnsi="Museo Sans 100"/>
          <w:sz w:val="20"/>
          <w:szCs w:val="20"/>
          <w:lang w:val="en-US"/>
        </w:rPr>
        <w:t xml:space="preserve"> the need to clearly</w:t>
      </w:r>
    </w:p>
    <w:p w14:paraId="455DC053" w14:textId="77777777" w:rsidR="006B113F" w:rsidRDefault="00000000">
      <w:pPr>
        <w:spacing w:line="240" w:lineRule="auto"/>
        <w:ind w:left="708" w:hanging="708"/>
        <w:rPr>
          <w:rFonts w:ascii="Museo Sans 100" w:hAnsi="Museo Sans 100"/>
          <w:sz w:val="20"/>
          <w:szCs w:val="20"/>
          <w:lang w:val="en-US"/>
        </w:rPr>
      </w:pPr>
      <w:r>
        <w:rPr>
          <w:rFonts w:ascii="Museo Sans 100" w:hAnsi="Museo Sans 100"/>
          <w:sz w:val="20"/>
          <w:szCs w:val="20"/>
          <w:lang w:val="en-US"/>
        </w:rPr>
        <w:t>indicate which measures apply to each transfer/set of transfers.</w:t>
      </w:r>
    </w:p>
    <w:p w14:paraId="38A810E3" w14:textId="77777777" w:rsidR="006B113F" w:rsidRDefault="00000000">
      <w:pPr>
        <w:spacing w:line="240" w:lineRule="auto"/>
        <w:ind w:left="708" w:hanging="708"/>
        <w:rPr>
          <w:rFonts w:ascii="Museo Sans 100" w:hAnsi="Museo Sans 100"/>
          <w:i/>
          <w:iCs/>
          <w:sz w:val="20"/>
          <w:szCs w:val="20"/>
          <w:highlight w:val="white"/>
        </w:rPr>
      </w:pPr>
      <w:r>
        <w:rPr>
          <w:rFonts w:ascii="Museo Sans 100" w:hAnsi="Museo Sans 100"/>
          <w:i/>
          <w:iCs/>
          <w:sz w:val="20"/>
          <w:szCs w:val="20"/>
          <w:highlight w:val="white"/>
          <w:lang w:val="en-US"/>
        </w:rPr>
        <w:t xml:space="preserve">Description of the technical and </w:t>
      </w:r>
      <w:proofErr w:type="spellStart"/>
      <w:r>
        <w:rPr>
          <w:rFonts w:ascii="Museo Sans 100" w:hAnsi="Museo Sans 100"/>
          <w:i/>
          <w:iCs/>
          <w:sz w:val="20"/>
          <w:szCs w:val="20"/>
          <w:highlight w:val="white"/>
          <w:lang w:val="en-US"/>
        </w:rPr>
        <w:t>organisational</w:t>
      </w:r>
      <w:proofErr w:type="spellEnd"/>
      <w:r>
        <w:rPr>
          <w:rFonts w:ascii="Museo Sans 100" w:hAnsi="Museo Sans 100"/>
          <w:i/>
          <w:iCs/>
          <w:sz w:val="20"/>
          <w:szCs w:val="20"/>
          <w:highlight w:val="white"/>
          <w:lang w:val="en-US"/>
        </w:rPr>
        <w:t xml:space="preserve"> measures implemented by the data importer(s)</w:t>
      </w:r>
    </w:p>
    <w:p w14:paraId="229C9B0D" w14:textId="77777777" w:rsidR="006B113F" w:rsidRDefault="00000000">
      <w:pPr>
        <w:spacing w:line="240" w:lineRule="auto"/>
        <w:ind w:left="708" w:hanging="708"/>
        <w:rPr>
          <w:rFonts w:ascii="Museo Sans 100" w:hAnsi="Museo Sans 100"/>
          <w:i/>
          <w:iCs/>
          <w:sz w:val="20"/>
          <w:szCs w:val="20"/>
          <w:highlight w:val="white"/>
        </w:rPr>
      </w:pPr>
      <w:r>
        <w:rPr>
          <w:rFonts w:ascii="Museo Sans 100" w:hAnsi="Museo Sans 100"/>
          <w:i/>
          <w:iCs/>
          <w:sz w:val="20"/>
          <w:szCs w:val="20"/>
          <w:highlight w:val="white"/>
          <w:lang w:val="en-US"/>
        </w:rPr>
        <w:t xml:space="preserve">(including any relevant certifications) to ensure an appropriate level of security, </w:t>
      </w:r>
      <w:proofErr w:type="gramStart"/>
      <w:r>
        <w:rPr>
          <w:rFonts w:ascii="Museo Sans 100" w:hAnsi="Museo Sans 100"/>
          <w:i/>
          <w:iCs/>
          <w:sz w:val="20"/>
          <w:szCs w:val="20"/>
          <w:highlight w:val="white"/>
          <w:lang w:val="en-US"/>
        </w:rPr>
        <w:t>taking into account</w:t>
      </w:r>
      <w:proofErr w:type="gramEnd"/>
    </w:p>
    <w:p w14:paraId="6CF4F93E" w14:textId="77777777" w:rsidR="006B113F" w:rsidRDefault="00000000">
      <w:pPr>
        <w:spacing w:line="240" w:lineRule="auto"/>
        <w:ind w:left="708" w:hanging="708"/>
        <w:rPr>
          <w:rFonts w:ascii="Museo Sans 100" w:hAnsi="Museo Sans 100"/>
          <w:i/>
          <w:iCs/>
          <w:sz w:val="20"/>
          <w:szCs w:val="20"/>
          <w:highlight w:val="white"/>
        </w:rPr>
      </w:pPr>
      <w:r>
        <w:rPr>
          <w:rFonts w:ascii="Museo Sans 100" w:hAnsi="Museo Sans 100"/>
          <w:i/>
          <w:iCs/>
          <w:sz w:val="20"/>
          <w:szCs w:val="20"/>
          <w:highlight w:val="white"/>
          <w:lang w:val="en-US"/>
        </w:rPr>
        <w:t>the nature, scope, context and purpose of the processing, and the risks for the rights and freedoms</w:t>
      </w:r>
    </w:p>
    <w:p w14:paraId="0D0AB038" w14:textId="77777777" w:rsidR="006B113F" w:rsidRDefault="00000000">
      <w:pPr>
        <w:spacing w:line="240" w:lineRule="auto"/>
        <w:ind w:left="708" w:hanging="708"/>
        <w:rPr>
          <w:rFonts w:ascii="Museo Sans 100" w:hAnsi="Museo Sans 100"/>
          <w:i/>
          <w:iCs/>
          <w:sz w:val="20"/>
          <w:szCs w:val="20"/>
          <w:highlight w:val="white"/>
        </w:rPr>
      </w:pPr>
      <w:r>
        <w:rPr>
          <w:rFonts w:ascii="Museo Sans 100" w:hAnsi="Museo Sans 100"/>
          <w:i/>
          <w:iCs/>
          <w:sz w:val="20"/>
          <w:szCs w:val="20"/>
          <w:highlight w:val="white"/>
          <w:lang w:val="en-US"/>
        </w:rPr>
        <w:t xml:space="preserve">of natural </w:t>
      </w:r>
      <w:proofErr w:type="gramStart"/>
      <w:r>
        <w:rPr>
          <w:rFonts w:ascii="Museo Sans 100" w:hAnsi="Museo Sans 100"/>
          <w:i/>
          <w:iCs/>
          <w:sz w:val="20"/>
          <w:szCs w:val="20"/>
          <w:highlight w:val="white"/>
          <w:lang w:val="en-US"/>
        </w:rPr>
        <w:t>persons</w:t>
      </w:r>
      <w:proofErr w:type="gramEnd"/>
      <w:r>
        <w:rPr>
          <w:rFonts w:ascii="Museo Sans 100" w:hAnsi="Museo Sans 100"/>
          <w:i/>
          <w:iCs/>
          <w:sz w:val="20"/>
          <w:szCs w:val="20"/>
          <w:highlight w:val="white"/>
          <w:lang w:val="en-US"/>
        </w:rPr>
        <w:t>.</w:t>
      </w:r>
    </w:p>
    <w:p w14:paraId="6E170F03" w14:textId="77777777" w:rsidR="006B113F" w:rsidRDefault="006B113F">
      <w:pPr>
        <w:spacing w:line="240" w:lineRule="auto"/>
        <w:ind w:left="708" w:hanging="708"/>
        <w:rPr>
          <w:rFonts w:ascii="Museo Sans 100" w:hAnsi="Museo Sans 100"/>
          <w:i/>
          <w:iCs/>
          <w:sz w:val="20"/>
          <w:szCs w:val="20"/>
          <w:lang w:val="en-US"/>
        </w:rPr>
      </w:pPr>
    </w:p>
    <w:p w14:paraId="05A7C88D"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The parties have done everything to ensure the highest possible degree of secure processing of personal data.</w:t>
      </w:r>
    </w:p>
    <w:p w14:paraId="10C5706A"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 xml:space="preserve">Measures at </w:t>
      </w:r>
      <w:r>
        <w:rPr>
          <w:rFonts w:ascii="Museo Sans 100" w:hAnsi="Museo Sans 100"/>
          <w:b/>
          <w:bCs/>
          <w:sz w:val="20"/>
          <w:szCs w:val="20"/>
          <w:lang w:val="en-US"/>
        </w:rPr>
        <w:t>Ruhr University Bochum</w:t>
      </w:r>
      <w:r>
        <w:rPr>
          <w:rFonts w:ascii="Museo Sans 100" w:hAnsi="Museo Sans 100"/>
          <w:sz w:val="20"/>
          <w:szCs w:val="20"/>
          <w:lang w:val="en-US"/>
        </w:rPr>
        <w:t>, always applying</w:t>
      </w:r>
      <w:r>
        <w:rPr>
          <w:rFonts w:ascii="Museo Sans 100" w:hAnsi="Museo Sans 100"/>
          <w:b/>
          <w:bCs/>
          <w:sz w:val="20"/>
          <w:szCs w:val="20"/>
          <w:lang w:val="en-US"/>
        </w:rPr>
        <w:t xml:space="preserve"> </w:t>
      </w:r>
      <w:r>
        <w:rPr>
          <w:rFonts w:ascii="Museo Sans 100" w:hAnsi="Museo Sans 100"/>
          <w:sz w:val="20"/>
          <w:szCs w:val="20"/>
          <w:lang w:val="en-US"/>
        </w:rPr>
        <w:t>state-of-the-art data transfer encryption, include:</w:t>
      </w:r>
    </w:p>
    <w:p w14:paraId="017645EA" w14:textId="77777777" w:rsidR="006B113F" w:rsidRDefault="00000000">
      <w:pPr>
        <w:pStyle w:val="Listenabsatz"/>
        <w:numPr>
          <w:ilvl w:val="0"/>
          <w:numId w:val="70"/>
        </w:numPr>
        <w:spacing w:line="240" w:lineRule="auto"/>
        <w:rPr>
          <w:rFonts w:ascii="Museo Sans 100" w:hAnsi="Museo Sans 100"/>
          <w:sz w:val="20"/>
          <w:szCs w:val="20"/>
          <w:lang w:val="en-US"/>
        </w:rPr>
      </w:pPr>
      <w:proofErr w:type="spellStart"/>
      <w:r>
        <w:rPr>
          <w:rFonts w:ascii="Museo Sans 100" w:hAnsi="Museo Sans 100"/>
          <w:sz w:val="20"/>
          <w:szCs w:val="20"/>
          <w:lang w:val="en-US"/>
        </w:rPr>
        <w:t>Pseudonymisation</w:t>
      </w:r>
      <w:proofErr w:type="spellEnd"/>
      <w:r>
        <w:rPr>
          <w:rFonts w:ascii="Museo Sans 100" w:hAnsi="Museo Sans 100"/>
          <w:sz w:val="20"/>
          <w:szCs w:val="20"/>
          <w:lang w:val="en-US"/>
        </w:rPr>
        <w:t xml:space="preserve"> and encryption of personal data,</w:t>
      </w:r>
    </w:p>
    <w:p w14:paraId="3164C659"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ongoing confidentiality, integrity, availability and resilience of processing systems and services,</w:t>
      </w:r>
    </w:p>
    <w:p w14:paraId="021A21D9"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the ability to restore the availability and access to personal data in a timely manner in the event of a physical or technical incident,</w:t>
      </w:r>
    </w:p>
    <w:p w14:paraId="3F9134D2"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 xml:space="preserve">regular testing, assessing, and evaluating the effectiveness of technical and </w:t>
      </w:r>
      <w:proofErr w:type="spellStart"/>
      <w:r>
        <w:rPr>
          <w:rFonts w:ascii="Museo Sans 100" w:hAnsi="Museo Sans 100"/>
          <w:sz w:val="20"/>
          <w:szCs w:val="20"/>
          <w:lang w:val="en-US"/>
        </w:rPr>
        <w:t>organisational</w:t>
      </w:r>
      <w:proofErr w:type="spellEnd"/>
      <w:r>
        <w:rPr>
          <w:rFonts w:ascii="Museo Sans 100" w:hAnsi="Museo Sans 100"/>
          <w:sz w:val="20"/>
          <w:szCs w:val="20"/>
          <w:lang w:val="en-US"/>
        </w:rPr>
        <w:t xml:space="preserve"> measures to ensure the security of the processing,</w:t>
      </w:r>
    </w:p>
    <w:p w14:paraId="40A43A37"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user identification and authorization,</w:t>
      </w:r>
    </w:p>
    <w:p w14:paraId="775A2193"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protection of data during transmission and storage,</w:t>
      </w:r>
    </w:p>
    <w:p w14:paraId="57C6FD30"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physical security of locations at which personal data are processed,</w:t>
      </w:r>
    </w:p>
    <w:p w14:paraId="07EBECCA"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log management and store access logs, event logs and timestamps</w:t>
      </w:r>
    </w:p>
    <w:p w14:paraId="00E7A667"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lastRenderedPageBreak/>
        <w:t>ensuring system configuration (including default configuration),</w:t>
      </w:r>
    </w:p>
    <w:p w14:paraId="51E7668E"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i/>
          <w:iCs/>
          <w:sz w:val="20"/>
          <w:szCs w:val="20"/>
          <w:lang w:val="en-US"/>
        </w:rPr>
        <w:t>internal IT and IT security governance and management,</w:t>
      </w:r>
    </w:p>
    <w:p w14:paraId="355624B6"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i/>
          <w:iCs/>
          <w:sz w:val="20"/>
          <w:szCs w:val="20"/>
          <w:lang w:val="en-US"/>
        </w:rPr>
        <w:t>certification/assurance of processes and products,</w:t>
      </w:r>
    </w:p>
    <w:p w14:paraId="44CB383A" w14:textId="77777777" w:rsidR="006B113F" w:rsidRDefault="00000000">
      <w:pPr>
        <w:pStyle w:val="Listenabsatz"/>
        <w:numPr>
          <w:ilvl w:val="0"/>
          <w:numId w:val="70"/>
        </w:numPr>
        <w:spacing w:line="240" w:lineRule="auto"/>
        <w:rPr>
          <w:rFonts w:ascii="Museo Sans 100" w:hAnsi="Museo Sans 100"/>
          <w:i/>
          <w:iCs/>
          <w:sz w:val="20"/>
          <w:szCs w:val="20"/>
          <w:lang w:val="en-US"/>
        </w:rPr>
      </w:pPr>
      <w:r>
        <w:rPr>
          <w:rFonts w:ascii="Museo Sans 100" w:hAnsi="Museo Sans 100"/>
          <w:i/>
          <w:iCs/>
          <w:sz w:val="20"/>
          <w:szCs w:val="20"/>
          <w:lang w:val="en-US"/>
        </w:rPr>
        <w:t>ensuring data quality, data minimization, and limited data retention,</w:t>
      </w:r>
    </w:p>
    <w:p w14:paraId="4338E84E" w14:textId="77777777" w:rsidR="006B113F" w:rsidRDefault="00000000">
      <w:pPr>
        <w:pStyle w:val="Listenabsatz"/>
        <w:numPr>
          <w:ilvl w:val="0"/>
          <w:numId w:val="70"/>
        </w:numPr>
        <w:spacing w:line="240" w:lineRule="auto"/>
        <w:rPr>
          <w:rFonts w:ascii="Museo Sans 100" w:hAnsi="Museo Sans 100"/>
          <w:i/>
          <w:iCs/>
          <w:sz w:val="20"/>
          <w:szCs w:val="20"/>
          <w:lang w:val="en-US"/>
        </w:rPr>
      </w:pPr>
      <w:r>
        <w:rPr>
          <w:rFonts w:ascii="Museo Sans 100" w:hAnsi="Museo Sans 100"/>
          <w:i/>
          <w:iCs/>
          <w:sz w:val="20"/>
          <w:szCs w:val="20"/>
          <w:lang w:val="en-US"/>
        </w:rPr>
        <w:t>ensuring accountability,</w:t>
      </w:r>
    </w:p>
    <w:p w14:paraId="7934CD00" w14:textId="77777777" w:rsidR="006B113F" w:rsidRDefault="00000000">
      <w:pPr>
        <w:pStyle w:val="Listenabsatz"/>
        <w:numPr>
          <w:ilvl w:val="0"/>
          <w:numId w:val="70"/>
        </w:numPr>
        <w:spacing w:line="240" w:lineRule="auto"/>
        <w:rPr>
          <w:rFonts w:ascii="Museo Sans 100" w:hAnsi="Museo Sans 100"/>
          <w:i/>
          <w:iCs/>
          <w:sz w:val="20"/>
          <w:szCs w:val="20"/>
          <w:lang w:val="en-US"/>
        </w:rPr>
      </w:pPr>
      <w:r>
        <w:rPr>
          <w:rFonts w:ascii="Museo Sans 100" w:hAnsi="Museo Sans 100"/>
          <w:i/>
          <w:iCs/>
          <w:sz w:val="20"/>
          <w:szCs w:val="20"/>
          <w:lang w:val="en-US"/>
        </w:rPr>
        <w:t>allowing data portability and ensuring erasure.</w:t>
      </w:r>
    </w:p>
    <w:p w14:paraId="79A982F1" w14:textId="77777777" w:rsidR="006B113F" w:rsidRDefault="006B113F">
      <w:pPr>
        <w:spacing w:line="240" w:lineRule="auto"/>
        <w:ind w:left="708"/>
        <w:rPr>
          <w:rFonts w:ascii="Museo Sans 100" w:hAnsi="Museo Sans 100"/>
          <w:i/>
          <w:iCs/>
          <w:sz w:val="20"/>
          <w:szCs w:val="20"/>
          <w:lang w:val="en-US"/>
        </w:rPr>
      </w:pPr>
    </w:p>
    <w:p w14:paraId="771140D2" w14:textId="77777777" w:rsidR="006B113F" w:rsidRDefault="00000000">
      <w:pPr>
        <w:spacing w:line="240" w:lineRule="auto"/>
        <w:ind w:left="708"/>
        <w:rPr>
          <w:rFonts w:ascii="Museo Sans 100" w:hAnsi="Museo Sans 100"/>
          <w:i/>
          <w:iCs/>
          <w:sz w:val="20"/>
          <w:szCs w:val="20"/>
          <w:lang w:val="en-US"/>
        </w:rPr>
      </w:pPr>
      <w:r>
        <w:rPr>
          <w:rFonts w:ascii="Museo Sans 100" w:hAnsi="Museo Sans 100"/>
          <w:i/>
          <w:iCs/>
          <w:sz w:val="20"/>
          <w:szCs w:val="20"/>
          <w:lang w:val="en-US"/>
        </w:rPr>
        <w:t xml:space="preserve">For transfers to (sub-) processors, also describe the specific technical and </w:t>
      </w:r>
      <w:proofErr w:type="spellStart"/>
      <w:r>
        <w:rPr>
          <w:rFonts w:ascii="Museo Sans 100" w:hAnsi="Museo Sans 100"/>
          <w:i/>
          <w:iCs/>
          <w:sz w:val="20"/>
          <w:szCs w:val="20"/>
          <w:lang w:val="en-US"/>
        </w:rPr>
        <w:t>organisational</w:t>
      </w:r>
      <w:proofErr w:type="spellEnd"/>
      <w:r>
        <w:rPr>
          <w:rFonts w:ascii="Museo Sans 100" w:hAnsi="Museo Sans 100"/>
          <w:i/>
          <w:iCs/>
          <w:sz w:val="20"/>
          <w:szCs w:val="20"/>
          <w:lang w:val="en-US"/>
        </w:rPr>
        <w:t xml:space="preserve"> measures to be taken by the (sub-) processor to be able to </w:t>
      </w:r>
      <w:proofErr w:type="gramStart"/>
      <w:r>
        <w:rPr>
          <w:rFonts w:ascii="Museo Sans 100" w:hAnsi="Museo Sans 100"/>
          <w:i/>
          <w:iCs/>
          <w:sz w:val="20"/>
          <w:szCs w:val="20"/>
          <w:lang w:val="en-US"/>
        </w:rPr>
        <w:t>provide assistance to</w:t>
      </w:r>
      <w:proofErr w:type="gramEnd"/>
      <w:r>
        <w:rPr>
          <w:rFonts w:ascii="Museo Sans 100" w:hAnsi="Museo Sans 100"/>
          <w:i/>
          <w:iCs/>
          <w:sz w:val="20"/>
          <w:szCs w:val="20"/>
          <w:lang w:val="en-US"/>
        </w:rPr>
        <w:t xml:space="preserve"> the controller and, for transfers from a processor to a sub-processor, to the data exporter</w:t>
      </w:r>
    </w:p>
    <w:p w14:paraId="6BF0C06E" w14:textId="77777777" w:rsidR="006B113F" w:rsidRDefault="006B113F">
      <w:pPr>
        <w:spacing w:line="240" w:lineRule="auto"/>
        <w:ind w:left="708"/>
        <w:rPr>
          <w:rFonts w:ascii="Museo Sans 100" w:hAnsi="Museo Sans 100"/>
          <w:i/>
          <w:iCs/>
          <w:sz w:val="20"/>
          <w:szCs w:val="20"/>
          <w:lang w:val="en-US"/>
        </w:rPr>
      </w:pPr>
    </w:p>
    <w:p w14:paraId="0E133DD1"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 xml:space="preserve">Measures at </w:t>
      </w:r>
      <w:r>
        <w:rPr>
          <w:rFonts w:ascii="Museo Sans 100" w:hAnsi="Museo Sans 100"/>
          <w:b/>
          <w:bCs/>
          <w:sz w:val="20"/>
          <w:szCs w:val="20"/>
          <w:lang w:val="en-US"/>
        </w:rPr>
        <w:t>Ko</w:t>
      </w:r>
      <w:r>
        <w:rPr>
          <w:rFonts w:ascii="Courier New" w:hAnsi="Courier New" w:cs="Courier New"/>
          <w:b/>
          <w:bCs/>
          <w:sz w:val="20"/>
          <w:szCs w:val="20"/>
          <w:lang w:val="en-US"/>
        </w:rPr>
        <w:t>ç</w:t>
      </w:r>
      <w:r>
        <w:rPr>
          <w:rFonts w:ascii="Museo Sans 100" w:hAnsi="Museo Sans 100"/>
          <w:b/>
          <w:bCs/>
          <w:sz w:val="20"/>
          <w:szCs w:val="20"/>
          <w:lang w:val="en-US"/>
        </w:rPr>
        <w:t xml:space="preserve"> University (Istanbul)</w:t>
      </w:r>
      <w:r>
        <w:rPr>
          <w:rFonts w:ascii="Museo Sans 100" w:hAnsi="Museo Sans 100"/>
          <w:sz w:val="20"/>
          <w:szCs w:val="20"/>
          <w:lang w:val="en-US"/>
        </w:rPr>
        <w:t>, always applying</w:t>
      </w:r>
      <w:r>
        <w:rPr>
          <w:rFonts w:ascii="Museo Sans 100" w:hAnsi="Museo Sans 100"/>
          <w:b/>
          <w:bCs/>
          <w:sz w:val="20"/>
          <w:szCs w:val="20"/>
          <w:lang w:val="en-US"/>
        </w:rPr>
        <w:t xml:space="preserve"> </w:t>
      </w:r>
      <w:r>
        <w:rPr>
          <w:rFonts w:ascii="Museo Sans 100" w:hAnsi="Museo Sans 100"/>
          <w:sz w:val="20"/>
          <w:szCs w:val="20"/>
          <w:lang w:val="en-US"/>
        </w:rPr>
        <w:t>state-of-the-art data transfer encryption,</w:t>
      </w:r>
      <w:r>
        <w:rPr>
          <w:rFonts w:ascii="Museo Sans 100" w:hAnsi="Museo Sans 100"/>
          <w:b/>
          <w:bCs/>
          <w:sz w:val="20"/>
          <w:szCs w:val="20"/>
          <w:lang w:val="en-US"/>
        </w:rPr>
        <w:t xml:space="preserve"> </w:t>
      </w:r>
      <w:r>
        <w:rPr>
          <w:rFonts w:ascii="Museo Sans 100" w:hAnsi="Museo Sans 100"/>
          <w:sz w:val="20"/>
          <w:szCs w:val="20"/>
          <w:lang w:val="en-US"/>
        </w:rPr>
        <w:t>include:</w:t>
      </w:r>
    </w:p>
    <w:p w14:paraId="1337262A" w14:textId="77777777" w:rsidR="006B113F" w:rsidRDefault="00000000">
      <w:pPr>
        <w:pStyle w:val="Listenabsatz"/>
        <w:numPr>
          <w:ilvl w:val="0"/>
          <w:numId w:val="70"/>
        </w:numPr>
        <w:spacing w:line="240" w:lineRule="auto"/>
        <w:rPr>
          <w:rFonts w:ascii="Museo Sans 100" w:hAnsi="Museo Sans 100"/>
          <w:sz w:val="20"/>
          <w:szCs w:val="20"/>
          <w:lang w:val="en-US"/>
        </w:rPr>
      </w:pPr>
      <w:proofErr w:type="spellStart"/>
      <w:r>
        <w:rPr>
          <w:rFonts w:ascii="Museo Sans 100" w:hAnsi="Museo Sans 100"/>
          <w:sz w:val="20"/>
          <w:szCs w:val="20"/>
          <w:lang w:val="en-US"/>
        </w:rPr>
        <w:t>Pseudonymisation</w:t>
      </w:r>
      <w:proofErr w:type="spellEnd"/>
      <w:r>
        <w:rPr>
          <w:rFonts w:ascii="Museo Sans 100" w:hAnsi="Museo Sans 100"/>
          <w:sz w:val="20"/>
          <w:szCs w:val="20"/>
          <w:lang w:val="en-US"/>
        </w:rPr>
        <w:t xml:space="preserve"> and encryption of personal data,</w:t>
      </w:r>
    </w:p>
    <w:p w14:paraId="45BFC551"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ongoing confidentiality, integrity, availability and resilience of processing systems and services,</w:t>
      </w:r>
    </w:p>
    <w:p w14:paraId="690186C5"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the ability to restore the availability and access to personal data in a timely manner in the event of a physical or technical incident,</w:t>
      </w:r>
    </w:p>
    <w:p w14:paraId="7A9C254E"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 xml:space="preserve">regular testing, assessing, and evaluating the effectiveness of technical and </w:t>
      </w:r>
      <w:proofErr w:type="spellStart"/>
      <w:r>
        <w:rPr>
          <w:rFonts w:ascii="Museo Sans 100" w:hAnsi="Museo Sans 100"/>
          <w:sz w:val="20"/>
          <w:szCs w:val="20"/>
          <w:lang w:val="en-US"/>
        </w:rPr>
        <w:t>organisational</w:t>
      </w:r>
      <w:proofErr w:type="spellEnd"/>
      <w:r>
        <w:rPr>
          <w:rFonts w:ascii="Museo Sans 100" w:hAnsi="Museo Sans 100"/>
          <w:sz w:val="20"/>
          <w:szCs w:val="20"/>
          <w:lang w:val="en-US"/>
        </w:rPr>
        <w:t xml:space="preserve"> measures to ensure the security of the processing,</w:t>
      </w:r>
    </w:p>
    <w:p w14:paraId="53501733"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user identification and authorization,</w:t>
      </w:r>
    </w:p>
    <w:p w14:paraId="4296CEBA"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protection of data during transmission and storage,</w:t>
      </w:r>
    </w:p>
    <w:p w14:paraId="2E858F30"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physical security of locations at which personal data are processed,</w:t>
      </w:r>
    </w:p>
    <w:p w14:paraId="54D2E134"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log management and store access logs, event logs and timestamps</w:t>
      </w:r>
    </w:p>
    <w:p w14:paraId="39166DA5"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sz w:val="20"/>
          <w:szCs w:val="20"/>
          <w:lang w:val="en-US"/>
        </w:rPr>
        <w:t>ensuring system configuration (including default configuration),</w:t>
      </w:r>
    </w:p>
    <w:p w14:paraId="2C79200B"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iCs/>
          <w:sz w:val="20"/>
          <w:szCs w:val="20"/>
          <w:lang w:val="en-US"/>
        </w:rPr>
        <w:t>internal IT and IT security governance and management,</w:t>
      </w:r>
    </w:p>
    <w:p w14:paraId="3DCF1C50" w14:textId="77777777" w:rsidR="006B113F" w:rsidRDefault="00000000">
      <w:pPr>
        <w:pStyle w:val="Listenabsatz"/>
        <w:numPr>
          <w:ilvl w:val="0"/>
          <w:numId w:val="70"/>
        </w:numPr>
        <w:spacing w:line="240" w:lineRule="auto"/>
        <w:rPr>
          <w:rFonts w:ascii="Museo Sans 100" w:hAnsi="Museo Sans 100"/>
          <w:sz w:val="20"/>
          <w:szCs w:val="20"/>
          <w:lang w:val="en-US"/>
        </w:rPr>
      </w:pPr>
      <w:r>
        <w:rPr>
          <w:rFonts w:ascii="Museo Sans 100" w:hAnsi="Museo Sans 100"/>
          <w:iCs/>
          <w:sz w:val="20"/>
          <w:szCs w:val="20"/>
          <w:lang w:val="en-US"/>
        </w:rPr>
        <w:t>certification/assurance of processes and products,</w:t>
      </w:r>
    </w:p>
    <w:p w14:paraId="4D7E0C7E" w14:textId="77777777" w:rsidR="006B113F" w:rsidRDefault="00000000">
      <w:pPr>
        <w:pStyle w:val="Listenabsatz"/>
        <w:numPr>
          <w:ilvl w:val="0"/>
          <w:numId w:val="70"/>
        </w:numPr>
        <w:spacing w:line="240" w:lineRule="auto"/>
        <w:rPr>
          <w:rFonts w:ascii="Museo Sans 100" w:hAnsi="Museo Sans 100"/>
          <w:iCs/>
          <w:sz w:val="20"/>
          <w:szCs w:val="20"/>
          <w:lang w:val="en-US"/>
        </w:rPr>
      </w:pPr>
      <w:r>
        <w:rPr>
          <w:rFonts w:ascii="Museo Sans 100" w:hAnsi="Museo Sans 100"/>
          <w:iCs/>
          <w:sz w:val="20"/>
          <w:szCs w:val="20"/>
          <w:lang w:val="en-US"/>
        </w:rPr>
        <w:t>ensuring data quality, data minimization, and limited data retention,</w:t>
      </w:r>
    </w:p>
    <w:p w14:paraId="77B21908" w14:textId="77777777" w:rsidR="006B113F" w:rsidRDefault="00000000">
      <w:pPr>
        <w:pStyle w:val="Listenabsatz"/>
        <w:numPr>
          <w:ilvl w:val="0"/>
          <w:numId w:val="70"/>
        </w:numPr>
        <w:spacing w:line="240" w:lineRule="auto"/>
        <w:rPr>
          <w:rFonts w:ascii="Museo Sans 100" w:hAnsi="Museo Sans 100"/>
          <w:iCs/>
          <w:sz w:val="20"/>
          <w:szCs w:val="20"/>
          <w:lang w:val="en-US"/>
        </w:rPr>
      </w:pPr>
      <w:r>
        <w:rPr>
          <w:rFonts w:ascii="Museo Sans 100" w:hAnsi="Museo Sans 100"/>
          <w:iCs/>
          <w:sz w:val="20"/>
          <w:szCs w:val="20"/>
          <w:lang w:val="en-US"/>
        </w:rPr>
        <w:t>ensuring accountability,</w:t>
      </w:r>
    </w:p>
    <w:p w14:paraId="06775141" w14:textId="77777777" w:rsidR="006B113F" w:rsidRDefault="00000000">
      <w:pPr>
        <w:pStyle w:val="Listenabsatz"/>
        <w:numPr>
          <w:ilvl w:val="0"/>
          <w:numId w:val="70"/>
        </w:numPr>
        <w:spacing w:line="240" w:lineRule="auto"/>
        <w:rPr>
          <w:rFonts w:ascii="Museo Sans 100" w:hAnsi="Museo Sans 100"/>
          <w:iCs/>
          <w:sz w:val="20"/>
          <w:szCs w:val="20"/>
          <w:lang w:val="en-US"/>
        </w:rPr>
      </w:pPr>
      <w:r>
        <w:rPr>
          <w:rFonts w:ascii="Museo Sans 100" w:hAnsi="Museo Sans 100"/>
          <w:iCs/>
          <w:sz w:val="20"/>
          <w:szCs w:val="20"/>
          <w:lang w:val="en-US"/>
        </w:rPr>
        <w:t>allowing data portability and ensuring erasure.</w:t>
      </w:r>
    </w:p>
    <w:p w14:paraId="2A74DC24" w14:textId="77777777" w:rsidR="006B113F" w:rsidRDefault="006B113F">
      <w:pPr>
        <w:spacing w:line="240" w:lineRule="auto"/>
        <w:rPr>
          <w:i/>
          <w:iCs/>
          <w:lang w:val="en-US"/>
        </w:rPr>
      </w:pPr>
    </w:p>
    <w:p w14:paraId="602E2D63" w14:textId="77777777" w:rsidR="006B113F" w:rsidRDefault="006B113F">
      <w:pPr>
        <w:spacing w:line="240" w:lineRule="auto"/>
        <w:rPr>
          <w:i/>
          <w:iCs/>
          <w:lang w:val="en-US"/>
        </w:rPr>
      </w:pPr>
    </w:p>
    <w:p w14:paraId="669026C6" w14:textId="77777777" w:rsidR="006B113F" w:rsidRDefault="006B113F">
      <w:pPr>
        <w:spacing w:line="240" w:lineRule="auto"/>
        <w:rPr>
          <w:i/>
          <w:iCs/>
          <w:lang w:val="en-US"/>
        </w:rPr>
      </w:pPr>
    </w:p>
    <w:p w14:paraId="432C64C7" w14:textId="77777777" w:rsidR="006B113F" w:rsidRDefault="006B113F">
      <w:pPr>
        <w:spacing w:line="240" w:lineRule="auto"/>
        <w:rPr>
          <w:i/>
          <w:iCs/>
          <w:lang w:val="en-US"/>
        </w:rPr>
      </w:pPr>
    </w:p>
    <w:p w14:paraId="192300E2" w14:textId="77777777" w:rsidR="006B113F" w:rsidRDefault="00000000">
      <w:pPr>
        <w:spacing w:line="240" w:lineRule="auto"/>
        <w:rPr>
          <w:rFonts w:ascii="Museo Sans 100" w:eastAsiaTheme="majorEastAsia" w:hAnsi="Museo Sans 100" w:cstheme="majorBidi"/>
          <w:color w:val="00B050"/>
          <w:sz w:val="28"/>
          <w:szCs w:val="28"/>
          <w:u w:val="single"/>
          <w:lang w:val="en-US"/>
        </w:rPr>
      </w:pPr>
      <w:r>
        <w:rPr>
          <w:rFonts w:ascii="Museo Sans 100" w:eastAsiaTheme="majorEastAsia" w:hAnsi="Museo Sans 100" w:cstheme="majorBidi"/>
          <w:color w:val="00B050"/>
          <w:sz w:val="28"/>
          <w:szCs w:val="28"/>
          <w:u w:val="single"/>
          <w:lang w:val="en-US"/>
        </w:rPr>
        <w:t>ANNEX III – LIST OF SUB-PROCESSORS</w:t>
      </w:r>
    </w:p>
    <w:p w14:paraId="6EE5A8BA" w14:textId="77777777" w:rsidR="006B113F" w:rsidRDefault="006B113F">
      <w:pPr>
        <w:spacing w:line="240" w:lineRule="auto"/>
        <w:rPr>
          <w:rFonts w:ascii="Museo Sans 100" w:eastAsiaTheme="majorEastAsia" w:hAnsi="Museo Sans 100" w:cstheme="majorBidi"/>
          <w:color w:val="00B050"/>
          <w:sz w:val="20"/>
          <w:szCs w:val="20"/>
          <w:u w:val="single"/>
          <w:lang w:val="en-US"/>
        </w:rPr>
      </w:pPr>
    </w:p>
    <w:p w14:paraId="7B86E479" w14:textId="77777777" w:rsidR="006B113F" w:rsidRDefault="00000000">
      <w:pPr>
        <w:spacing w:line="240" w:lineRule="auto"/>
        <w:rPr>
          <w:rFonts w:ascii="Museo Sans 100" w:hAnsi="Museo Sans 100"/>
          <w:sz w:val="20"/>
          <w:szCs w:val="20"/>
          <w:lang w:val="en-US"/>
        </w:rPr>
      </w:pPr>
      <w:r>
        <w:rPr>
          <w:rFonts w:ascii="Museo Sans 100" w:hAnsi="Museo Sans 100"/>
          <w:sz w:val="20"/>
          <w:szCs w:val="20"/>
          <w:lang w:val="en-US"/>
        </w:rPr>
        <w:t>(N/A)</w:t>
      </w:r>
    </w:p>
    <w:p w14:paraId="00F7EE5F" w14:textId="77777777" w:rsidR="006B113F" w:rsidRDefault="006B113F">
      <w:pPr>
        <w:spacing w:line="240" w:lineRule="auto"/>
      </w:pPr>
    </w:p>
    <w:sectPr w:rsidR="006B113F">
      <w:footerReference w:type="default" r:id="rId61"/>
      <w:pgSz w:w="11909" w:h="16834"/>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Galla, Randolph (Randolph.Galla@ruhr-uni-bochum.de)" w:date="2024-05-13T14:25:00Z" w:initials="GR(">
    <w:p w14:paraId="00000057" w14:textId="00000057" w:rsidR="006B113F" w:rsidRDefault="00000000">
      <w:pPr>
        <w:spacing w:line="240" w:lineRule="auto"/>
      </w:pPr>
      <w:r>
        <w:t>All correct?</w:t>
      </w:r>
    </w:p>
  </w:comment>
  <w:comment w:id="12" w:author="Randolph Galla" w:date="2023-08-16T09:42:00Z" w:initials="RG">
    <w:p w14:paraId="00000056" w14:textId="00000056" w:rsidR="006B113F" w:rsidRDefault="00000000">
      <w:pPr>
        <w:spacing w:line="240" w:lineRule="auto"/>
      </w:pPr>
      <w:r>
        <w:t>Delete or amend as neccessary</w:t>
      </w:r>
    </w:p>
  </w:comment>
  <w:comment w:id="16" w:author="Randolph Galla" w:date="2023-08-16T09:44:00Z" w:initials="RG">
    <w:p w14:paraId="00000055" w14:textId="00000055" w:rsidR="006B113F" w:rsidRDefault="00000000">
      <w:pPr>
        <w:spacing w:line="240" w:lineRule="auto"/>
      </w:pPr>
      <w:r>
        <w:t xml:space="preserve">Delete or amend as neccessary </w:t>
      </w:r>
    </w:p>
  </w:comment>
  <w:comment w:id="18" w:author="Randolph Galla" w:date="2023-08-16T09:45:00Z" w:initials="RG">
    <w:p w14:paraId="00000054" w14:textId="00000054" w:rsidR="006B113F" w:rsidRDefault="00000000">
      <w:pPr>
        <w:spacing w:line="240" w:lineRule="auto"/>
      </w:pPr>
      <w:r>
        <w:t xml:space="preserve">Delete or amend as neccessary </w:t>
      </w:r>
    </w:p>
  </w:comment>
  <w:comment w:id="19" w:author="Randolph Galla" w:date="2023-08-16T09:46:00Z" w:initials="RG">
    <w:p w14:paraId="00000053" w14:textId="00000053" w:rsidR="006B113F" w:rsidRDefault="00000000">
      <w:pPr>
        <w:spacing w:line="240" w:lineRule="auto"/>
      </w:pPr>
      <w:r>
        <w:t xml:space="preserve">Delete or amend as neccessary </w:t>
      </w:r>
    </w:p>
  </w:comment>
  <w:comment w:id="20" w:author="Randolph Galla" w:date="2023-08-16T09:47:00Z" w:initials="RG">
    <w:p w14:paraId="00000050" w14:textId="00000050" w:rsidR="006B113F" w:rsidRDefault="00000000">
      <w:pPr>
        <w:spacing w:line="240" w:lineRule="auto"/>
      </w:pPr>
      <w:r>
        <w:t xml:space="preserve">EMJM - Delete or amend as neccessary </w:t>
      </w:r>
    </w:p>
  </w:comment>
  <w:comment w:id="21" w:author="Galla, Randolph (Randolph.Galla@ruhr-uni-bochum.de)" w:date="2023-08-16T09:49:00Z" w:initials="GR(">
    <w:p w14:paraId="0000004F" w14:textId="0000004F" w:rsidR="006B113F" w:rsidRDefault="00000000">
      <w:pPr>
        <w:spacing w:line="240" w:lineRule="auto"/>
      </w:pPr>
      <w:r>
        <w:t>Add / amend if neccessary (e.g. promotion, marketing?)</w:t>
      </w:r>
    </w:p>
  </w:comment>
  <w:comment w:id="23" w:author="Galla, Randolph (Randolph.Galla@ruhr-uni-bochum.de)" w:date="2024-05-13T14:29:00Z" w:initials="GR(">
    <w:p w14:paraId="0000004E" w14:textId="0000004E" w:rsidR="006B113F" w:rsidRDefault="00000000">
      <w:pPr>
        <w:spacing w:line="240" w:lineRule="auto"/>
      </w:pPr>
      <w:r>
        <w:t>Is there a role for the FWG that should be included here? Or rather not?</w:t>
      </w:r>
    </w:p>
  </w:comment>
  <w:comment w:id="25" w:author="Galla, Randolph (Randolph.Galla@ruhr-uni-bochum.de)" w:date="2024-05-13T14:29:00Z" w:initials="GR(">
    <w:p w14:paraId="0000004D" w14:textId="0000004D" w:rsidR="006B113F" w:rsidRDefault="00000000">
      <w:pPr>
        <w:spacing w:line="240" w:lineRule="auto"/>
      </w:pPr>
      <w:r>
        <w:t>To be checked. (Taken from RePIC. Roles / functions may differ in Seos.)</w:t>
      </w:r>
    </w:p>
  </w:comment>
  <w:comment w:id="26" w:author="Randolph Galla" w:date="2023-08-16T09:51:00Z" w:initials="RG">
    <w:p w14:paraId="0000004C" w14:textId="0000004C" w:rsidR="006B113F" w:rsidRDefault="00000000">
      <w:pPr>
        <w:spacing w:line="240" w:lineRule="auto"/>
      </w:pPr>
      <w:r>
        <w:t xml:space="preserve">Delete or amend as neccessary </w:t>
      </w:r>
    </w:p>
  </w:comment>
  <w:comment w:id="27" w:author="Galla, Randolph (Randolph.Galla@ruhr-uni-bochum.de)" w:date="2023-08-16T09:52:00Z" w:initials="GR(">
    <w:p w14:paraId="0000004A" w14:textId="0000004A" w:rsidR="006B113F" w:rsidRDefault="00000000">
      <w:pPr>
        <w:spacing w:line="240" w:lineRule="auto"/>
      </w:pPr>
      <w:r>
        <w:t>Number of 4 per University is neitehr realistic nor feasible.</w:t>
      </w:r>
    </w:p>
    <w:p w14:paraId="0000004B" w14:textId="0000004B" w:rsidR="006B113F" w:rsidRDefault="00000000">
      <w:pPr>
        <w:spacing w:line="240" w:lineRule="auto"/>
      </w:pPr>
      <w:r>
        <w:t>Amend if neccessary (less members? E.g. possible that one member covers two functions?)</w:t>
      </w:r>
    </w:p>
  </w:comment>
  <w:comment w:id="29" w:author="Randolph Galla" w:date="2023-08-16T09:53:00Z" w:initials="RG">
    <w:p w14:paraId="00000049" w14:textId="00000049" w:rsidR="006B113F" w:rsidRDefault="00000000">
      <w:pPr>
        <w:spacing w:line="240" w:lineRule="auto"/>
      </w:pPr>
      <w:r>
        <w:t xml:space="preserve">Amend if neccessary </w:t>
      </w:r>
    </w:p>
  </w:comment>
  <w:comment w:id="32" w:author="Randolph Galla" w:date="2023-08-16T09:58:00Z" w:initials="RG">
    <w:p w14:paraId="00000048" w14:textId="00000048" w:rsidR="006B113F" w:rsidRDefault="00000000">
      <w:pPr>
        <w:spacing w:line="240" w:lineRule="auto"/>
      </w:pPr>
      <w:r>
        <w:t xml:space="preserve">Amend as neccessary </w:t>
      </w:r>
    </w:p>
  </w:comment>
  <w:comment w:id="35" w:author="Galla, Randolph (Randolph.Galla@ruhr-uni-bochum.de)" w:date="2024-05-13T14:32:00Z" w:initials="GR(">
    <w:p w14:paraId="00000046" w14:textId="00000046" w:rsidR="006B113F" w:rsidRDefault="00000000">
      <w:pPr>
        <w:spacing w:line="240" w:lineRule="auto"/>
      </w:pPr>
      <w:r>
        <w:t>Art. 5 is 100% RePIC ;-)</w:t>
      </w:r>
    </w:p>
    <w:p w14:paraId="00000047" w14:textId="00000047" w:rsidR="006B113F" w:rsidRDefault="00000000">
      <w:pPr>
        <w:spacing w:line="240" w:lineRule="auto"/>
      </w:pPr>
      <w:r>
        <w:t>needs complete revision</w:t>
      </w:r>
    </w:p>
  </w:comment>
  <w:comment w:id="37" w:author="Randolph Galla" w:date="2023-08-16T09:59:00Z" w:initials="RG">
    <w:p w14:paraId="00000045" w14:textId="00000045" w:rsidR="006B113F" w:rsidRDefault="00000000">
      <w:pPr>
        <w:spacing w:line="240" w:lineRule="auto"/>
      </w:pPr>
      <w:r>
        <w:t xml:space="preserve">Amend as neccessary </w:t>
      </w:r>
    </w:p>
  </w:comment>
  <w:comment w:id="39" w:author="Galla, Randolph (Randolph.Galla@ruhr-uni-bochum.de)" w:date="2023-08-16T09:59:00Z" w:initials="GR(">
    <w:p w14:paraId="00000044" w14:textId="00000044" w:rsidR="006B113F" w:rsidRDefault="00000000">
      <w:pPr>
        <w:spacing w:line="240" w:lineRule="auto"/>
      </w:pPr>
      <w:r>
        <w:t>Amend as neccessary</w:t>
      </w:r>
    </w:p>
  </w:comment>
  <w:comment w:id="40" w:author="Galla, Randolph (Randolph.Galla@ruhr-uni-bochum.de)" w:date="2024-05-13T14:35:00Z" w:initials="GR(">
    <w:p w14:paraId="00000042" w14:textId="00000042" w:rsidR="006B113F" w:rsidRDefault="00000000">
      <w:pPr>
        <w:spacing w:line="240" w:lineRule="auto"/>
      </w:pPr>
      <w:r>
        <w:t xml:space="preserve">I find this a very good approach. </w:t>
      </w:r>
    </w:p>
    <w:p w14:paraId="00000043" w14:textId="00000043" w:rsidR="006B113F" w:rsidRDefault="00000000" w:rsidP="004A3702">
      <w:pPr>
        <w:spacing w:line="240" w:lineRule="auto"/>
      </w:pPr>
      <w:r>
        <w:t>Do you have it in SEOS, too?</w:t>
      </w:r>
    </w:p>
  </w:comment>
  <w:comment w:id="41" w:author="Randolph Galla" w:date="2023-08-16T10:00:00Z" w:initials="RG">
    <w:p w14:paraId="00000041" w14:textId="77777777" w:rsidR="004A3702" w:rsidRDefault="004A3702" w:rsidP="004A3702">
      <w:pPr>
        <w:pStyle w:val="Kommentartext"/>
      </w:pPr>
      <w:r>
        <w:rPr>
          <w:lang w:val="eu-ES"/>
        </w:rPr>
        <w:t>Add  mobility scheme</w:t>
      </w:r>
    </w:p>
  </w:comment>
  <w:comment w:id="42" w:author="Randolph Galla" w:date="2023-08-16T10:01:00Z" w:initials="RG">
    <w:p w14:paraId="00000040" w14:textId="00000040" w:rsidR="006B113F" w:rsidRDefault="00000000">
      <w:pPr>
        <w:spacing w:line="240" w:lineRule="auto"/>
      </w:pPr>
      <w:r>
        <w:t xml:space="preserve">Amend as neccessary </w:t>
      </w:r>
    </w:p>
  </w:comment>
  <w:comment w:id="43" w:author="Randolph Galla" w:date="2023-08-16T10:01:00Z" w:initials="RG">
    <w:p w14:paraId="0000003F" w14:textId="0000003F" w:rsidR="006B113F" w:rsidRDefault="00000000">
      <w:pPr>
        <w:spacing w:line="240" w:lineRule="auto"/>
      </w:pPr>
      <w:r>
        <w:t>Only in case of application to EMJM</w:t>
      </w:r>
    </w:p>
  </w:comment>
  <w:comment w:id="44" w:author="Randolph Galla" w:date="2023-08-16T10:02:00Z" w:initials="RG">
    <w:p w14:paraId="0000003E" w14:textId="0000003E" w:rsidR="006B113F" w:rsidRDefault="00000000">
      <w:pPr>
        <w:spacing w:line="240" w:lineRule="auto"/>
      </w:pPr>
      <w:r>
        <w:t xml:space="preserve">Delete or amend as neccessary </w:t>
      </w:r>
    </w:p>
  </w:comment>
  <w:comment w:id="45" w:author="Galla, Randolph (Randolph.Galla@ruhr-uni-bochum.de)" w:date="2023-08-16T10:02:00Z" w:initials="GR(">
    <w:p w14:paraId="0000003C" w14:textId="0000003C" w:rsidR="006B113F" w:rsidRDefault="00000000">
      <w:pPr>
        <w:spacing w:line="240" w:lineRule="auto"/>
      </w:pPr>
      <w:r>
        <w:t>Hard criterion for EMJM, otherwise not neccessary.</w:t>
      </w:r>
    </w:p>
    <w:p w14:paraId="0000003D" w14:textId="0000003D" w:rsidR="006B113F" w:rsidRDefault="00000000">
      <w:pPr>
        <w:spacing w:line="240" w:lineRule="auto"/>
      </w:pPr>
      <w:r>
        <w:t>Delete?</w:t>
      </w:r>
    </w:p>
  </w:comment>
  <w:comment w:id="46" w:author="Galla, Randolph (Randolph.Galla@ruhr-uni-bochum.de)" w:date="2023-08-16T10:03:00Z" w:initials="GR(">
    <w:p w14:paraId="0000003A" w14:textId="0000003A" w:rsidR="006B113F" w:rsidRDefault="00000000">
      <w:pPr>
        <w:spacing w:line="240" w:lineRule="auto"/>
      </w:pPr>
      <w:r>
        <w:t>What about compulsory (!), credited (!) language courses in one of local languages (except English)?</w:t>
      </w:r>
    </w:p>
    <w:p w14:paraId="0000003B" w14:textId="0000003B" w:rsidR="006B113F" w:rsidRDefault="00000000">
      <w:pPr>
        <w:spacing w:line="240" w:lineRule="auto"/>
      </w:pPr>
      <w:r>
        <w:t>&gt;&gt; employability!</w:t>
      </w:r>
    </w:p>
  </w:comment>
  <w:comment w:id="48" w:author="Randolph Galla" w:date="2023-08-16T10:04:00Z" w:initials="RG">
    <w:p w14:paraId="00000038" w14:textId="00000038" w:rsidR="006B113F" w:rsidRDefault="00000000">
      <w:pPr>
        <w:spacing w:line="240" w:lineRule="auto"/>
      </w:pPr>
      <w:r>
        <w:t xml:space="preserve">Amend as neccessary </w:t>
      </w:r>
    </w:p>
  </w:comment>
  <w:comment w:id="53" w:author="Galla, Randolph (Randolph.Galla@ruhr-uni-bochum.de)" w:date="2023-08-16T10:06:00Z" w:initials="GR(">
    <w:p w14:paraId="00000036" w14:textId="00000036" w:rsidR="006B113F" w:rsidRDefault="00000000">
      <w:pPr>
        <w:spacing w:line="240" w:lineRule="auto"/>
      </w:pPr>
      <w:r>
        <w:t>Consult RePIC if that has proven useful.</w:t>
      </w:r>
    </w:p>
  </w:comment>
  <w:comment w:id="60" w:author="Randolph Galla" w:date="2023-08-16T10:09:00Z" w:initials="RG">
    <w:p w14:paraId="00000035" w14:textId="00000035" w:rsidR="006B113F" w:rsidRDefault="00000000">
      <w:pPr>
        <w:spacing w:line="240" w:lineRule="auto"/>
      </w:pPr>
      <w:r>
        <w:t xml:space="preserve">EMJM - Delete or amend as neccessary </w:t>
      </w:r>
    </w:p>
  </w:comment>
  <w:comment w:id="63" w:author="Galla, Randolph (Randolph.Galla@ruhr-uni-bochum.de)" w:date="2023-08-16T10:09:00Z" w:initials="GR(">
    <w:p w14:paraId="00000033" w14:textId="00000033" w:rsidR="006B113F" w:rsidRDefault="00000000">
      <w:pPr>
        <w:spacing w:line="240" w:lineRule="auto"/>
      </w:pPr>
      <w:r>
        <w:t xml:space="preserve">100 % EMJM - Delete </w:t>
      </w:r>
    </w:p>
    <w:p w14:paraId="00000034" w14:textId="00000034" w:rsidR="006B113F" w:rsidRDefault="00000000">
      <w:pPr>
        <w:spacing w:line="240" w:lineRule="auto"/>
      </w:pPr>
      <w:r>
        <w:t>(or amend as neccessary for a future annex to this Agreement)</w:t>
      </w:r>
    </w:p>
  </w:comment>
  <w:comment w:id="71" w:author="Randolph Galla" w:date="2023-08-16T10:12:00Z" w:initials="RG">
    <w:p w14:paraId="00000032" w14:textId="00000032" w:rsidR="006B113F" w:rsidRDefault="00000000">
      <w:pPr>
        <w:spacing w:line="240" w:lineRule="auto"/>
      </w:pPr>
      <w:r>
        <w:t xml:space="preserve">EMJM - Delete or amend as neccessary </w:t>
      </w:r>
    </w:p>
  </w:comment>
  <w:comment w:id="75" w:author="Randolph Galla" w:date="2023-08-16T10:14:00Z" w:initials="RG">
    <w:p w14:paraId="00000031" w14:textId="00000031" w:rsidR="006B113F" w:rsidRDefault="00000000">
      <w:pPr>
        <w:spacing w:line="240" w:lineRule="auto"/>
      </w:pPr>
      <w:r>
        <w:t xml:space="preserve">EMJM - Delete or amend as neccessary </w:t>
      </w:r>
    </w:p>
  </w:comment>
  <w:comment w:id="78" w:author="Randolph Galla" w:date="2023-08-16T10:16:00Z" w:initials="RG">
    <w:p w14:paraId="00000030" w14:textId="00000030" w:rsidR="006B113F" w:rsidRDefault="00000000">
      <w:pPr>
        <w:spacing w:line="240" w:lineRule="auto"/>
      </w:pPr>
      <w:r>
        <w:t xml:space="preserve">EMJM - Delete or amend as neccessary </w:t>
      </w:r>
    </w:p>
  </w:comment>
  <w:comment w:id="79" w:author="Randolph Galla" w:date="2023-08-16T10:18:00Z" w:initials="RG">
    <w:p w14:paraId="0000002F" w14:textId="0000002F" w:rsidR="006B113F" w:rsidRDefault="00000000">
      <w:pPr>
        <w:spacing w:line="240" w:lineRule="auto"/>
      </w:pPr>
      <w:r>
        <w:t xml:space="preserve">EMJM - Delete or amend as neccessary </w:t>
      </w:r>
    </w:p>
  </w:comment>
  <w:comment w:id="80" w:author="Randolph Galla" w:date="2023-08-16T10:19:00Z" w:initials="RG">
    <w:p w14:paraId="0000002E" w14:textId="0000002E" w:rsidR="006B113F" w:rsidRDefault="00000000">
      <w:pPr>
        <w:spacing w:line="240" w:lineRule="auto"/>
      </w:pPr>
      <w:r>
        <w:t>Clarify if this refers to EMJM only, or if deferral is always a maximum of 12 months.</w:t>
      </w:r>
    </w:p>
  </w:comment>
  <w:comment w:id="82" w:author="Randolph Galla" w:date="2023-08-16T10:36:00Z" w:initials="RG">
    <w:p w14:paraId="0000002D" w14:textId="0000002D" w:rsidR="006B113F" w:rsidRDefault="00000000">
      <w:pPr>
        <w:spacing w:line="240" w:lineRule="auto"/>
      </w:pPr>
      <w:r>
        <w:t>EMJM - Delete or amend as neccessary ("suggest" instead of "provide"?)</w:t>
      </w:r>
    </w:p>
  </w:comment>
  <w:comment w:id="85" w:author="Randolph Galla" w:date="2023-08-16T10:38:00Z" w:initials="RG">
    <w:p w14:paraId="0000002C" w14:textId="0000002C" w:rsidR="006B113F" w:rsidRDefault="00000000">
      <w:pPr>
        <w:spacing w:line="240" w:lineRule="auto"/>
      </w:pPr>
      <w:r>
        <w:t>Delete or amend as neccessary</w:t>
      </w:r>
    </w:p>
  </w:comment>
  <w:comment w:id="88" w:author="Randolph Galla" w:date="2023-08-16T10:42:00Z" w:initials="RG">
    <w:p w14:paraId="00000029" w14:textId="00000029" w:rsidR="006B113F" w:rsidRDefault="00000000" w:rsidP="004A3702">
      <w:pPr>
        <w:spacing w:line="240" w:lineRule="auto"/>
      </w:pPr>
      <w:r>
        <w:t>EMJM - Delete or amend as neccessary</w:t>
      </w:r>
    </w:p>
  </w:comment>
  <w:comment w:id="90" w:author="Galla, Randolph (Randolph.Galla@ruhr-uni-bochum.de)" w:date="2023-08-16T10:43:00Z" w:initials="GR(">
    <w:p w14:paraId="00000028" w14:textId="77777777" w:rsidR="004A3702" w:rsidRDefault="004A3702" w:rsidP="004A3702">
      <w:pPr>
        <w:pStyle w:val="Kommentartext"/>
      </w:pPr>
      <w:r>
        <w:rPr>
          <w:lang w:val="eu-ES"/>
        </w:rPr>
        <w:t>Is the role of non-educational stakeholders the same as in RePIC, or are changes needed ? (Probably)</w:t>
      </w:r>
    </w:p>
  </w:comment>
  <w:comment w:id="94" w:author="Galla, Randolph (Randolph.Galla@ruhr-uni-bochum.de)" w:date="2024-05-13T14:50:00Z" w:initials="GR(">
    <w:p w14:paraId="00000025" w14:textId="00000025" w:rsidR="006B113F" w:rsidRDefault="00000000">
      <w:pPr>
        <w:spacing w:line="240" w:lineRule="auto"/>
      </w:pPr>
      <w:r>
        <w:t xml:space="preserve">"shall be" or "are"? </w:t>
      </w:r>
    </w:p>
    <w:p w14:paraId="00000026" w14:textId="00000026" w:rsidR="006B113F" w:rsidRDefault="00000000" w:rsidP="004A3702">
      <w:pPr>
        <w:spacing w:line="240" w:lineRule="auto"/>
      </w:pPr>
      <w:r>
        <w:t>Annex?</w:t>
      </w:r>
    </w:p>
  </w:comment>
  <w:comment w:id="95" w:author="Galla, Randolph (Randolph.Galla@ruhr-uni-bochum.de)" w:date="2023-08-16T10:44:00Z" w:initials="GR(">
    <w:p w14:paraId="00000024" w14:textId="77777777" w:rsidR="004A3702" w:rsidRDefault="004A3702" w:rsidP="004A3702">
      <w:pPr>
        <w:pStyle w:val="Kommentartext"/>
      </w:pPr>
      <w:r>
        <w:rPr>
          <w:lang w:val="eu-ES"/>
        </w:rPr>
        <w:t>EMJM - Delete or amend as neccessary.</w:t>
      </w:r>
    </w:p>
  </w:comment>
  <w:comment w:id="98" w:author="Galla, Randolph" w:date="2024-04-11T10:28:00Z" w:initials="GR">
    <w:p w14:paraId="00000022" w14:textId="00000022" w:rsidR="006B113F" w:rsidRDefault="00000000">
      <w:pPr>
        <w:spacing w:line="240" w:lineRule="auto"/>
      </w:pPr>
      <w:r>
        <w:t>Good marketing may be even more important, as no EMJM (for the time being)</w:t>
      </w:r>
    </w:p>
  </w:comment>
  <w:comment w:id="99" w:author="Randolph Galla" w:date="2023-08-16T10:46:00Z" w:initials="RG">
    <w:p w14:paraId="0000001E" w14:textId="0000001E" w:rsidR="006B113F" w:rsidRDefault="00000000">
      <w:pPr>
        <w:spacing w:line="240" w:lineRule="auto"/>
      </w:pPr>
      <w:r>
        <w:t>EMJM - Delete or amend as neccessary</w:t>
      </w:r>
    </w:p>
  </w:comment>
  <w:comment w:id="100" w:author="Randolph Galla" w:date="2023-08-16T10:47:00Z" w:initials="RG">
    <w:p w14:paraId="0000001D" w14:textId="0000001D" w:rsidR="006B113F" w:rsidRDefault="00000000">
      <w:pPr>
        <w:spacing w:line="240" w:lineRule="auto"/>
      </w:pPr>
      <w:r>
        <w:t>EMJM - Delete or amend as neccessary</w:t>
      </w:r>
    </w:p>
  </w:comment>
  <w:comment w:id="102" w:author="Galla, Randolph (Randolph.Galla@ruhr-uni-bochum.de)" w:date="2024-05-13T14:54:00Z" w:initials="GR(">
    <w:p w14:paraId="0000001B" w14:textId="0000001B" w:rsidR="006B113F" w:rsidRDefault="00000000">
      <w:pPr>
        <w:spacing w:line="240" w:lineRule="auto"/>
      </w:pPr>
      <w:r>
        <w:t>Is it not de facto one partner (ore a few) who set up and run the webpage?</w:t>
      </w:r>
    </w:p>
    <w:p w14:paraId="0000001C" w14:textId="0000001C" w:rsidR="006B113F" w:rsidRDefault="00000000">
      <w:pPr>
        <w:spacing w:line="240" w:lineRule="auto"/>
      </w:pPr>
      <w:r>
        <w:t>Name them and mention resources provided?</w:t>
      </w:r>
    </w:p>
  </w:comment>
  <w:comment w:id="104" w:author="Randolph Galla" w:date="2023-08-16T10:47:00Z" w:initials="RG">
    <w:p w14:paraId="0000001A" w14:textId="0000001A" w:rsidR="006B113F" w:rsidRDefault="00000000">
      <w:pPr>
        <w:spacing w:line="240" w:lineRule="auto"/>
      </w:pPr>
      <w:r>
        <w:t>EMJM - Delete or amend as neccessary</w:t>
      </w:r>
    </w:p>
  </w:comment>
  <w:comment w:id="106" w:author="Galla, Randolph" w:date="2024-04-11T10:30:00Z" w:initials="GR">
    <w:p w14:paraId="00000019" w14:textId="00000019" w:rsidR="006B113F" w:rsidRDefault="00000000">
      <w:pPr>
        <w:spacing w:line="240" w:lineRule="auto"/>
      </w:pPr>
      <w:r>
        <w:t xml:space="preserve">Where are differences to RePIC: What needs to be changed? </w:t>
      </w:r>
    </w:p>
  </w:comment>
  <w:comment w:id="108" w:author="Randolph Galla" w:date="2023-08-16T10:48:00Z" w:initials="RG">
    <w:p w14:paraId="00000018" w14:textId="00000018" w:rsidR="006B113F" w:rsidRDefault="00000000">
      <w:pPr>
        <w:spacing w:line="240" w:lineRule="auto"/>
      </w:pPr>
      <w:r>
        <w:t>EMJM - Delete or amend as neccessary</w:t>
      </w:r>
    </w:p>
  </w:comment>
  <w:comment w:id="109" w:author="Randolph Galla" w:date="2023-08-16T10:49:00Z" w:initials="RG">
    <w:p w14:paraId="00000017" w14:textId="00000017" w:rsidR="006B113F" w:rsidRDefault="00000000">
      <w:pPr>
        <w:spacing w:line="240" w:lineRule="auto"/>
      </w:pPr>
      <w:r>
        <w:t>EMJM - Delete or amend as neccessary</w:t>
      </w:r>
    </w:p>
  </w:comment>
  <w:comment w:id="111" w:author="Randolph Galla" w:date="2023-08-16T10:50:00Z" w:initials="RG">
    <w:p w14:paraId="00000016" w14:textId="00000016" w:rsidR="006B113F" w:rsidRDefault="00000000">
      <w:pPr>
        <w:spacing w:line="240" w:lineRule="auto"/>
      </w:pPr>
      <w:r>
        <w:t>EMJM - Delete or amend as neccessary</w:t>
      </w:r>
    </w:p>
  </w:comment>
  <w:comment w:id="112" w:author="Randolph Galla" w:date="2023-08-16T10:51:00Z" w:initials="RG">
    <w:p w14:paraId="00000015" w14:textId="00000015" w:rsidR="006B113F" w:rsidRDefault="00000000">
      <w:pPr>
        <w:spacing w:line="240" w:lineRule="auto"/>
      </w:pPr>
      <w:r>
        <w:t>EMJM - Delete or amend as neccessary</w:t>
      </w:r>
    </w:p>
  </w:comment>
  <w:comment w:id="113" w:author="Randolph Galla" w:date="2023-08-16T10:51:00Z" w:initials="RG">
    <w:p w14:paraId="00000014" w14:textId="00000014" w:rsidR="006B113F" w:rsidRDefault="00000000">
      <w:pPr>
        <w:spacing w:line="240" w:lineRule="auto"/>
      </w:pPr>
      <w:r>
        <w:t>EMJM - Delete or amend as neccessary</w:t>
      </w:r>
    </w:p>
  </w:comment>
  <w:comment w:id="114" w:author="Randolph Galla" w:date="2023-08-16T10:52:00Z" w:initials="RG">
    <w:p w14:paraId="00000013" w14:textId="00000013" w:rsidR="006B113F" w:rsidRDefault="00000000">
      <w:pPr>
        <w:spacing w:line="240" w:lineRule="auto"/>
      </w:pPr>
      <w:r>
        <w:t>EACEA refers to EMJM funding. Delete or amend as neccessary</w:t>
      </w:r>
    </w:p>
  </w:comment>
  <w:comment w:id="116" w:author="Randolph Galla" w:date="2023-08-16T09:54:00Z" w:initials="RG">
    <w:p w14:paraId="00000011" w14:textId="00000011" w:rsidR="006B113F" w:rsidRDefault="00000000">
      <w:pPr>
        <w:spacing w:line="240" w:lineRule="auto"/>
      </w:pPr>
      <w:r>
        <w:t>Amend this entire chapter, especially a, d, and e</w:t>
      </w:r>
    </w:p>
  </w:comment>
  <w:comment w:id="117" w:author="Galla, Randolph (Randolph.Galla@ruhr-uni-bochum.de)" w:date="2024-12-09T16:59:00Z" w:initials="GR(">
    <w:p w14:paraId="00000012" w14:textId="00000012" w:rsidR="006B113F" w:rsidRDefault="00000000">
      <w:pPr>
        <w:spacing w:line="240" w:lineRule="auto"/>
      </w:pPr>
      <w:r>
        <w:t>based on still-to-come input from Finance working group.</w:t>
      </w:r>
    </w:p>
  </w:comment>
  <w:comment w:id="118" w:author="Galla, Randolph (Randolph.Galla@ruhr-uni-bochum.de)" w:date="2024-05-13T14:56:00Z" w:initials="GR(">
    <w:p w14:paraId="0000000E" w14:textId="0000000E" w:rsidR="006B113F" w:rsidRDefault="00000000">
      <w:pPr>
        <w:spacing w:line="240" w:lineRule="auto"/>
      </w:pPr>
      <w:r>
        <w:t>Correct amounts?</w:t>
      </w:r>
    </w:p>
    <w:p w14:paraId="0000000F" w14:textId="0000000F" w:rsidR="006B113F" w:rsidRDefault="00000000">
      <w:pPr>
        <w:spacing w:line="240" w:lineRule="auto"/>
      </w:pPr>
      <w:r>
        <w:t>RUB semester contribution included?</w:t>
      </w:r>
    </w:p>
    <w:p w14:paraId="00000010" w14:textId="00000010" w:rsidR="006B113F" w:rsidRDefault="00000000">
      <w:pPr>
        <w:spacing w:line="240" w:lineRule="auto"/>
      </w:pPr>
      <w:r>
        <w:t>Differentiation in Group a and B like in RePIC? (No need for EMJM rules!)</w:t>
      </w:r>
    </w:p>
  </w:comment>
  <w:comment w:id="120" w:author="Galla, Randolph (Randolph.Galla@ruhr-uni-bochum.de)" w:date="2023-08-16T14:53:00Z" w:initials="GR(">
    <w:p w14:paraId="0000000C" w14:textId="0000000C" w:rsidR="006B113F" w:rsidRDefault="00000000">
      <w:pPr>
        <w:spacing w:line="240" w:lineRule="auto"/>
      </w:pPr>
      <w:r>
        <w:t>EMJM - Amend.</w:t>
      </w:r>
    </w:p>
    <w:p w14:paraId="0000000D" w14:textId="0000000D" w:rsidR="006B113F" w:rsidRDefault="00000000">
      <w:pPr>
        <w:spacing w:line="240" w:lineRule="auto"/>
      </w:pPr>
      <w:r>
        <w:t>I think it should be mentioned that the programme can be run also without any external funding.</w:t>
      </w:r>
    </w:p>
  </w:comment>
  <w:comment w:id="121" w:author="Randolph Galla" w:date="2023-08-16T14:53:00Z" w:initials="RG">
    <w:p w14:paraId="0000000B" w14:textId="0000000B" w:rsidR="006B113F" w:rsidRDefault="00000000">
      <w:pPr>
        <w:spacing w:line="240" w:lineRule="auto"/>
      </w:pPr>
      <w:r>
        <w:t>EMJM - Delete or amend</w:t>
      </w:r>
    </w:p>
  </w:comment>
  <w:comment w:id="126" w:author="Randolph Galla" w:date="2023-08-16T14:56:00Z" w:initials="RG">
    <w:p w14:paraId="0000000A" w14:textId="0000000A" w:rsidR="006B113F" w:rsidRDefault="00000000">
      <w:pPr>
        <w:spacing w:line="240" w:lineRule="auto"/>
      </w:pPr>
      <w:r>
        <w:t>Delete or amend</w:t>
      </w:r>
    </w:p>
  </w:comment>
  <w:comment w:id="140" w:author="Galla, Randolph" w:date="2024-04-11T10:34:00Z" w:initials="GR">
    <w:p w14:paraId="00000009" w14:textId="00000009" w:rsidR="006B113F" w:rsidRDefault="00000000">
      <w:pPr>
        <w:spacing w:line="240" w:lineRule="auto"/>
      </w:pPr>
      <w:r>
        <w:t>Are the persons who are to sign still the same?</w:t>
      </w:r>
    </w:p>
  </w:comment>
  <w:comment w:id="146" w:author="Randolph Galla" w:date="2023-08-16T15:01:00Z" w:initials="RG">
    <w:p w14:paraId="00000008" w14:textId="00000008" w:rsidR="006B113F" w:rsidRDefault="00000000">
      <w:pPr>
        <w:spacing w:line="240" w:lineRule="auto"/>
      </w:pPr>
      <w:r>
        <w:t>Name may have to be changed</w:t>
      </w:r>
    </w:p>
  </w:comment>
  <w:comment w:id="153" w:author="Galla, Randolph (Randolph.Galla@ruhr-uni-bochum.de)" w:date="2024-05-13T15:00:00Z" w:initials="GR(">
    <w:p w14:paraId="00000007" w14:textId="00000007" w:rsidR="006B113F" w:rsidRDefault="00000000" w:rsidP="00B270F7">
      <w:pPr>
        <w:spacing w:line="240" w:lineRule="auto"/>
      </w:pPr>
      <w:r>
        <w:t>Better generic than personalized e-mail address</w:t>
      </w:r>
    </w:p>
  </w:comment>
  <w:comment w:id="155" w:author="Galla, Randolph (Randolph.Galla@ruhr-uni-bochum.de)" w:date="2024-04-11T10:39:00Z" w:initials="GR(">
    <w:p w14:paraId="0FCA7160" w14:textId="77777777" w:rsidR="00B270F7" w:rsidRDefault="00B270F7" w:rsidP="00B270F7">
      <w:pPr>
        <w:pStyle w:val="Kommentartext"/>
      </w:pPr>
      <w:r>
        <w:rPr>
          <w:lang w:val="eu-ES"/>
        </w:rPr>
        <w:t xml:space="preserve">The following text probably needs to be changed. </w:t>
      </w:r>
    </w:p>
    <w:p w14:paraId="00000006" w14:textId="77777777" w:rsidR="00B270F7" w:rsidRDefault="00B270F7" w:rsidP="00B270F7">
      <w:pPr>
        <w:pStyle w:val="Kommentartext"/>
      </w:pPr>
      <w:r>
        <w:rPr>
          <w:lang w:val="eu-ES"/>
        </w:rPr>
        <w:t>This is the example of RePIC</w:t>
      </w:r>
    </w:p>
  </w:comment>
  <w:comment w:id="168" w:author="Galla, Randolph (Randolph.Galla@ruhr-uni-bochum.de)" w:date="2023-08-16T15:04:00Z" w:initials="GR(">
    <w:p w14:paraId="00000003" w14:textId="00000003" w:rsidR="006B113F" w:rsidRDefault="00000000">
      <w:pPr>
        <w:spacing w:line="240" w:lineRule="auto"/>
      </w:pPr>
      <w:r>
        <w:t>Exporter and Importer (next page): Date and Academic coordinators' names, details and signatures need to be renewed /changed</w:t>
      </w:r>
    </w:p>
  </w:comment>
  <w:comment w:id="170" w:author="Randolph Galla" w:date="2023-08-16T15:05:00Z" w:initials="RG">
    <w:p w14:paraId="00000002" w14:textId="00000002" w:rsidR="006B113F" w:rsidRDefault="00000000">
      <w:pPr>
        <w:spacing w:line="240" w:lineRule="auto"/>
      </w:pPr>
      <w:r>
        <w:t>Academic coordinator's name, details and signature may need to be changed (?)</w:t>
      </w:r>
    </w:p>
  </w:comment>
  <w:comment w:id="171" w:author="Galla, Randolph (Randolph.Galla@ruhr-uni-bochum.de)" w:date="2024-05-13T15:06:00Z" w:initials="GR(">
    <w:p w14:paraId="00000001" w14:textId="00000001" w:rsidR="006B113F" w:rsidRDefault="00000000">
      <w:pPr>
        <w:spacing w:line="240" w:lineRule="auto"/>
      </w:pPr>
      <w:r>
        <w:t>Double-check for changes!</w:t>
      </w:r>
    </w:p>
  </w:comment>
</w:comments>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alla, Randolph" w:date="2022-08-17T15:42:00Z" w:initials="GR">
    <w:p w14:paraId="00000001" w14:textId="00000001">
      <w:pPr>
        <w:spacing w:line="240" w:after="0" w:lineRule="auto" w:before="0"/>
        <w:ind w:firstLine="0" w:left="0" w:right="0"/>
        <w:jc w:val="left"/>
      </w:pPr>
      <w:r>
        <w:rPr>
          <w:rFonts w:eastAsia="Arial" w:ascii="Arial" w:hAnsi="Arial" w:cs="Arial"/>
          <w:sz w:val="22"/>
        </w:rPr>
        <w:t xml:space="preserve">We don't need the graph in this agreement. (Just in the EMJM application, in a revised / leaner form.)</w:t>
      </w:r>
    </w:p>
  </w:comment>
  <w:comment w:id="1" w:date="2023-02-14T09:59:00Z">
    <w:p w14:paraId="00000002" w14:textId="00000002">
      <w:pPr>
        <w:spacing w:line="240" w:after="0" w:lineRule="auto" w:before="0"/>
        <w:ind w:firstLine="0" w:left="0" w:right="0"/>
        <w:jc w:val="left"/>
      </w:pPr>
      <w:r>
        <w:rPr>
          <w:rFonts w:eastAsia="Arial" w:ascii="Arial" w:hAnsi="Arial" w:cs="Arial"/>
          <w:sz w:val="22"/>
        </w:rPr>
        <w:t xml:space="preserve">Data listed in the SSC is more comprehensive. Is is ok to stick just tothe data mentioned here?</w:t>
      </w:r>
    </w:p>
  </w:comment>
  <w:comment w:id="2" w:date="2023-02-14T11:10:00Z">
    <w:p w14:paraId="00000003" w14:textId="00000003">
      <w:pPr>
        <w:spacing w:line="240" w:after="0" w:lineRule="auto" w:before="0"/>
        <w:ind w:firstLine="0" w:left="0" w:right="0"/>
        <w:jc w:val="left"/>
      </w:pPr>
      <w:r>
        <w:rPr>
          <w:rFonts w:eastAsia="Arial" w:ascii="Arial" w:hAnsi="Arial" w:cs="Arial"/>
          <w:sz w:val="22"/>
        </w:rPr>
        <w:t xml:space="preserve">Still to be completed, colleagues asked on 14Feb.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57" w15:done="0"/>
  <w15:commentEx w15:paraId="00000056" w15:done="0"/>
  <w15:commentEx w15:paraId="00000055" w15:done="0"/>
  <w15:commentEx w15:paraId="00000054" w15:done="0"/>
  <w15:commentEx w15:paraId="00000053" w15:done="0"/>
  <w15:commentEx w15:paraId="00000050" w15:done="0"/>
  <w15:commentEx w15:paraId="0000004F" w15:done="0"/>
  <w15:commentEx w15:paraId="0000004E" w15:done="0"/>
  <w15:commentEx w15:paraId="0000004D" w15:done="0"/>
  <w15:commentEx w15:paraId="0000004C" w15:done="0"/>
  <w15:commentEx w15:paraId="0000004B" w15:done="0"/>
  <w15:commentEx w15:paraId="00000049" w15:done="0"/>
  <w15:commentEx w15:paraId="00000048" w15:done="0"/>
  <w15:commentEx w15:paraId="00000047" w15:done="0"/>
  <w15:commentEx w15:paraId="00000045" w15:done="0"/>
  <w15:commentEx w15:paraId="00000044" w15:done="0"/>
  <w15:commentEx w15:paraId="00000043" w15:done="0"/>
  <w15:commentEx w15:paraId="00000041" w15:done="0"/>
  <w15:commentEx w15:paraId="00000040" w15:done="0"/>
  <w15:commentEx w15:paraId="0000003F" w15:done="0"/>
  <w15:commentEx w15:paraId="0000003E" w15:done="0"/>
  <w15:commentEx w15:paraId="0000003D" w15:done="0"/>
  <w15:commentEx w15:paraId="0000003B" w15:done="0"/>
  <w15:commentEx w15:paraId="00000038" w15:done="0"/>
  <w15:commentEx w15:paraId="00000036" w15:done="0"/>
  <w15:commentEx w15:paraId="00000035" w15:done="0"/>
  <w15:commentEx w15:paraId="00000034" w15:done="0"/>
  <w15:commentEx w15:paraId="00000032" w15:done="0"/>
  <w15:commentEx w15:paraId="00000031" w15:done="0"/>
  <w15:commentEx w15:paraId="00000030" w15:done="0"/>
  <w15:commentEx w15:paraId="0000002F" w15:done="0"/>
  <w15:commentEx w15:paraId="0000002E" w15:done="0"/>
  <w15:commentEx w15:paraId="0000002D" w15:done="0"/>
  <w15:commentEx w15:paraId="0000002C" w15:done="0"/>
  <w15:commentEx w15:paraId="00000029" w15:done="0"/>
  <w15:commentEx w15:paraId="00000028" w15:done="0"/>
  <w15:commentEx w15:paraId="00000026" w15:done="0"/>
  <w15:commentEx w15:paraId="00000024" w15:done="0"/>
  <w15:commentEx w15:paraId="00000022" w15:done="0"/>
  <w15:commentEx w15:paraId="0000001E" w15:done="0"/>
  <w15:commentEx w15:paraId="0000001D" w15:done="0"/>
  <w15:commentEx w15:paraId="0000001C" w15:done="0"/>
  <w15:commentEx w15:paraId="0000001A" w15:done="0"/>
  <w15:commentEx w15:paraId="00000019" w15:done="0"/>
  <w15:commentEx w15:paraId="00000018" w15:done="0"/>
  <w15:commentEx w15:paraId="00000017" w15:done="0"/>
  <w15:commentEx w15:paraId="00000016" w15:done="0"/>
  <w15:commentEx w15:paraId="00000015" w15:done="0"/>
  <w15:commentEx w15:paraId="00000014" w15:done="0"/>
  <w15:commentEx w15:paraId="00000013" w15:done="0"/>
  <w15:commentEx w15:paraId="00000011" w15:done="0"/>
  <w15:commentEx w15:paraId="00000012" w15:paraIdParent="00000011" w15:done="0"/>
  <w15:commentEx w15:paraId="00000010" w15:done="0"/>
  <w15:commentEx w15:paraId="0000000D" w15:done="0"/>
  <w15:commentEx w15:paraId="0000000B" w15:done="0"/>
  <w15:commentEx w15:paraId="0000000A" w15:done="0"/>
  <w15:commentEx w15:paraId="00000009" w15:done="0"/>
  <w15:commentEx w15:paraId="00000008" w15:done="0"/>
  <w15:commentEx w15:paraId="00000007" w15:done="0"/>
  <w15:commentEx w15:paraId="00000006" w15:done="0"/>
  <w15:commentEx w15:paraId="00000003" w15:done="0"/>
  <w15:commentEx w15:paraId="00000002" w15:done="0"/>
  <w15:commentEx w15:paraId="00000001" w15:done="0"/>
</w15:commentsEx>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634E20" w16cex:dateUtc="2024-05-13T12:25:00Z"/>
  <w16cex:commentExtensible w16cex:durableId="036E5BA4" w16cex:dateUtc="2023-08-16T07:42:00Z"/>
  <w16cex:commentExtensible w16cex:durableId="6FDD883C" w16cex:dateUtc="2023-08-16T07:44:00Z"/>
  <w16cex:commentExtensible w16cex:durableId="2AD8654B" w16cex:dateUtc="2023-08-16T07:45:00Z"/>
  <w16cex:commentExtensible w16cex:durableId="4FBC2DA2" w16cex:dateUtc="2023-08-16T07:46:00Z"/>
  <w16cex:commentExtensible w16cex:durableId="7F1228DA" w16cex:dateUtc="2023-08-16T07:47:00Z"/>
  <w16cex:commentExtensible w16cex:durableId="080AFCF0" w16cex:dateUtc="2023-08-16T07:49:00Z"/>
  <w16cex:commentExtensible w16cex:durableId="714EB51E" w16cex:dateUtc="2024-05-13T12:29:00Z"/>
  <w16cex:commentExtensible w16cex:durableId="73AE6979" w16cex:dateUtc="2024-05-13T12:29:00Z"/>
  <w16cex:commentExtensible w16cex:durableId="5B8BFB29" w16cex:dateUtc="2023-08-16T07:51:00Z"/>
  <w16cex:commentExtensible w16cex:durableId="751F28CB" w16cex:dateUtc="2023-08-16T07:52:00Z"/>
  <w16cex:commentExtensible w16cex:durableId="74D8B074" w16cex:dateUtc="2023-08-16T07:53:00Z"/>
  <w16cex:commentExtensible w16cex:durableId="20FEFCE8" w16cex:dateUtc="2023-08-16T07:58:00Z"/>
  <w16cex:commentExtensible w16cex:durableId="659C6806" w16cex:dateUtc="2024-05-13T12:32:00Z"/>
  <w16cex:commentExtensible w16cex:durableId="76EA630F" w16cex:dateUtc="2023-08-16T07:59:00Z"/>
  <w16cex:commentExtensible w16cex:durableId="2F4E5DB7" w16cex:dateUtc="2023-08-16T07:59:00Z"/>
  <w16cex:commentExtensible w16cex:durableId="1CC05AEF" w16cex:dateUtc="2024-05-13T12:35:00Z"/>
  <w16cex:commentExtensible w16cex:durableId="492B2C94" w16cex:dateUtc="2023-08-16T08:00:00Z"/>
  <w16cex:commentExtensible w16cex:durableId="712D8DD0" w16cex:dateUtc="2023-08-16T08:01:00Z"/>
  <w16cex:commentExtensible w16cex:durableId="419D3505" w16cex:dateUtc="2023-08-16T08:01:00Z"/>
  <w16cex:commentExtensible w16cex:durableId="7D512A9F" w16cex:dateUtc="2023-08-16T08:02:00Z"/>
  <w16cex:commentExtensible w16cex:durableId="1EE37FCE" w16cex:dateUtc="2023-08-16T08:02:00Z"/>
  <w16cex:commentExtensible w16cex:durableId="29E14105" w16cex:dateUtc="2023-08-16T08:03:00Z"/>
  <w16cex:commentExtensible w16cex:durableId="053528E2" w16cex:dateUtc="2023-08-16T08:04:00Z"/>
  <w16cex:commentExtensible w16cex:durableId="3638BB47" w16cex:dateUtc="2023-08-16T08:06:00Z"/>
  <w16cex:commentExtensible w16cex:durableId="59D4E86A" w16cex:dateUtc="2023-08-16T08:09:00Z"/>
  <w16cex:commentExtensible w16cex:durableId="671133B6" w16cex:dateUtc="2023-08-16T08:09:00Z"/>
  <w16cex:commentExtensible w16cex:durableId="2755A983" w16cex:dateUtc="2023-08-16T08:12:00Z"/>
  <w16cex:commentExtensible w16cex:durableId="6A0CF6C9" w16cex:dateUtc="2023-08-16T08:14:00Z"/>
  <w16cex:commentExtensible w16cex:durableId="712FB112" w16cex:dateUtc="2023-08-16T08:16:00Z"/>
  <w16cex:commentExtensible w16cex:durableId="27BAD190" w16cex:dateUtc="2023-08-16T08:18:00Z"/>
  <w16cex:commentExtensible w16cex:durableId="697E5590" w16cex:dateUtc="2023-08-16T08:19:00Z"/>
  <w16cex:commentExtensible w16cex:durableId="259AD407" w16cex:dateUtc="2023-08-16T08:36:00Z"/>
  <w16cex:commentExtensible w16cex:durableId="50CC0E4C" w16cex:dateUtc="2023-08-16T08:38:00Z"/>
  <w16cex:commentExtensible w16cex:durableId="3A8708F8" w16cex:dateUtc="2023-08-16T08:42:00Z"/>
  <w16cex:commentExtensible w16cex:durableId="0DBF414B" w16cex:dateUtc="2023-08-16T08:43:00Z"/>
  <w16cex:commentExtensible w16cex:durableId="12402ED2" w16cex:dateUtc="2024-05-13T12:50:00Z"/>
  <w16cex:commentExtensible w16cex:durableId="1C78E298" w16cex:dateUtc="2023-08-16T08:44:00Z"/>
  <w16cex:commentExtensible w16cex:durableId="21A3DE23" w16cex:dateUtc="2024-04-11T08:28:00Z"/>
  <w16cex:commentExtensible w16cex:durableId="7B08DE75" w16cex:dateUtc="2023-08-16T08:46:00Z"/>
  <w16cex:commentExtensible w16cex:durableId="464DDA39" w16cex:dateUtc="2023-08-16T08:47:00Z"/>
  <w16cex:commentExtensible w16cex:durableId="3DD4F0F3" w16cex:dateUtc="2024-05-13T12:54:00Z"/>
  <w16cex:commentExtensible w16cex:durableId="38FF8189" w16cex:dateUtc="2023-08-16T08:47:00Z"/>
  <w16cex:commentExtensible w16cex:durableId="0C9265D1" w16cex:dateUtc="2024-04-11T08:30:00Z"/>
  <w16cex:commentExtensible w16cex:durableId="6485F1A2" w16cex:dateUtc="2023-08-16T08:48:00Z"/>
  <w16cex:commentExtensible w16cex:durableId="6FE115B0" w16cex:dateUtc="2023-08-16T08:49:00Z"/>
  <w16cex:commentExtensible w16cex:durableId="05972D1E" w16cex:dateUtc="2023-08-16T08:50:00Z"/>
  <w16cex:commentExtensible w16cex:durableId="006B05B6" w16cex:dateUtc="2023-08-16T08:51:00Z"/>
  <w16cex:commentExtensible w16cex:durableId="19876E10" w16cex:dateUtc="2023-08-16T08:51:00Z"/>
  <w16cex:commentExtensible w16cex:durableId="55777DDE" w16cex:dateUtc="2023-08-16T08:52:00Z"/>
  <w16cex:commentExtensible w16cex:durableId="34AA895B" w16cex:dateUtc="2023-08-16T08:54:00Z"/>
  <w16cex:commentExtensible w16cex:durableId="1C56C70D" w16cex:dateUtc="2024-12-09T15:59:00Z"/>
  <w16cex:commentExtensible w16cex:durableId="530327F7" w16cex:dateUtc="2024-05-13T12:56:00Z"/>
  <w16cex:commentExtensible w16cex:durableId="5F0EDBB8" w16cex:dateUtc="2023-08-16T12:53:00Z"/>
  <w16cex:commentExtensible w16cex:durableId="573F4886" w16cex:dateUtc="2023-08-16T12:53:00Z"/>
  <w16cex:commentExtensible w16cex:durableId="3424DFC1" w16cex:dateUtc="2023-08-16T12:56:00Z"/>
  <w16cex:commentExtensible w16cex:durableId="5571C24D" w16cex:dateUtc="2024-04-11T08:34:00Z"/>
  <w16cex:commentExtensible w16cex:durableId="33856D28" w16cex:dateUtc="2023-08-16T13:01:00Z"/>
  <w16cex:commentExtensible w16cex:durableId="2CA9F42C" w16cex:dateUtc="2024-05-13T13:00:00Z"/>
  <w16cex:commentExtensible w16cex:durableId="636CC794" w16cex:dateUtc="2024-04-11T08:39:00Z"/>
  <w16cex:commentExtensible w16cex:durableId="2DADDCFF" w16cex:dateUtc="2023-08-16T13:04:00Z"/>
  <w16cex:commentExtensible w16cex:durableId="6C94DA0B" w16cex:dateUtc="2023-08-16T13:05:00Z"/>
  <w16cex:commentExtensible w16cex:durableId="5A5E8982" w16cex:dateUtc="2024-05-13T13:06:00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A78AE4" w16cex:dateUtc="2022-08-17T1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57" w16cid:durableId="6B634E20"/>
  <w16cid:commentId w16cid:paraId="00000056" w16cid:durableId="036E5BA4"/>
  <w16cid:commentId w16cid:paraId="00000055" w16cid:durableId="6FDD883C"/>
  <w16cid:commentId w16cid:paraId="00000054" w16cid:durableId="2AD8654B"/>
  <w16cid:commentId w16cid:paraId="00000053" w16cid:durableId="4FBC2DA2"/>
  <w16cid:commentId w16cid:paraId="00000050" w16cid:durableId="7F1228DA"/>
  <w16cid:commentId w16cid:paraId="0000004F" w16cid:durableId="080AFCF0"/>
  <w16cid:commentId w16cid:paraId="0000004E" w16cid:durableId="714EB51E"/>
  <w16cid:commentId w16cid:paraId="0000004D" w16cid:durableId="73AE6979"/>
  <w16cid:commentId w16cid:paraId="0000004C" w16cid:durableId="5B8BFB29"/>
  <w16cid:commentId w16cid:paraId="0000004B" w16cid:durableId="751F28CB"/>
  <w16cid:commentId w16cid:paraId="00000049" w16cid:durableId="74D8B074"/>
  <w16cid:commentId w16cid:paraId="00000048" w16cid:durableId="20FEFCE8"/>
  <w16cid:commentId w16cid:paraId="00000047" w16cid:durableId="659C6806"/>
  <w16cid:commentId w16cid:paraId="00000045" w16cid:durableId="76EA630F"/>
  <w16cid:commentId w16cid:paraId="00000044" w16cid:durableId="2F4E5DB7"/>
  <w16cid:commentId w16cid:paraId="00000043" w16cid:durableId="1CC05AEF"/>
  <w16cid:commentId w16cid:paraId="00000041" w16cid:durableId="492B2C94"/>
  <w16cid:commentId w16cid:paraId="00000040" w16cid:durableId="712D8DD0"/>
  <w16cid:commentId w16cid:paraId="0000003F" w16cid:durableId="419D3505"/>
  <w16cid:commentId w16cid:paraId="0000003E" w16cid:durableId="7D512A9F"/>
  <w16cid:commentId w16cid:paraId="0000003D" w16cid:durableId="1EE37FCE"/>
  <w16cid:commentId w16cid:paraId="0000003B" w16cid:durableId="29E14105"/>
  <w16cid:commentId w16cid:paraId="00000038" w16cid:durableId="053528E2"/>
  <w16cid:commentId w16cid:paraId="00000036" w16cid:durableId="3638BB47"/>
  <w16cid:commentId w16cid:paraId="00000035" w16cid:durableId="59D4E86A"/>
  <w16cid:commentId w16cid:paraId="00000034" w16cid:durableId="671133B6"/>
  <w16cid:commentId w16cid:paraId="00000032" w16cid:durableId="2755A983"/>
  <w16cid:commentId w16cid:paraId="00000031" w16cid:durableId="6A0CF6C9"/>
  <w16cid:commentId w16cid:paraId="00000030" w16cid:durableId="712FB112"/>
  <w16cid:commentId w16cid:paraId="0000002F" w16cid:durableId="27BAD190"/>
  <w16cid:commentId w16cid:paraId="0000002E" w16cid:durableId="697E5590"/>
  <w16cid:commentId w16cid:paraId="0000002D" w16cid:durableId="259AD407"/>
  <w16cid:commentId w16cid:paraId="0000002C" w16cid:durableId="50CC0E4C"/>
  <w16cid:commentId w16cid:paraId="00000029" w16cid:durableId="3A8708F8"/>
  <w16cid:commentId w16cid:paraId="00000028" w16cid:durableId="0DBF414B"/>
  <w16cid:commentId w16cid:paraId="00000026" w16cid:durableId="12402ED2"/>
  <w16cid:commentId w16cid:paraId="00000024" w16cid:durableId="1C78E298"/>
  <w16cid:commentId w16cid:paraId="00000022" w16cid:durableId="21A3DE23"/>
  <w16cid:commentId w16cid:paraId="0000001E" w16cid:durableId="7B08DE75"/>
  <w16cid:commentId w16cid:paraId="0000001D" w16cid:durableId="464DDA39"/>
  <w16cid:commentId w16cid:paraId="0000001C" w16cid:durableId="3DD4F0F3"/>
  <w16cid:commentId w16cid:paraId="0000001A" w16cid:durableId="38FF8189"/>
  <w16cid:commentId w16cid:paraId="00000019" w16cid:durableId="0C9265D1"/>
  <w16cid:commentId w16cid:paraId="00000018" w16cid:durableId="6485F1A2"/>
  <w16cid:commentId w16cid:paraId="00000017" w16cid:durableId="6FE115B0"/>
  <w16cid:commentId w16cid:paraId="00000016" w16cid:durableId="05972D1E"/>
  <w16cid:commentId w16cid:paraId="00000015" w16cid:durableId="006B05B6"/>
  <w16cid:commentId w16cid:paraId="00000014" w16cid:durableId="19876E10"/>
  <w16cid:commentId w16cid:paraId="00000013" w16cid:durableId="55777DDE"/>
  <w16cid:commentId w16cid:paraId="00000011" w16cid:durableId="34AA895B"/>
  <w16cid:commentId w16cid:paraId="00000012" w16cid:durableId="1C56C70D"/>
  <w16cid:commentId w16cid:paraId="00000010" w16cid:durableId="530327F7"/>
  <w16cid:commentId w16cid:paraId="0000000D" w16cid:durableId="5F0EDBB8"/>
  <w16cid:commentId w16cid:paraId="0000000B" w16cid:durableId="573F4886"/>
  <w16cid:commentId w16cid:paraId="0000000A" w16cid:durableId="3424DFC1"/>
  <w16cid:commentId w16cid:paraId="00000009" w16cid:durableId="5571C24D"/>
  <w16cid:commentId w16cid:paraId="00000008" w16cid:durableId="33856D28"/>
  <w16cid:commentId w16cid:paraId="00000007" w16cid:durableId="2CA9F42C"/>
  <w16cid:commentId w16cid:paraId="00000006" w16cid:durableId="636CC794"/>
  <w16cid:commentId w16cid:paraId="00000003" w16cid:durableId="2DADDCFF"/>
  <w16cid:commentId w16cid:paraId="00000002" w16cid:durableId="6C94DA0B"/>
  <w16cid:commentId w16cid:paraId="00000001" w16cid:durableId="5A5E8982"/>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26A78AE4"/>
  <w16cid:commentId w16cid:paraId="00000002" w16cid:durableId="28189DEB"/>
  <w16cid:commentId w16cid:paraId="00000003" w16cid:durableId="6F0110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48AF6" w14:textId="77777777" w:rsidR="0053022C" w:rsidRDefault="0053022C">
      <w:pPr>
        <w:spacing w:line="240" w:lineRule="auto"/>
      </w:pPr>
      <w:r>
        <w:separator/>
      </w:r>
    </w:p>
  </w:endnote>
  <w:endnote w:type="continuationSeparator" w:id="0">
    <w:p w14:paraId="73B93DB0" w14:textId="77777777" w:rsidR="0053022C" w:rsidRDefault="005302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useo Sans 1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594963"/>
      <w:docPartObj>
        <w:docPartGallery w:val="Page Numbers (Bottom of Page)"/>
        <w:docPartUnique/>
      </w:docPartObj>
    </w:sdtPr>
    <w:sdtContent>
      <w:p w14:paraId="0E2379AC" w14:textId="77777777" w:rsidR="006B113F" w:rsidRDefault="00000000">
        <w:pPr>
          <w:pStyle w:val="Fuzeile"/>
          <w:jc w:val="center"/>
        </w:pPr>
        <w:r>
          <w:fldChar w:fldCharType="begin"/>
        </w:r>
        <w:r>
          <w:instrText>PAGE   \* MERGEFORMAT</w:instrText>
        </w:r>
        <w:r>
          <w:fldChar w:fldCharType="separate"/>
        </w:r>
        <w:r>
          <w:rPr>
            <w:lang w:val="de-DE"/>
          </w:rPr>
          <w:t>2</w:t>
        </w:r>
        <w:r>
          <w:fldChar w:fldCharType="end"/>
        </w:r>
      </w:p>
    </w:sdtContent>
  </w:sdt>
  <w:p w14:paraId="01FF73D6" w14:textId="77777777" w:rsidR="006B113F" w:rsidRDefault="006B113F">
    <w:pPr>
      <w:pStyle w:val="Fuzeile"/>
    </w:pPr>
  </w:p>
  <w:p w14:paraId="400B7CA2" w14:textId="77777777" w:rsidR="006B113F" w:rsidRDefault="006B11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B15C7" w14:textId="77777777" w:rsidR="0053022C" w:rsidRDefault="0053022C">
      <w:pPr>
        <w:spacing w:line="240" w:lineRule="auto"/>
      </w:pPr>
      <w:r>
        <w:separator/>
      </w:r>
    </w:p>
  </w:footnote>
  <w:footnote w:type="continuationSeparator" w:id="0">
    <w:p w14:paraId="57BB6E01" w14:textId="77777777" w:rsidR="0053022C" w:rsidRDefault="0053022C">
      <w:pPr>
        <w:spacing w:line="240" w:lineRule="auto"/>
      </w:pPr>
      <w:r>
        <w:continuationSeparator/>
      </w:r>
    </w:p>
  </w:footnote>
  <w:footnote w:id="1">
    <w:p w14:paraId="238C06D1" w14:textId="77777777" w:rsidR="006B113F" w:rsidRDefault="00000000">
      <w:pPr>
        <w:pStyle w:val="Funotentext"/>
        <w:rPr>
          <w:lang w:val="en-IE"/>
        </w:rPr>
      </w:pPr>
      <w:r>
        <w:rPr>
          <w:rStyle w:val="Funotenzeichen"/>
        </w:rPr>
        <w:footnoteRef/>
      </w:r>
      <w:r>
        <w:rPr>
          <w:lang w:val="en-IE"/>
        </w:rPr>
        <w:t xml:space="preserve"> The Nominal Fee Factors here are rounded to the second decimal to increase readability. The Re-Imbursement is calculated based on the non-rounded factor.</w:t>
      </w:r>
    </w:p>
  </w:footnote>
  <w:footnote w:id="2">
    <w:p w14:paraId="4DEE5019" w14:textId="77777777" w:rsidR="006B113F" w:rsidRDefault="00000000">
      <w:pPr>
        <w:pStyle w:val="Funotentext"/>
        <w:rPr>
          <w:rFonts w:ascii="Museo Sans 100" w:hAnsi="Museo Sans 100"/>
          <w:lang w:val="en-US"/>
        </w:rPr>
      </w:pPr>
      <w:r>
        <w:rPr>
          <w:rStyle w:val="Funotenzeichen"/>
          <w:rFonts w:ascii="Museo Sans 100" w:hAnsi="Museo Sans 100"/>
          <w:sz w:val="16"/>
          <w:szCs w:val="16"/>
        </w:rPr>
        <w:footnoteRef/>
      </w:r>
      <w:r>
        <w:rPr>
          <w:rFonts w:ascii="Museo Sans 100" w:hAnsi="Museo Sans 100"/>
          <w:sz w:val="16"/>
          <w:szCs w:val="16"/>
          <w:lang w:val="en-US"/>
        </w:rPr>
        <w:t xml:space="preserve">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of 21.11.2018, p. 39),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w:t>
      </w:r>
    </w:p>
  </w:footnote>
  <w:footnote w:id="3">
    <w:p w14:paraId="4A83B68F" w14:textId="77777777" w:rsidR="006B113F" w:rsidRDefault="00000000">
      <w:pPr>
        <w:pStyle w:val="Funotentext"/>
        <w:rPr>
          <w:rFonts w:ascii="Museo Sans 100" w:hAnsi="Museo Sans 100"/>
          <w:lang w:val="en-US"/>
        </w:rPr>
      </w:pPr>
      <w:r>
        <w:rPr>
          <w:rStyle w:val="Funotenzeichen"/>
          <w:rFonts w:ascii="Museo Sans 100" w:hAnsi="Museo Sans 100"/>
          <w:sz w:val="16"/>
          <w:szCs w:val="16"/>
        </w:rPr>
        <w:footnoteRef/>
      </w:r>
      <w:r>
        <w:rPr>
          <w:rFonts w:ascii="Museo Sans 100" w:hAnsi="Museo Sans 100"/>
          <w:sz w:val="16"/>
          <w:szCs w:val="16"/>
          <w:lang w:val="en-US"/>
        </w:rPr>
        <w:t xml:space="preserve"> This requires rendering the data anonymous in such a way that the individual is no longer identifiable by anyone, in line with recital 26 of Regulation (EU) 2016/679, and that this process is irreversible.</w:t>
      </w:r>
    </w:p>
  </w:footnote>
  <w:footnote w:id="4">
    <w:p w14:paraId="39FF5FDF" w14:textId="77777777" w:rsidR="006B113F" w:rsidRDefault="00000000">
      <w:pPr>
        <w:pStyle w:val="Funotentext"/>
        <w:rPr>
          <w:rFonts w:ascii="Museo Sans 100" w:hAnsi="Museo Sans 100"/>
          <w:sz w:val="16"/>
          <w:szCs w:val="16"/>
          <w:lang w:val="en-US"/>
        </w:rPr>
      </w:pPr>
      <w:r>
        <w:rPr>
          <w:rFonts w:ascii="Museo Sans 100" w:hAnsi="Museo Sans 100"/>
          <w:sz w:val="16"/>
          <w:szCs w:val="16"/>
          <w:vertAlign w:val="superscript"/>
          <w:lang w:val="en-US"/>
        </w:rPr>
        <w:footnoteRef/>
      </w:r>
      <w:r>
        <w:rPr>
          <w:rFonts w:ascii="Museo Sans 100" w:hAnsi="Museo Sans 100"/>
          <w:sz w:val="16"/>
          <w:szCs w:val="16"/>
          <w:vertAlign w:val="superscript"/>
          <w:lang w:val="en-US"/>
        </w:rPr>
        <w:t xml:space="preserve"> </w:t>
      </w:r>
      <w:r>
        <w:rPr>
          <w:rFonts w:ascii="Museo Sans 100" w:hAnsi="Museo Sans 100"/>
          <w:sz w:val="16"/>
          <w:szCs w:val="16"/>
          <w:lang w:val="en-US"/>
        </w:rPr>
        <w:t>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 of these Clauses.</w:t>
      </w:r>
    </w:p>
  </w:footnote>
  <w:footnote w:id="5">
    <w:p w14:paraId="150DB246" w14:textId="77777777" w:rsidR="006B113F" w:rsidRDefault="00000000">
      <w:pPr>
        <w:pStyle w:val="Funotentext"/>
        <w:rPr>
          <w:rFonts w:ascii="Museo Sans 100" w:hAnsi="Museo Sans 100"/>
          <w:sz w:val="16"/>
          <w:szCs w:val="16"/>
          <w:lang w:val="en-US"/>
        </w:rPr>
      </w:pPr>
      <w:r>
        <w:rPr>
          <w:rStyle w:val="Funotenzeichen"/>
          <w:rFonts w:ascii="Museo Sans 100" w:hAnsi="Museo Sans 100"/>
          <w:sz w:val="16"/>
          <w:szCs w:val="16"/>
        </w:rPr>
        <w:footnoteRef/>
      </w:r>
      <w:r>
        <w:rPr>
          <w:rFonts w:ascii="Museo Sans 100" w:hAnsi="Museo Sans 100"/>
          <w:sz w:val="16"/>
          <w:szCs w:val="16"/>
          <w:lang w:val="en-US"/>
        </w:rPr>
        <w:t xml:space="preserve"> That period may be extended by a maximum of two more months, to the extent necessary taking into account the complexity and number of requests. The data importer shall duly and promptly inform the data subject of any such extension.</w:t>
      </w:r>
    </w:p>
  </w:footnote>
  <w:footnote w:id="6">
    <w:p w14:paraId="497CED1D" w14:textId="77777777" w:rsidR="006B113F" w:rsidRDefault="00000000">
      <w:pPr>
        <w:pStyle w:val="Funotentext"/>
        <w:rPr>
          <w:rFonts w:ascii="Museo Sans 100" w:hAnsi="Museo Sans 100"/>
          <w:sz w:val="16"/>
          <w:szCs w:val="16"/>
          <w:lang w:val="en-US"/>
        </w:rPr>
      </w:pPr>
      <w:r>
        <w:rPr>
          <w:rStyle w:val="Funotenzeichen"/>
          <w:rFonts w:ascii="Museo Sans 100" w:hAnsi="Museo Sans 100"/>
          <w:sz w:val="16"/>
          <w:szCs w:val="16"/>
        </w:rPr>
        <w:footnoteRef/>
      </w:r>
      <w:r>
        <w:rPr>
          <w:rFonts w:ascii="Museo Sans 100" w:hAnsi="Museo Sans 100"/>
          <w:sz w:val="16"/>
          <w:szCs w:val="16"/>
          <w:lang w:val="en-US"/>
        </w:rPr>
        <w:t xml:space="preserve">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496E"/>
    <w:multiLevelType w:val="multilevel"/>
    <w:tmpl w:val="ABB8261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 w15:restartNumberingAfterBreak="0">
    <w:nsid w:val="04295889"/>
    <w:multiLevelType w:val="multilevel"/>
    <w:tmpl w:val="6E1EF36E"/>
    <w:lvl w:ilvl="0">
      <w:start w:val="1"/>
      <w:numFmt w:val="bullet"/>
      <w:suff w:val="space"/>
      <w:lvlText w:val="●"/>
      <w:lvlJc w:val="left"/>
      <w:pPr>
        <w:ind w:left="720" w:hanging="360"/>
      </w:pPr>
      <w:rPr>
        <w:u w:val="none"/>
      </w:rPr>
    </w:lvl>
    <w:lvl w:ilvl="1">
      <w:start w:val="1"/>
      <w:numFmt w:val="bullet"/>
      <w:suff w:val="space"/>
      <w:lvlText w:val="○"/>
      <w:lvlJc w:val="left"/>
      <w:pPr>
        <w:ind w:left="1440" w:hanging="360"/>
      </w:pPr>
      <w:rPr>
        <w:u w:val="none"/>
      </w:rPr>
    </w:lvl>
    <w:lvl w:ilvl="2">
      <w:start w:val="1"/>
      <w:numFmt w:val="bullet"/>
      <w:suff w:val="space"/>
      <w:lvlText w:val="■"/>
      <w:lvlJc w:val="left"/>
      <w:pPr>
        <w:ind w:left="2160" w:hanging="360"/>
      </w:pPr>
      <w:rPr>
        <w:u w:val="none"/>
      </w:rPr>
    </w:lvl>
    <w:lvl w:ilvl="3">
      <w:start w:val="1"/>
      <w:numFmt w:val="bullet"/>
      <w:suff w:val="space"/>
      <w:lvlText w:val="●"/>
      <w:lvlJc w:val="left"/>
      <w:pPr>
        <w:ind w:left="2880" w:hanging="360"/>
      </w:pPr>
      <w:rPr>
        <w:u w:val="none"/>
      </w:rPr>
    </w:lvl>
    <w:lvl w:ilvl="4">
      <w:start w:val="1"/>
      <w:numFmt w:val="bullet"/>
      <w:suff w:val="space"/>
      <w:lvlText w:val="○"/>
      <w:lvlJc w:val="left"/>
      <w:pPr>
        <w:ind w:left="3600" w:hanging="360"/>
      </w:pPr>
      <w:rPr>
        <w:u w:val="none"/>
      </w:rPr>
    </w:lvl>
    <w:lvl w:ilvl="5">
      <w:start w:val="1"/>
      <w:numFmt w:val="bullet"/>
      <w:suff w:val="space"/>
      <w:lvlText w:val="■"/>
      <w:lvlJc w:val="left"/>
      <w:pPr>
        <w:ind w:left="4320" w:hanging="360"/>
      </w:pPr>
      <w:rPr>
        <w:u w:val="none"/>
      </w:rPr>
    </w:lvl>
    <w:lvl w:ilvl="6">
      <w:start w:val="1"/>
      <w:numFmt w:val="bullet"/>
      <w:suff w:val="space"/>
      <w:lvlText w:val="●"/>
      <w:lvlJc w:val="left"/>
      <w:pPr>
        <w:ind w:left="5040" w:hanging="360"/>
      </w:pPr>
      <w:rPr>
        <w:u w:val="none"/>
      </w:rPr>
    </w:lvl>
    <w:lvl w:ilvl="7">
      <w:start w:val="1"/>
      <w:numFmt w:val="bullet"/>
      <w:suff w:val="space"/>
      <w:lvlText w:val="○"/>
      <w:lvlJc w:val="left"/>
      <w:pPr>
        <w:ind w:left="5760" w:hanging="360"/>
      </w:pPr>
      <w:rPr>
        <w:u w:val="none"/>
      </w:rPr>
    </w:lvl>
    <w:lvl w:ilvl="8">
      <w:start w:val="1"/>
      <w:numFmt w:val="bullet"/>
      <w:suff w:val="space"/>
      <w:lvlText w:val="■"/>
      <w:lvlJc w:val="left"/>
      <w:pPr>
        <w:ind w:left="6480" w:hanging="360"/>
      </w:pPr>
      <w:rPr>
        <w:u w:val="none"/>
      </w:rPr>
    </w:lvl>
  </w:abstractNum>
  <w:abstractNum w:abstractNumId="2" w15:restartNumberingAfterBreak="0">
    <w:nsid w:val="05647013"/>
    <w:multiLevelType w:val="multilevel"/>
    <w:tmpl w:val="AB3E1F8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 w15:restartNumberingAfterBreak="0">
    <w:nsid w:val="0599712E"/>
    <w:multiLevelType w:val="multilevel"/>
    <w:tmpl w:val="90EAE3FE"/>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9" w:hanging="360"/>
      </w:pPr>
    </w:lvl>
    <w:lvl w:ilvl="2">
      <w:start w:val="1"/>
      <w:numFmt w:val="bullet"/>
      <w:suff w:val="space"/>
      <w:lvlText w:val="•"/>
      <w:lvlJc w:val="left"/>
      <w:pPr>
        <w:ind w:left="2217" w:hanging="360"/>
      </w:pPr>
    </w:lvl>
    <w:lvl w:ilvl="3">
      <w:start w:val="1"/>
      <w:numFmt w:val="bullet"/>
      <w:suff w:val="space"/>
      <w:lvlText w:val="•"/>
      <w:lvlJc w:val="left"/>
      <w:pPr>
        <w:ind w:left="3096" w:hanging="360"/>
      </w:pPr>
    </w:lvl>
    <w:lvl w:ilvl="4">
      <w:start w:val="1"/>
      <w:numFmt w:val="bullet"/>
      <w:suff w:val="space"/>
      <w:lvlText w:val="•"/>
      <w:lvlJc w:val="left"/>
      <w:pPr>
        <w:ind w:left="3974" w:hanging="360"/>
      </w:pPr>
    </w:lvl>
    <w:lvl w:ilvl="5">
      <w:start w:val="1"/>
      <w:numFmt w:val="bullet"/>
      <w:suff w:val="space"/>
      <w:lvlText w:val="•"/>
      <w:lvlJc w:val="left"/>
      <w:pPr>
        <w:ind w:left="4853" w:hanging="360"/>
      </w:pPr>
    </w:lvl>
    <w:lvl w:ilvl="6">
      <w:start w:val="1"/>
      <w:numFmt w:val="bullet"/>
      <w:suff w:val="space"/>
      <w:lvlText w:val="•"/>
      <w:lvlJc w:val="left"/>
      <w:pPr>
        <w:ind w:left="5732" w:hanging="360"/>
      </w:pPr>
    </w:lvl>
    <w:lvl w:ilvl="7">
      <w:start w:val="1"/>
      <w:numFmt w:val="bullet"/>
      <w:suff w:val="space"/>
      <w:lvlText w:val="•"/>
      <w:lvlJc w:val="left"/>
      <w:pPr>
        <w:ind w:left="6610" w:hanging="360"/>
      </w:pPr>
    </w:lvl>
    <w:lvl w:ilvl="8">
      <w:start w:val="1"/>
      <w:numFmt w:val="bullet"/>
      <w:suff w:val="space"/>
      <w:lvlText w:val="•"/>
      <w:lvlJc w:val="left"/>
      <w:pPr>
        <w:ind w:left="7489" w:hanging="360"/>
      </w:pPr>
    </w:lvl>
  </w:abstractNum>
  <w:abstractNum w:abstractNumId="4" w15:restartNumberingAfterBreak="0">
    <w:nsid w:val="06AB072E"/>
    <w:multiLevelType w:val="multilevel"/>
    <w:tmpl w:val="2F96F7CA"/>
    <w:lvl w:ilvl="0">
      <w:start w:val="1"/>
      <w:numFmt w:val="lowerLetter"/>
      <w:suff w:val="space"/>
      <w:lvlText w:val="%1."/>
      <w:lvlJc w:val="left"/>
      <w:pPr>
        <w:ind w:left="0" w:firstLine="0"/>
      </w:pPr>
      <w:rPr>
        <w:rFonts w:ascii="Calibri" w:eastAsia="Calibri" w:hAnsi="Calibri" w:cs="Calibri"/>
        <w:color w:val="365F91"/>
        <w:sz w:val="22"/>
        <w:szCs w:val="22"/>
      </w:rPr>
    </w:lvl>
    <w:lvl w:ilvl="1">
      <w:start w:val="1"/>
      <w:numFmt w:val="bullet"/>
      <w:suff w:val="space"/>
      <w:lvlText w:val="•"/>
      <w:lvlJc w:val="left"/>
      <w:pPr>
        <w:ind w:left="1375" w:hanging="360"/>
      </w:pPr>
    </w:lvl>
    <w:lvl w:ilvl="2">
      <w:start w:val="1"/>
      <w:numFmt w:val="bullet"/>
      <w:suff w:val="space"/>
      <w:lvlText w:val="•"/>
      <w:lvlJc w:val="left"/>
      <w:pPr>
        <w:ind w:left="2289" w:hanging="360"/>
      </w:pPr>
    </w:lvl>
    <w:lvl w:ilvl="3">
      <w:start w:val="1"/>
      <w:numFmt w:val="bullet"/>
      <w:suff w:val="space"/>
      <w:lvlText w:val="•"/>
      <w:lvlJc w:val="left"/>
      <w:pPr>
        <w:ind w:left="3204" w:hanging="360"/>
      </w:pPr>
    </w:lvl>
    <w:lvl w:ilvl="4">
      <w:start w:val="1"/>
      <w:numFmt w:val="bullet"/>
      <w:suff w:val="space"/>
      <w:lvlText w:val="•"/>
      <w:lvlJc w:val="left"/>
      <w:pPr>
        <w:ind w:left="4118" w:hanging="360"/>
      </w:pPr>
    </w:lvl>
    <w:lvl w:ilvl="5">
      <w:start w:val="1"/>
      <w:numFmt w:val="bullet"/>
      <w:suff w:val="space"/>
      <w:lvlText w:val="•"/>
      <w:lvlJc w:val="left"/>
      <w:pPr>
        <w:ind w:left="5033" w:hanging="360"/>
      </w:pPr>
    </w:lvl>
    <w:lvl w:ilvl="6">
      <w:start w:val="1"/>
      <w:numFmt w:val="bullet"/>
      <w:suff w:val="space"/>
      <w:lvlText w:val="•"/>
      <w:lvlJc w:val="left"/>
      <w:pPr>
        <w:ind w:left="5948" w:hanging="360"/>
      </w:pPr>
    </w:lvl>
    <w:lvl w:ilvl="7">
      <w:start w:val="1"/>
      <w:numFmt w:val="bullet"/>
      <w:suff w:val="space"/>
      <w:lvlText w:val="•"/>
      <w:lvlJc w:val="left"/>
      <w:pPr>
        <w:ind w:left="6862" w:hanging="360"/>
      </w:pPr>
    </w:lvl>
    <w:lvl w:ilvl="8">
      <w:start w:val="1"/>
      <w:numFmt w:val="bullet"/>
      <w:suff w:val="space"/>
      <w:lvlText w:val="•"/>
      <w:lvlJc w:val="left"/>
      <w:pPr>
        <w:ind w:left="7777" w:hanging="360"/>
      </w:pPr>
    </w:lvl>
  </w:abstractNum>
  <w:abstractNum w:abstractNumId="5" w15:restartNumberingAfterBreak="0">
    <w:nsid w:val="085A11ED"/>
    <w:multiLevelType w:val="multilevel"/>
    <w:tmpl w:val="C6A88D90"/>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6" w15:restartNumberingAfterBreak="0">
    <w:nsid w:val="09424B86"/>
    <w:multiLevelType w:val="multilevel"/>
    <w:tmpl w:val="4D82D32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43" w:hanging="359"/>
      </w:pPr>
    </w:lvl>
    <w:lvl w:ilvl="2">
      <w:start w:val="1"/>
      <w:numFmt w:val="bullet"/>
      <w:suff w:val="space"/>
      <w:lvlText w:val="•"/>
      <w:lvlJc w:val="left"/>
      <w:pPr>
        <w:ind w:left="2225" w:hanging="360"/>
      </w:pPr>
    </w:lvl>
    <w:lvl w:ilvl="3">
      <w:start w:val="1"/>
      <w:numFmt w:val="bullet"/>
      <w:suff w:val="space"/>
      <w:lvlText w:val="•"/>
      <w:lvlJc w:val="left"/>
      <w:pPr>
        <w:ind w:left="3108" w:hanging="360"/>
      </w:pPr>
    </w:lvl>
    <w:lvl w:ilvl="4">
      <w:start w:val="1"/>
      <w:numFmt w:val="bullet"/>
      <w:suff w:val="space"/>
      <w:lvlText w:val="•"/>
      <w:lvlJc w:val="left"/>
      <w:pPr>
        <w:ind w:left="3990" w:hanging="360"/>
      </w:pPr>
    </w:lvl>
    <w:lvl w:ilvl="5">
      <w:start w:val="1"/>
      <w:numFmt w:val="bullet"/>
      <w:suff w:val="space"/>
      <w:lvlText w:val="•"/>
      <w:lvlJc w:val="left"/>
      <w:pPr>
        <w:ind w:left="4873" w:hanging="360"/>
      </w:pPr>
    </w:lvl>
    <w:lvl w:ilvl="6">
      <w:start w:val="1"/>
      <w:numFmt w:val="bullet"/>
      <w:suff w:val="space"/>
      <w:lvlText w:val="•"/>
      <w:lvlJc w:val="left"/>
      <w:pPr>
        <w:ind w:left="5756" w:hanging="360"/>
      </w:pPr>
    </w:lvl>
    <w:lvl w:ilvl="7">
      <w:start w:val="1"/>
      <w:numFmt w:val="bullet"/>
      <w:suff w:val="space"/>
      <w:lvlText w:val="•"/>
      <w:lvlJc w:val="left"/>
      <w:pPr>
        <w:ind w:left="6638" w:hanging="360"/>
      </w:pPr>
    </w:lvl>
    <w:lvl w:ilvl="8">
      <w:start w:val="1"/>
      <w:numFmt w:val="bullet"/>
      <w:suff w:val="space"/>
      <w:lvlText w:val="•"/>
      <w:lvlJc w:val="left"/>
      <w:pPr>
        <w:ind w:left="7521" w:hanging="360"/>
      </w:pPr>
    </w:lvl>
  </w:abstractNum>
  <w:abstractNum w:abstractNumId="7" w15:restartNumberingAfterBreak="0">
    <w:nsid w:val="0AED67DC"/>
    <w:multiLevelType w:val="multilevel"/>
    <w:tmpl w:val="66424D1C"/>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8" w15:restartNumberingAfterBreak="0">
    <w:nsid w:val="0B68542C"/>
    <w:multiLevelType w:val="multilevel"/>
    <w:tmpl w:val="C07E33E0"/>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9" w15:restartNumberingAfterBreak="0">
    <w:nsid w:val="0B7717C2"/>
    <w:multiLevelType w:val="multilevel"/>
    <w:tmpl w:val="3ED60320"/>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36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36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360"/>
      </w:pPr>
    </w:lvl>
  </w:abstractNum>
  <w:abstractNum w:abstractNumId="10" w15:restartNumberingAfterBreak="0">
    <w:nsid w:val="0CCD34E9"/>
    <w:multiLevelType w:val="multilevel"/>
    <w:tmpl w:val="1934211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11" w15:restartNumberingAfterBreak="0">
    <w:nsid w:val="0F3D562C"/>
    <w:multiLevelType w:val="multilevel"/>
    <w:tmpl w:val="1A42DA96"/>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12" w15:restartNumberingAfterBreak="0">
    <w:nsid w:val="105D787F"/>
    <w:multiLevelType w:val="multilevel"/>
    <w:tmpl w:val="0B283FCA"/>
    <w:lvl w:ilvl="0">
      <w:start w:val="1"/>
      <w:numFmt w:val="bullet"/>
      <w:suff w:val="space"/>
      <w:lvlText w:val=""/>
      <w:lvlJc w:val="left"/>
      <w:pPr>
        <w:ind w:left="720" w:hanging="360"/>
      </w:pPr>
      <w:rPr>
        <w:rFonts w:ascii="Symbol" w:hAnsi="Symbol" w:hint="default"/>
      </w:rPr>
    </w:lvl>
    <w:lvl w:ilvl="1">
      <w:start w:val="1"/>
      <w:numFmt w:val="bullet"/>
      <w:suff w:val="space"/>
      <w:lvlText w:val=""/>
      <w:lvlJc w:val="left"/>
      <w:pPr>
        <w:ind w:left="1440" w:hanging="360"/>
      </w:pPr>
      <w:rPr>
        <w:rFonts w:ascii="Symbol" w:hAnsi="Symbol" w:hint="default"/>
      </w:r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3" w15:restartNumberingAfterBreak="0">
    <w:nsid w:val="113B4851"/>
    <w:multiLevelType w:val="multilevel"/>
    <w:tmpl w:val="2FB2341A"/>
    <w:lvl w:ilvl="0">
      <w:start w:val="4"/>
      <w:numFmt w:val="decimal"/>
      <w:suff w:val="space"/>
      <w:lvlText w:val="%1"/>
      <w:lvlJc w:val="left"/>
      <w:pPr>
        <w:ind w:left="676" w:hanging="576"/>
      </w:pPr>
    </w:lvl>
    <w:lvl w:ilvl="1">
      <w:start w:val="1"/>
      <w:numFmt w:val="decimal"/>
      <w:suff w:val="space"/>
      <w:lvlText w:val="%1.%2"/>
      <w:lvlJc w:val="left"/>
      <w:pPr>
        <w:ind w:left="676" w:hanging="576"/>
      </w:pPr>
      <w:rPr>
        <w:rFonts w:ascii="Cambria" w:eastAsia="Cambria" w:hAnsi="Cambria" w:cs="Cambria"/>
        <w:b/>
        <w:color w:val="4F81BC"/>
        <w:sz w:val="26"/>
        <w:szCs w:val="26"/>
      </w:rPr>
    </w:lvl>
    <w:lvl w:ilvl="2">
      <w:start w:val="1"/>
      <w:numFmt w:val="decimal"/>
      <w:suff w:val="space"/>
      <w:lvlText w:val="%1.%2.%3"/>
      <w:lvlJc w:val="left"/>
      <w:pPr>
        <w:ind w:left="820" w:hanging="720"/>
      </w:pPr>
      <w:rPr>
        <w:rFonts w:ascii="Cambria" w:eastAsia="Cambria" w:hAnsi="Cambria" w:cs="Cambria"/>
        <w:b/>
        <w:color w:val="4F81BC"/>
        <w:sz w:val="22"/>
        <w:szCs w:val="22"/>
      </w:rPr>
    </w:lvl>
    <w:lvl w:ilvl="3">
      <w:start w:val="1"/>
      <w:numFmt w:val="bullet"/>
      <w:suff w:val="space"/>
      <w:lvlText w:val="•"/>
      <w:lvlJc w:val="left"/>
      <w:pPr>
        <w:ind w:left="2688" w:hanging="720"/>
      </w:pPr>
    </w:lvl>
    <w:lvl w:ilvl="4">
      <w:start w:val="1"/>
      <w:numFmt w:val="bullet"/>
      <w:suff w:val="space"/>
      <w:lvlText w:val="•"/>
      <w:lvlJc w:val="left"/>
      <w:pPr>
        <w:ind w:left="3622" w:hanging="720"/>
      </w:pPr>
    </w:lvl>
    <w:lvl w:ilvl="5">
      <w:start w:val="1"/>
      <w:numFmt w:val="bullet"/>
      <w:suff w:val="space"/>
      <w:lvlText w:val="•"/>
      <w:lvlJc w:val="left"/>
      <w:pPr>
        <w:ind w:left="4556" w:hanging="720"/>
      </w:pPr>
    </w:lvl>
    <w:lvl w:ilvl="6">
      <w:start w:val="1"/>
      <w:numFmt w:val="bullet"/>
      <w:suff w:val="space"/>
      <w:lvlText w:val="•"/>
      <w:lvlJc w:val="left"/>
      <w:pPr>
        <w:ind w:left="5490" w:hanging="720"/>
      </w:pPr>
    </w:lvl>
    <w:lvl w:ilvl="7">
      <w:start w:val="1"/>
      <w:numFmt w:val="bullet"/>
      <w:suff w:val="space"/>
      <w:lvlText w:val="•"/>
      <w:lvlJc w:val="left"/>
      <w:pPr>
        <w:ind w:left="6424" w:hanging="720"/>
      </w:pPr>
    </w:lvl>
    <w:lvl w:ilvl="8">
      <w:start w:val="1"/>
      <w:numFmt w:val="bullet"/>
      <w:suff w:val="space"/>
      <w:lvlText w:val="•"/>
      <w:lvlJc w:val="left"/>
      <w:pPr>
        <w:ind w:left="7358" w:hanging="720"/>
      </w:pPr>
    </w:lvl>
  </w:abstractNum>
  <w:abstractNum w:abstractNumId="14" w15:restartNumberingAfterBreak="0">
    <w:nsid w:val="13706741"/>
    <w:multiLevelType w:val="multilevel"/>
    <w:tmpl w:val="0E4CB460"/>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5" w:hanging="360"/>
      </w:pPr>
    </w:lvl>
    <w:lvl w:ilvl="2">
      <w:start w:val="1"/>
      <w:numFmt w:val="bullet"/>
      <w:suff w:val="space"/>
      <w:lvlText w:val="•"/>
      <w:lvlJc w:val="left"/>
      <w:pPr>
        <w:ind w:left="2209" w:hanging="360"/>
      </w:pPr>
    </w:lvl>
    <w:lvl w:ilvl="3">
      <w:start w:val="1"/>
      <w:numFmt w:val="bullet"/>
      <w:suff w:val="space"/>
      <w:lvlText w:val="•"/>
      <w:lvlJc w:val="left"/>
      <w:pPr>
        <w:ind w:left="3084" w:hanging="360"/>
      </w:pPr>
    </w:lvl>
    <w:lvl w:ilvl="4">
      <w:start w:val="1"/>
      <w:numFmt w:val="bullet"/>
      <w:suff w:val="space"/>
      <w:lvlText w:val="•"/>
      <w:lvlJc w:val="left"/>
      <w:pPr>
        <w:ind w:left="3958" w:hanging="360"/>
      </w:pPr>
    </w:lvl>
    <w:lvl w:ilvl="5">
      <w:start w:val="1"/>
      <w:numFmt w:val="bullet"/>
      <w:suff w:val="space"/>
      <w:lvlText w:val="•"/>
      <w:lvlJc w:val="left"/>
      <w:pPr>
        <w:ind w:left="4833" w:hanging="360"/>
      </w:pPr>
    </w:lvl>
    <w:lvl w:ilvl="6">
      <w:start w:val="1"/>
      <w:numFmt w:val="bullet"/>
      <w:suff w:val="space"/>
      <w:lvlText w:val="•"/>
      <w:lvlJc w:val="left"/>
      <w:pPr>
        <w:ind w:left="5708" w:hanging="360"/>
      </w:pPr>
    </w:lvl>
    <w:lvl w:ilvl="7">
      <w:start w:val="1"/>
      <w:numFmt w:val="bullet"/>
      <w:suff w:val="space"/>
      <w:lvlText w:val="•"/>
      <w:lvlJc w:val="left"/>
      <w:pPr>
        <w:ind w:left="6582" w:hanging="360"/>
      </w:pPr>
    </w:lvl>
    <w:lvl w:ilvl="8">
      <w:start w:val="1"/>
      <w:numFmt w:val="bullet"/>
      <w:suff w:val="space"/>
      <w:lvlText w:val="•"/>
      <w:lvlJc w:val="left"/>
      <w:pPr>
        <w:ind w:left="7457" w:hanging="360"/>
      </w:pPr>
    </w:lvl>
  </w:abstractNum>
  <w:abstractNum w:abstractNumId="15" w15:restartNumberingAfterBreak="0">
    <w:nsid w:val="146C3149"/>
    <w:multiLevelType w:val="multilevel"/>
    <w:tmpl w:val="D9122AB2"/>
    <w:lvl w:ilvl="0">
      <w:start w:val="1"/>
      <w:numFmt w:val="bullet"/>
      <w:suff w:val="space"/>
      <w:lvlText w:val="●"/>
      <w:lvlJc w:val="left"/>
      <w:pPr>
        <w:ind w:left="720" w:hanging="360"/>
      </w:pPr>
      <w:rPr>
        <w:u w:val="none"/>
      </w:rPr>
    </w:lvl>
    <w:lvl w:ilvl="1">
      <w:start w:val="1"/>
      <w:numFmt w:val="bullet"/>
      <w:suff w:val="space"/>
      <w:lvlText w:val="○"/>
      <w:lvlJc w:val="left"/>
      <w:pPr>
        <w:ind w:left="1440" w:hanging="360"/>
      </w:pPr>
      <w:rPr>
        <w:u w:val="none"/>
      </w:rPr>
    </w:lvl>
    <w:lvl w:ilvl="2">
      <w:start w:val="1"/>
      <w:numFmt w:val="bullet"/>
      <w:suff w:val="space"/>
      <w:lvlText w:val="■"/>
      <w:lvlJc w:val="left"/>
      <w:pPr>
        <w:ind w:left="2160" w:hanging="360"/>
      </w:pPr>
      <w:rPr>
        <w:u w:val="none"/>
      </w:rPr>
    </w:lvl>
    <w:lvl w:ilvl="3">
      <w:start w:val="1"/>
      <w:numFmt w:val="bullet"/>
      <w:suff w:val="space"/>
      <w:lvlText w:val="●"/>
      <w:lvlJc w:val="left"/>
      <w:pPr>
        <w:ind w:left="2880" w:hanging="360"/>
      </w:pPr>
      <w:rPr>
        <w:u w:val="none"/>
      </w:rPr>
    </w:lvl>
    <w:lvl w:ilvl="4">
      <w:start w:val="1"/>
      <w:numFmt w:val="bullet"/>
      <w:suff w:val="space"/>
      <w:lvlText w:val="○"/>
      <w:lvlJc w:val="left"/>
      <w:pPr>
        <w:ind w:left="3600" w:hanging="360"/>
      </w:pPr>
      <w:rPr>
        <w:u w:val="none"/>
      </w:rPr>
    </w:lvl>
    <w:lvl w:ilvl="5">
      <w:start w:val="1"/>
      <w:numFmt w:val="bullet"/>
      <w:suff w:val="space"/>
      <w:lvlText w:val="■"/>
      <w:lvlJc w:val="left"/>
      <w:pPr>
        <w:ind w:left="4320" w:hanging="360"/>
      </w:pPr>
      <w:rPr>
        <w:u w:val="none"/>
      </w:rPr>
    </w:lvl>
    <w:lvl w:ilvl="6">
      <w:start w:val="1"/>
      <w:numFmt w:val="bullet"/>
      <w:suff w:val="space"/>
      <w:lvlText w:val="●"/>
      <w:lvlJc w:val="left"/>
      <w:pPr>
        <w:ind w:left="5040" w:hanging="360"/>
      </w:pPr>
      <w:rPr>
        <w:u w:val="none"/>
      </w:rPr>
    </w:lvl>
    <w:lvl w:ilvl="7">
      <w:start w:val="1"/>
      <w:numFmt w:val="bullet"/>
      <w:suff w:val="space"/>
      <w:lvlText w:val="○"/>
      <w:lvlJc w:val="left"/>
      <w:pPr>
        <w:ind w:left="5760" w:hanging="360"/>
      </w:pPr>
      <w:rPr>
        <w:u w:val="none"/>
      </w:rPr>
    </w:lvl>
    <w:lvl w:ilvl="8">
      <w:start w:val="1"/>
      <w:numFmt w:val="bullet"/>
      <w:suff w:val="space"/>
      <w:lvlText w:val="■"/>
      <w:lvlJc w:val="left"/>
      <w:pPr>
        <w:ind w:left="6480" w:hanging="360"/>
      </w:pPr>
      <w:rPr>
        <w:u w:val="none"/>
      </w:rPr>
    </w:lvl>
  </w:abstractNum>
  <w:abstractNum w:abstractNumId="16" w15:restartNumberingAfterBreak="0">
    <w:nsid w:val="14E25B9E"/>
    <w:multiLevelType w:val="multilevel"/>
    <w:tmpl w:val="1F206564"/>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17" w15:restartNumberingAfterBreak="0">
    <w:nsid w:val="15311B9E"/>
    <w:multiLevelType w:val="multilevel"/>
    <w:tmpl w:val="62DC17D4"/>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18" w15:restartNumberingAfterBreak="0">
    <w:nsid w:val="16404E27"/>
    <w:multiLevelType w:val="multilevel"/>
    <w:tmpl w:val="E63635A2"/>
    <w:lvl w:ilvl="0">
      <w:start w:val="6"/>
      <w:numFmt w:val="decimal"/>
      <w:suff w:val="space"/>
      <w:lvlText w:val="%1"/>
      <w:lvlJc w:val="left"/>
      <w:pPr>
        <w:ind w:left="676" w:hanging="576"/>
      </w:pPr>
    </w:lvl>
    <w:lvl w:ilvl="1">
      <w:start w:val="5"/>
      <w:numFmt w:val="decimal"/>
      <w:suff w:val="space"/>
      <w:lvlText w:val="%1.%2"/>
      <w:lvlJc w:val="left"/>
      <w:pPr>
        <w:ind w:left="676" w:hanging="576"/>
      </w:pPr>
      <w:rPr>
        <w:rFonts w:ascii="Cambria" w:eastAsia="Cambria" w:hAnsi="Cambria" w:cs="Cambria"/>
        <w:b/>
        <w:color w:val="4F81BC"/>
        <w:sz w:val="26"/>
        <w:szCs w:val="26"/>
      </w:rPr>
    </w:lvl>
    <w:lvl w:ilvl="2">
      <w:start w:val="1"/>
      <w:numFmt w:val="bullet"/>
      <w:suff w:val="space"/>
      <w:lvlText w:val="•"/>
      <w:lvlJc w:val="left"/>
      <w:pPr>
        <w:ind w:left="2386" w:hanging="576"/>
      </w:pPr>
    </w:lvl>
    <w:lvl w:ilvl="3">
      <w:start w:val="1"/>
      <w:numFmt w:val="bullet"/>
      <w:suff w:val="space"/>
      <w:lvlText w:val="•"/>
      <w:lvlJc w:val="left"/>
      <w:pPr>
        <w:ind w:left="3241" w:hanging="576"/>
      </w:pPr>
    </w:lvl>
    <w:lvl w:ilvl="4">
      <w:start w:val="1"/>
      <w:numFmt w:val="bullet"/>
      <w:suff w:val="space"/>
      <w:lvlText w:val="•"/>
      <w:lvlJc w:val="left"/>
      <w:pPr>
        <w:ind w:left="4096" w:hanging="576"/>
      </w:pPr>
    </w:lvl>
    <w:lvl w:ilvl="5">
      <w:start w:val="1"/>
      <w:numFmt w:val="bullet"/>
      <w:suff w:val="space"/>
      <w:lvlText w:val="•"/>
      <w:lvlJc w:val="left"/>
      <w:pPr>
        <w:ind w:left="4951" w:hanging="576"/>
      </w:pPr>
    </w:lvl>
    <w:lvl w:ilvl="6">
      <w:start w:val="1"/>
      <w:numFmt w:val="bullet"/>
      <w:suff w:val="space"/>
      <w:lvlText w:val="•"/>
      <w:lvlJc w:val="left"/>
      <w:pPr>
        <w:ind w:left="5806" w:hanging="576"/>
      </w:pPr>
    </w:lvl>
    <w:lvl w:ilvl="7">
      <w:start w:val="1"/>
      <w:numFmt w:val="bullet"/>
      <w:suff w:val="space"/>
      <w:lvlText w:val="•"/>
      <w:lvlJc w:val="left"/>
      <w:pPr>
        <w:ind w:left="6661" w:hanging="576"/>
      </w:pPr>
    </w:lvl>
    <w:lvl w:ilvl="8">
      <w:start w:val="1"/>
      <w:numFmt w:val="bullet"/>
      <w:suff w:val="space"/>
      <w:lvlText w:val="•"/>
      <w:lvlJc w:val="left"/>
      <w:pPr>
        <w:ind w:left="7516" w:hanging="576"/>
      </w:pPr>
    </w:lvl>
  </w:abstractNum>
  <w:abstractNum w:abstractNumId="19" w15:restartNumberingAfterBreak="0">
    <w:nsid w:val="165C7920"/>
    <w:multiLevelType w:val="multilevel"/>
    <w:tmpl w:val="47DC4ABE"/>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0" w15:restartNumberingAfterBreak="0">
    <w:nsid w:val="16B546F2"/>
    <w:multiLevelType w:val="multilevel"/>
    <w:tmpl w:val="CB003A98"/>
    <w:lvl w:ilvl="0">
      <w:start w:val="1"/>
      <w:numFmt w:val="decimal"/>
      <w:suff w:val="space"/>
      <w:lvlText w:val="%10.1"/>
      <w:lvlJc w:val="left"/>
      <w:pPr>
        <w:ind w:left="820" w:hanging="360"/>
      </w:pPr>
      <w:rPr>
        <w:rFonts w:ascii="Cambria" w:eastAsia="Cambria" w:hAnsi="Cambria" w:cs="Cambria" w:hint="default"/>
        <w:b/>
        <w:color w:val="4F81BC"/>
        <w:sz w:val="26"/>
        <w:szCs w:val="26"/>
      </w:rPr>
    </w:lvl>
    <w:lvl w:ilvl="1">
      <w:start w:val="1"/>
      <w:numFmt w:val="lowerLetter"/>
      <w:suff w:val="space"/>
      <w:lvlText w:val="%2."/>
      <w:lvlJc w:val="left"/>
      <w:pPr>
        <w:ind w:left="1540" w:hanging="360"/>
      </w:pPr>
    </w:lvl>
    <w:lvl w:ilvl="2">
      <w:start w:val="1"/>
      <w:numFmt w:val="lowerRoman"/>
      <w:suff w:val="space"/>
      <w:lvlText w:val="%3."/>
      <w:lvlJc w:val="right"/>
      <w:pPr>
        <w:ind w:left="2260" w:hanging="180"/>
      </w:pPr>
    </w:lvl>
    <w:lvl w:ilvl="3">
      <w:start w:val="1"/>
      <w:numFmt w:val="decimal"/>
      <w:suff w:val="space"/>
      <w:lvlText w:val="%4."/>
      <w:lvlJc w:val="left"/>
      <w:pPr>
        <w:ind w:left="2980" w:hanging="360"/>
      </w:pPr>
    </w:lvl>
    <w:lvl w:ilvl="4">
      <w:start w:val="1"/>
      <w:numFmt w:val="lowerLetter"/>
      <w:suff w:val="space"/>
      <w:lvlText w:val="%5."/>
      <w:lvlJc w:val="left"/>
      <w:pPr>
        <w:ind w:left="3700" w:hanging="360"/>
      </w:pPr>
    </w:lvl>
    <w:lvl w:ilvl="5">
      <w:start w:val="1"/>
      <w:numFmt w:val="lowerRoman"/>
      <w:suff w:val="space"/>
      <w:lvlText w:val="%6."/>
      <w:lvlJc w:val="right"/>
      <w:pPr>
        <w:ind w:left="4420" w:hanging="180"/>
      </w:pPr>
    </w:lvl>
    <w:lvl w:ilvl="6">
      <w:start w:val="1"/>
      <w:numFmt w:val="decimal"/>
      <w:suff w:val="space"/>
      <w:lvlText w:val="%7."/>
      <w:lvlJc w:val="left"/>
      <w:pPr>
        <w:ind w:left="5140" w:hanging="360"/>
      </w:pPr>
    </w:lvl>
    <w:lvl w:ilvl="7">
      <w:start w:val="1"/>
      <w:numFmt w:val="lowerLetter"/>
      <w:suff w:val="space"/>
      <w:lvlText w:val="%8."/>
      <w:lvlJc w:val="left"/>
      <w:pPr>
        <w:ind w:left="5860" w:hanging="360"/>
      </w:pPr>
    </w:lvl>
    <w:lvl w:ilvl="8">
      <w:start w:val="1"/>
      <w:numFmt w:val="lowerRoman"/>
      <w:suff w:val="space"/>
      <w:lvlText w:val="%9."/>
      <w:lvlJc w:val="right"/>
      <w:pPr>
        <w:ind w:left="6580" w:hanging="180"/>
      </w:pPr>
    </w:lvl>
  </w:abstractNum>
  <w:abstractNum w:abstractNumId="21" w15:restartNumberingAfterBreak="0">
    <w:nsid w:val="1777628B"/>
    <w:multiLevelType w:val="multilevel"/>
    <w:tmpl w:val="870666C8"/>
    <w:lvl w:ilvl="0">
      <w:start w:val="1"/>
      <w:numFmt w:val="decimal"/>
      <w:suff w:val="space"/>
      <w:lvlText w:val="%1."/>
      <w:lvlJc w:val="left"/>
      <w:pPr>
        <w:tabs>
          <w:tab w:val="num" w:pos="720"/>
        </w:tabs>
        <w:ind w:left="720" w:hanging="360"/>
      </w:pPr>
    </w:lvl>
    <w:lvl w:ilvl="1">
      <w:start w:val="1"/>
      <w:numFmt w:val="decimal"/>
      <w:suff w:val="space"/>
      <w:lvlText w:val="%2."/>
      <w:lvlJc w:val="left"/>
      <w:pPr>
        <w:tabs>
          <w:tab w:val="num" w:pos="1440"/>
        </w:tabs>
        <w:ind w:left="1440" w:hanging="360"/>
      </w:pPr>
    </w:lvl>
    <w:lvl w:ilvl="2">
      <w:start w:val="1"/>
      <w:numFmt w:val="decimal"/>
      <w:suff w:val="space"/>
      <w:lvlText w:val="%3."/>
      <w:lvlJc w:val="left"/>
      <w:pPr>
        <w:tabs>
          <w:tab w:val="num" w:pos="2160"/>
        </w:tabs>
        <w:ind w:left="2160" w:hanging="360"/>
      </w:pPr>
    </w:lvl>
    <w:lvl w:ilvl="3">
      <w:start w:val="1"/>
      <w:numFmt w:val="decimal"/>
      <w:suff w:val="space"/>
      <w:lvlText w:val="%4."/>
      <w:lvlJc w:val="left"/>
      <w:pPr>
        <w:tabs>
          <w:tab w:val="num" w:pos="2880"/>
        </w:tabs>
        <w:ind w:left="2880" w:hanging="360"/>
      </w:pPr>
    </w:lvl>
    <w:lvl w:ilvl="4">
      <w:start w:val="1"/>
      <w:numFmt w:val="decimal"/>
      <w:suff w:val="space"/>
      <w:lvlText w:val="%5."/>
      <w:lvlJc w:val="left"/>
      <w:pPr>
        <w:tabs>
          <w:tab w:val="num" w:pos="3600"/>
        </w:tabs>
        <w:ind w:left="3600" w:hanging="360"/>
      </w:pPr>
    </w:lvl>
    <w:lvl w:ilvl="5">
      <w:start w:val="1"/>
      <w:numFmt w:val="decimal"/>
      <w:suff w:val="space"/>
      <w:lvlText w:val="%6."/>
      <w:lvlJc w:val="left"/>
      <w:pPr>
        <w:tabs>
          <w:tab w:val="num" w:pos="4320"/>
        </w:tabs>
        <w:ind w:left="4320" w:hanging="360"/>
      </w:pPr>
    </w:lvl>
    <w:lvl w:ilvl="6">
      <w:start w:val="1"/>
      <w:numFmt w:val="decimal"/>
      <w:suff w:val="space"/>
      <w:lvlText w:val="%7."/>
      <w:lvlJc w:val="left"/>
      <w:pPr>
        <w:tabs>
          <w:tab w:val="num" w:pos="5040"/>
        </w:tabs>
        <w:ind w:left="5040" w:hanging="360"/>
      </w:pPr>
    </w:lvl>
    <w:lvl w:ilvl="7">
      <w:start w:val="1"/>
      <w:numFmt w:val="decimal"/>
      <w:suff w:val="space"/>
      <w:lvlText w:val="%8."/>
      <w:lvlJc w:val="left"/>
      <w:pPr>
        <w:tabs>
          <w:tab w:val="num" w:pos="5760"/>
        </w:tabs>
        <w:ind w:left="5760" w:hanging="360"/>
      </w:pPr>
    </w:lvl>
    <w:lvl w:ilvl="8">
      <w:start w:val="1"/>
      <w:numFmt w:val="decimal"/>
      <w:suff w:val="space"/>
      <w:lvlText w:val="%9."/>
      <w:lvlJc w:val="left"/>
      <w:pPr>
        <w:tabs>
          <w:tab w:val="num" w:pos="6480"/>
        </w:tabs>
        <w:ind w:left="6480" w:hanging="360"/>
      </w:pPr>
    </w:lvl>
  </w:abstractNum>
  <w:abstractNum w:abstractNumId="22" w15:restartNumberingAfterBreak="0">
    <w:nsid w:val="1951712F"/>
    <w:multiLevelType w:val="multilevel"/>
    <w:tmpl w:val="C6BCD67C"/>
    <w:lvl w:ilvl="0">
      <w:start w:val="1"/>
      <w:numFmt w:val="bullet"/>
      <w:suff w:val="space"/>
      <w:lvlText w:val="•"/>
      <w:lvlJc w:val="left"/>
      <w:pPr>
        <w:ind w:left="1797" w:hanging="360"/>
      </w:pPr>
    </w:lvl>
    <w:lvl w:ilvl="1">
      <w:start w:val="1"/>
      <w:numFmt w:val="bullet"/>
      <w:suff w:val="space"/>
      <w:lvlText w:val="o"/>
      <w:lvlJc w:val="left"/>
      <w:pPr>
        <w:ind w:left="1900" w:hanging="360"/>
      </w:pPr>
      <w:rPr>
        <w:rFonts w:ascii="Courier New" w:eastAsia="Courier New" w:hAnsi="Courier New" w:cs="Courier New"/>
      </w:rPr>
    </w:lvl>
    <w:lvl w:ilvl="2">
      <w:start w:val="1"/>
      <w:numFmt w:val="bullet"/>
      <w:suff w:val="space"/>
      <w:lvlText w:val="▪"/>
      <w:lvlJc w:val="left"/>
      <w:pPr>
        <w:ind w:left="2620" w:hanging="360"/>
      </w:pPr>
      <w:rPr>
        <w:rFonts w:ascii="Noto Sans Symbols" w:eastAsia="Noto Sans Symbols" w:hAnsi="Noto Sans Symbols" w:cs="Noto Sans Symbols"/>
      </w:rPr>
    </w:lvl>
    <w:lvl w:ilvl="3">
      <w:start w:val="1"/>
      <w:numFmt w:val="bullet"/>
      <w:suff w:val="space"/>
      <w:lvlText w:val="●"/>
      <w:lvlJc w:val="left"/>
      <w:pPr>
        <w:ind w:left="3340" w:hanging="360"/>
      </w:pPr>
      <w:rPr>
        <w:rFonts w:ascii="Noto Sans Symbols" w:eastAsia="Noto Sans Symbols" w:hAnsi="Noto Sans Symbols" w:cs="Noto Sans Symbols"/>
      </w:rPr>
    </w:lvl>
    <w:lvl w:ilvl="4">
      <w:start w:val="1"/>
      <w:numFmt w:val="bullet"/>
      <w:suff w:val="space"/>
      <w:lvlText w:val="o"/>
      <w:lvlJc w:val="left"/>
      <w:pPr>
        <w:ind w:left="4060" w:hanging="360"/>
      </w:pPr>
      <w:rPr>
        <w:rFonts w:ascii="Courier New" w:eastAsia="Courier New" w:hAnsi="Courier New" w:cs="Courier New"/>
      </w:rPr>
    </w:lvl>
    <w:lvl w:ilvl="5">
      <w:start w:val="1"/>
      <w:numFmt w:val="bullet"/>
      <w:suff w:val="space"/>
      <w:lvlText w:val="▪"/>
      <w:lvlJc w:val="left"/>
      <w:pPr>
        <w:ind w:left="4780" w:hanging="360"/>
      </w:pPr>
      <w:rPr>
        <w:rFonts w:ascii="Noto Sans Symbols" w:eastAsia="Noto Sans Symbols" w:hAnsi="Noto Sans Symbols" w:cs="Noto Sans Symbols"/>
      </w:rPr>
    </w:lvl>
    <w:lvl w:ilvl="6">
      <w:start w:val="1"/>
      <w:numFmt w:val="bullet"/>
      <w:suff w:val="space"/>
      <w:lvlText w:val="●"/>
      <w:lvlJc w:val="left"/>
      <w:pPr>
        <w:ind w:left="5500" w:hanging="360"/>
      </w:pPr>
      <w:rPr>
        <w:rFonts w:ascii="Noto Sans Symbols" w:eastAsia="Noto Sans Symbols" w:hAnsi="Noto Sans Symbols" w:cs="Noto Sans Symbols"/>
      </w:rPr>
    </w:lvl>
    <w:lvl w:ilvl="7">
      <w:start w:val="1"/>
      <w:numFmt w:val="bullet"/>
      <w:suff w:val="space"/>
      <w:lvlText w:val="o"/>
      <w:lvlJc w:val="left"/>
      <w:pPr>
        <w:ind w:left="6220" w:hanging="360"/>
      </w:pPr>
      <w:rPr>
        <w:rFonts w:ascii="Courier New" w:eastAsia="Courier New" w:hAnsi="Courier New" w:cs="Courier New"/>
      </w:rPr>
    </w:lvl>
    <w:lvl w:ilvl="8">
      <w:start w:val="1"/>
      <w:numFmt w:val="bullet"/>
      <w:suff w:val="space"/>
      <w:lvlText w:val="▪"/>
      <w:lvlJc w:val="left"/>
      <w:pPr>
        <w:ind w:left="6940" w:hanging="360"/>
      </w:pPr>
      <w:rPr>
        <w:rFonts w:ascii="Noto Sans Symbols" w:eastAsia="Noto Sans Symbols" w:hAnsi="Noto Sans Symbols" w:cs="Noto Sans Symbols"/>
      </w:rPr>
    </w:lvl>
  </w:abstractNum>
  <w:abstractNum w:abstractNumId="23" w15:restartNumberingAfterBreak="0">
    <w:nsid w:val="1A416DC1"/>
    <w:multiLevelType w:val="multilevel"/>
    <w:tmpl w:val="9ABA5192"/>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18" w:hanging="358"/>
      </w:pPr>
      <w:rPr>
        <w:rFonts w:ascii="Calibri" w:eastAsia="Calibri" w:hAnsi="Calibri" w:cs="Calibri"/>
        <w:sz w:val="22"/>
        <w:szCs w:val="22"/>
      </w:rPr>
    </w:lvl>
    <w:lvl w:ilvl="2">
      <w:start w:val="1"/>
      <w:numFmt w:val="bullet"/>
      <w:suff w:val="space"/>
      <w:lvlText w:val="•"/>
      <w:lvlJc w:val="left"/>
      <w:pPr>
        <w:ind w:left="1750" w:hanging="358"/>
      </w:pPr>
    </w:lvl>
    <w:lvl w:ilvl="3">
      <w:start w:val="1"/>
      <w:numFmt w:val="bullet"/>
      <w:suff w:val="space"/>
      <w:lvlText w:val="•"/>
      <w:lvlJc w:val="left"/>
      <w:pPr>
        <w:ind w:left="2682" w:hanging="358"/>
      </w:pPr>
    </w:lvl>
    <w:lvl w:ilvl="4">
      <w:start w:val="1"/>
      <w:numFmt w:val="bullet"/>
      <w:suff w:val="space"/>
      <w:lvlText w:val="•"/>
      <w:lvlJc w:val="left"/>
      <w:pPr>
        <w:ind w:left="3614" w:hanging="358"/>
      </w:pPr>
    </w:lvl>
    <w:lvl w:ilvl="5">
      <w:start w:val="1"/>
      <w:numFmt w:val="bullet"/>
      <w:suff w:val="space"/>
      <w:lvlText w:val="•"/>
      <w:lvlJc w:val="left"/>
      <w:pPr>
        <w:ind w:left="4546" w:hanging="358"/>
      </w:pPr>
    </w:lvl>
    <w:lvl w:ilvl="6">
      <w:start w:val="1"/>
      <w:numFmt w:val="bullet"/>
      <w:suff w:val="space"/>
      <w:lvlText w:val="•"/>
      <w:lvlJc w:val="left"/>
      <w:pPr>
        <w:ind w:left="5478" w:hanging="358"/>
      </w:pPr>
    </w:lvl>
    <w:lvl w:ilvl="7">
      <w:start w:val="1"/>
      <w:numFmt w:val="bullet"/>
      <w:suff w:val="space"/>
      <w:lvlText w:val="•"/>
      <w:lvlJc w:val="left"/>
      <w:pPr>
        <w:ind w:left="6410" w:hanging="358"/>
      </w:pPr>
    </w:lvl>
    <w:lvl w:ilvl="8">
      <w:start w:val="1"/>
      <w:numFmt w:val="bullet"/>
      <w:suff w:val="space"/>
      <w:lvlText w:val="•"/>
      <w:lvlJc w:val="left"/>
      <w:pPr>
        <w:ind w:left="7342" w:hanging="357"/>
      </w:pPr>
    </w:lvl>
  </w:abstractNum>
  <w:abstractNum w:abstractNumId="24" w15:restartNumberingAfterBreak="0">
    <w:nsid w:val="1B2E6AF9"/>
    <w:multiLevelType w:val="multilevel"/>
    <w:tmpl w:val="566865DA"/>
    <w:lvl w:ilvl="0">
      <w:start w:val="1"/>
      <w:numFmt w:val="decimal"/>
      <w:suff w:val="space"/>
      <w:lvlText w:val="%14.2"/>
      <w:lvlJc w:val="left"/>
      <w:pPr>
        <w:ind w:left="920" w:hanging="360"/>
      </w:pPr>
      <w:rPr>
        <w:rFonts w:ascii="Cambria" w:eastAsia="Cambria" w:hAnsi="Cambria" w:cs="Cambria" w:hint="default"/>
        <w:b/>
        <w:color w:val="4F81BC"/>
        <w:sz w:val="26"/>
        <w:szCs w:val="26"/>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5" w15:restartNumberingAfterBreak="0">
    <w:nsid w:val="1BAD784A"/>
    <w:multiLevelType w:val="multilevel"/>
    <w:tmpl w:val="FF04FA4C"/>
    <w:lvl w:ilvl="0">
      <w:start w:val="11"/>
      <w:numFmt w:val="decimal"/>
      <w:suff w:val="space"/>
      <w:lvlText w:val="%1"/>
      <w:lvlJc w:val="left"/>
      <w:pPr>
        <w:ind w:left="676" w:hanging="576"/>
      </w:pPr>
    </w:lvl>
    <w:lvl w:ilvl="1">
      <w:start w:val="1"/>
      <w:numFmt w:val="decimal"/>
      <w:suff w:val="space"/>
      <w:lvlText w:val="%20.3"/>
      <w:lvlJc w:val="left"/>
      <w:pPr>
        <w:ind w:left="820" w:hanging="360"/>
      </w:pPr>
      <w:rPr>
        <w:rFonts w:ascii="Cambria" w:eastAsia="Cambria" w:hAnsi="Cambria" w:cs="Cambria" w:hint="default"/>
        <w:b/>
        <w:color w:val="4F81BC"/>
        <w:sz w:val="26"/>
        <w:szCs w:val="26"/>
      </w:rPr>
    </w:lvl>
    <w:lvl w:ilvl="2">
      <w:start w:val="1"/>
      <w:numFmt w:val="bullet"/>
      <w:suff w:val="space"/>
      <w:lvlText w:val="•"/>
      <w:lvlJc w:val="left"/>
      <w:pPr>
        <w:ind w:left="2386" w:hanging="576"/>
      </w:pPr>
    </w:lvl>
    <w:lvl w:ilvl="3">
      <w:start w:val="1"/>
      <w:numFmt w:val="bullet"/>
      <w:suff w:val="space"/>
      <w:lvlText w:val="•"/>
      <w:lvlJc w:val="left"/>
      <w:pPr>
        <w:ind w:left="3241" w:hanging="576"/>
      </w:pPr>
    </w:lvl>
    <w:lvl w:ilvl="4">
      <w:start w:val="1"/>
      <w:numFmt w:val="bullet"/>
      <w:suff w:val="space"/>
      <w:lvlText w:val="•"/>
      <w:lvlJc w:val="left"/>
      <w:pPr>
        <w:ind w:left="4096" w:hanging="576"/>
      </w:pPr>
    </w:lvl>
    <w:lvl w:ilvl="5">
      <w:start w:val="1"/>
      <w:numFmt w:val="bullet"/>
      <w:suff w:val="space"/>
      <w:lvlText w:val="•"/>
      <w:lvlJc w:val="left"/>
      <w:pPr>
        <w:ind w:left="4951" w:hanging="576"/>
      </w:pPr>
    </w:lvl>
    <w:lvl w:ilvl="6">
      <w:start w:val="1"/>
      <w:numFmt w:val="bullet"/>
      <w:suff w:val="space"/>
      <w:lvlText w:val="•"/>
      <w:lvlJc w:val="left"/>
      <w:pPr>
        <w:ind w:left="5806" w:hanging="576"/>
      </w:pPr>
    </w:lvl>
    <w:lvl w:ilvl="7">
      <w:start w:val="1"/>
      <w:numFmt w:val="bullet"/>
      <w:suff w:val="space"/>
      <w:lvlText w:val="•"/>
      <w:lvlJc w:val="left"/>
      <w:pPr>
        <w:ind w:left="6661" w:hanging="576"/>
      </w:pPr>
    </w:lvl>
    <w:lvl w:ilvl="8">
      <w:start w:val="1"/>
      <w:numFmt w:val="bullet"/>
      <w:suff w:val="space"/>
      <w:lvlText w:val="•"/>
      <w:lvlJc w:val="left"/>
      <w:pPr>
        <w:ind w:left="7516" w:hanging="576"/>
      </w:pPr>
    </w:lvl>
  </w:abstractNum>
  <w:abstractNum w:abstractNumId="26" w15:restartNumberingAfterBreak="0">
    <w:nsid w:val="1E072DEB"/>
    <w:multiLevelType w:val="multilevel"/>
    <w:tmpl w:val="B92C3FA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decimal"/>
      <w:suff w:val="space"/>
      <w:lvlText w:val="%2."/>
      <w:lvlJc w:val="left"/>
      <w:pPr>
        <w:ind w:left="1375" w:hanging="360"/>
      </w:pPr>
    </w:lvl>
    <w:lvl w:ilvl="2">
      <w:start w:val="1"/>
      <w:numFmt w:val="bullet"/>
      <w:suff w:val="space"/>
      <w:lvlText w:val="•"/>
      <w:lvlJc w:val="left"/>
      <w:pPr>
        <w:ind w:left="2289" w:hanging="360"/>
      </w:pPr>
    </w:lvl>
    <w:lvl w:ilvl="3">
      <w:start w:val="1"/>
      <w:numFmt w:val="bullet"/>
      <w:suff w:val="space"/>
      <w:lvlText w:val="•"/>
      <w:lvlJc w:val="left"/>
      <w:pPr>
        <w:ind w:left="3204" w:hanging="360"/>
      </w:pPr>
    </w:lvl>
    <w:lvl w:ilvl="4">
      <w:start w:val="1"/>
      <w:numFmt w:val="bullet"/>
      <w:suff w:val="space"/>
      <w:lvlText w:val="•"/>
      <w:lvlJc w:val="left"/>
      <w:pPr>
        <w:ind w:left="4118" w:hanging="360"/>
      </w:pPr>
    </w:lvl>
    <w:lvl w:ilvl="5">
      <w:start w:val="1"/>
      <w:numFmt w:val="bullet"/>
      <w:suff w:val="space"/>
      <w:lvlText w:val="•"/>
      <w:lvlJc w:val="left"/>
      <w:pPr>
        <w:ind w:left="5033" w:hanging="360"/>
      </w:pPr>
    </w:lvl>
    <w:lvl w:ilvl="6">
      <w:start w:val="1"/>
      <w:numFmt w:val="bullet"/>
      <w:suff w:val="space"/>
      <w:lvlText w:val="•"/>
      <w:lvlJc w:val="left"/>
      <w:pPr>
        <w:ind w:left="5948" w:hanging="360"/>
      </w:pPr>
    </w:lvl>
    <w:lvl w:ilvl="7">
      <w:start w:val="1"/>
      <w:numFmt w:val="bullet"/>
      <w:suff w:val="space"/>
      <w:lvlText w:val="•"/>
      <w:lvlJc w:val="left"/>
      <w:pPr>
        <w:ind w:left="6862" w:hanging="360"/>
      </w:pPr>
    </w:lvl>
    <w:lvl w:ilvl="8">
      <w:start w:val="1"/>
      <w:numFmt w:val="bullet"/>
      <w:suff w:val="space"/>
      <w:lvlText w:val="•"/>
      <w:lvlJc w:val="left"/>
      <w:pPr>
        <w:ind w:left="7777" w:hanging="360"/>
      </w:pPr>
    </w:lvl>
  </w:abstractNum>
  <w:abstractNum w:abstractNumId="27" w15:restartNumberingAfterBreak="0">
    <w:nsid w:val="2011570F"/>
    <w:multiLevelType w:val="multilevel"/>
    <w:tmpl w:val="456A75EE"/>
    <w:lvl w:ilvl="0">
      <w:start w:val="1"/>
      <w:numFmt w:val="decimal"/>
      <w:suff w:val="space"/>
      <w:lvlText w:val="%10.2"/>
      <w:lvlJc w:val="left"/>
      <w:pPr>
        <w:ind w:left="820" w:hanging="360"/>
      </w:pPr>
      <w:rPr>
        <w:rFonts w:ascii="Cambria" w:eastAsia="Cambria" w:hAnsi="Cambria" w:cs="Cambria" w:hint="default"/>
        <w:b/>
        <w:color w:val="4F81BC"/>
        <w:sz w:val="26"/>
        <w:szCs w:val="26"/>
      </w:rPr>
    </w:lvl>
    <w:lvl w:ilvl="1">
      <w:start w:val="1"/>
      <w:numFmt w:val="lowerLetter"/>
      <w:suff w:val="space"/>
      <w:lvlText w:val="%2."/>
      <w:lvlJc w:val="left"/>
      <w:pPr>
        <w:ind w:left="1540" w:hanging="360"/>
      </w:pPr>
    </w:lvl>
    <w:lvl w:ilvl="2">
      <w:start w:val="1"/>
      <w:numFmt w:val="lowerRoman"/>
      <w:suff w:val="space"/>
      <w:lvlText w:val="%3."/>
      <w:lvlJc w:val="right"/>
      <w:pPr>
        <w:ind w:left="2260" w:hanging="180"/>
      </w:pPr>
    </w:lvl>
    <w:lvl w:ilvl="3">
      <w:start w:val="1"/>
      <w:numFmt w:val="decimal"/>
      <w:suff w:val="space"/>
      <w:lvlText w:val="%4."/>
      <w:lvlJc w:val="left"/>
      <w:pPr>
        <w:ind w:left="2980" w:hanging="360"/>
      </w:pPr>
    </w:lvl>
    <w:lvl w:ilvl="4">
      <w:start w:val="1"/>
      <w:numFmt w:val="lowerLetter"/>
      <w:suff w:val="space"/>
      <w:lvlText w:val="%5."/>
      <w:lvlJc w:val="left"/>
      <w:pPr>
        <w:ind w:left="3700" w:hanging="360"/>
      </w:pPr>
    </w:lvl>
    <w:lvl w:ilvl="5">
      <w:start w:val="1"/>
      <w:numFmt w:val="lowerRoman"/>
      <w:suff w:val="space"/>
      <w:lvlText w:val="%6."/>
      <w:lvlJc w:val="right"/>
      <w:pPr>
        <w:ind w:left="4420" w:hanging="180"/>
      </w:pPr>
    </w:lvl>
    <w:lvl w:ilvl="6">
      <w:start w:val="1"/>
      <w:numFmt w:val="decimal"/>
      <w:suff w:val="space"/>
      <w:lvlText w:val="%7."/>
      <w:lvlJc w:val="left"/>
      <w:pPr>
        <w:ind w:left="5140" w:hanging="360"/>
      </w:pPr>
    </w:lvl>
    <w:lvl w:ilvl="7">
      <w:start w:val="1"/>
      <w:numFmt w:val="lowerLetter"/>
      <w:suff w:val="space"/>
      <w:lvlText w:val="%8."/>
      <w:lvlJc w:val="left"/>
      <w:pPr>
        <w:ind w:left="5860" w:hanging="360"/>
      </w:pPr>
    </w:lvl>
    <w:lvl w:ilvl="8">
      <w:start w:val="1"/>
      <w:numFmt w:val="lowerRoman"/>
      <w:suff w:val="space"/>
      <w:lvlText w:val="%9."/>
      <w:lvlJc w:val="right"/>
      <w:pPr>
        <w:ind w:left="6580" w:hanging="180"/>
      </w:pPr>
    </w:lvl>
  </w:abstractNum>
  <w:abstractNum w:abstractNumId="28" w15:restartNumberingAfterBreak="0">
    <w:nsid w:val="20C02805"/>
    <w:multiLevelType w:val="multilevel"/>
    <w:tmpl w:val="E5581FE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29" w15:restartNumberingAfterBreak="0">
    <w:nsid w:val="217B1CF1"/>
    <w:multiLevelType w:val="multilevel"/>
    <w:tmpl w:val="E5B4E202"/>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30" w15:restartNumberingAfterBreak="0">
    <w:nsid w:val="21D10E32"/>
    <w:multiLevelType w:val="multilevel"/>
    <w:tmpl w:val="ABD0DC3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Noto Sans Symbols" w:eastAsia="Noto Sans Symbols" w:hAnsi="Noto Sans Symbols" w:cs="Noto Sans Symbols"/>
        <w:sz w:val="22"/>
        <w:szCs w:val="22"/>
      </w:rPr>
    </w:lvl>
    <w:lvl w:ilvl="2">
      <w:start w:val="1"/>
      <w:numFmt w:val="bullet"/>
      <w:suff w:val="space"/>
      <w:lvlText w:val="•"/>
      <w:lvlJc w:val="left"/>
      <w:pPr>
        <w:ind w:left="1756" w:hanging="360"/>
      </w:pPr>
    </w:lvl>
    <w:lvl w:ilvl="3">
      <w:start w:val="1"/>
      <w:numFmt w:val="bullet"/>
      <w:suff w:val="space"/>
      <w:lvlText w:val="•"/>
      <w:lvlJc w:val="left"/>
      <w:pPr>
        <w:ind w:left="2692" w:hanging="360"/>
      </w:pPr>
    </w:lvl>
    <w:lvl w:ilvl="4">
      <w:start w:val="1"/>
      <w:numFmt w:val="bullet"/>
      <w:suff w:val="space"/>
      <w:lvlText w:val="•"/>
      <w:lvlJc w:val="left"/>
      <w:pPr>
        <w:ind w:left="3629" w:hanging="360"/>
      </w:pPr>
    </w:lvl>
    <w:lvl w:ilvl="5">
      <w:start w:val="1"/>
      <w:numFmt w:val="bullet"/>
      <w:suff w:val="space"/>
      <w:lvlText w:val="•"/>
      <w:lvlJc w:val="left"/>
      <w:pPr>
        <w:ind w:left="4565" w:hanging="360"/>
      </w:pPr>
    </w:lvl>
    <w:lvl w:ilvl="6">
      <w:start w:val="1"/>
      <w:numFmt w:val="bullet"/>
      <w:suff w:val="space"/>
      <w:lvlText w:val="•"/>
      <w:lvlJc w:val="left"/>
      <w:pPr>
        <w:ind w:left="5501" w:hanging="360"/>
      </w:pPr>
    </w:lvl>
    <w:lvl w:ilvl="7">
      <w:start w:val="1"/>
      <w:numFmt w:val="bullet"/>
      <w:suff w:val="space"/>
      <w:lvlText w:val="•"/>
      <w:lvlJc w:val="left"/>
      <w:pPr>
        <w:ind w:left="6437" w:hanging="360"/>
      </w:pPr>
    </w:lvl>
    <w:lvl w:ilvl="8">
      <w:start w:val="1"/>
      <w:numFmt w:val="bullet"/>
      <w:suff w:val="space"/>
      <w:lvlText w:val="•"/>
      <w:lvlJc w:val="left"/>
      <w:pPr>
        <w:ind w:left="7373" w:hanging="360"/>
      </w:pPr>
    </w:lvl>
  </w:abstractNum>
  <w:abstractNum w:abstractNumId="31" w15:restartNumberingAfterBreak="0">
    <w:nsid w:val="248D6131"/>
    <w:multiLevelType w:val="multilevel"/>
    <w:tmpl w:val="AC7CB84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5" w:hanging="360"/>
      </w:pPr>
    </w:lvl>
    <w:lvl w:ilvl="2">
      <w:start w:val="1"/>
      <w:numFmt w:val="bullet"/>
      <w:suff w:val="space"/>
      <w:lvlText w:val="•"/>
      <w:lvlJc w:val="left"/>
      <w:pPr>
        <w:ind w:left="2209" w:hanging="360"/>
      </w:pPr>
    </w:lvl>
    <w:lvl w:ilvl="3">
      <w:start w:val="1"/>
      <w:numFmt w:val="bullet"/>
      <w:suff w:val="space"/>
      <w:lvlText w:val="•"/>
      <w:lvlJc w:val="left"/>
      <w:pPr>
        <w:ind w:left="3084" w:hanging="360"/>
      </w:pPr>
    </w:lvl>
    <w:lvl w:ilvl="4">
      <w:start w:val="1"/>
      <w:numFmt w:val="bullet"/>
      <w:suff w:val="space"/>
      <w:lvlText w:val="•"/>
      <w:lvlJc w:val="left"/>
      <w:pPr>
        <w:ind w:left="3958" w:hanging="360"/>
      </w:pPr>
    </w:lvl>
    <w:lvl w:ilvl="5">
      <w:start w:val="1"/>
      <w:numFmt w:val="bullet"/>
      <w:suff w:val="space"/>
      <w:lvlText w:val="•"/>
      <w:lvlJc w:val="left"/>
      <w:pPr>
        <w:ind w:left="4833" w:hanging="360"/>
      </w:pPr>
    </w:lvl>
    <w:lvl w:ilvl="6">
      <w:start w:val="1"/>
      <w:numFmt w:val="bullet"/>
      <w:suff w:val="space"/>
      <w:lvlText w:val="•"/>
      <w:lvlJc w:val="left"/>
      <w:pPr>
        <w:ind w:left="5708" w:hanging="360"/>
      </w:pPr>
    </w:lvl>
    <w:lvl w:ilvl="7">
      <w:start w:val="1"/>
      <w:numFmt w:val="bullet"/>
      <w:suff w:val="space"/>
      <w:lvlText w:val="•"/>
      <w:lvlJc w:val="left"/>
      <w:pPr>
        <w:ind w:left="6582" w:hanging="360"/>
      </w:pPr>
    </w:lvl>
    <w:lvl w:ilvl="8">
      <w:start w:val="1"/>
      <w:numFmt w:val="bullet"/>
      <w:suff w:val="space"/>
      <w:lvlText w:val="•"/>
      <w:lvlJc w:val="left"/>
      <w:pPr>
        <w:ind w:left="7457" w:hanging="360"/>
      </w:pPr>
    </w:lvl>
  </w:abstractNum>
  <w:abstractNum w:abstractNumId="32" w15:restartNumberingAfterBreak="0">
    <w:nsid w:val="26A00729"/>
    <w:multiLevelType w:val="multilevel"/>
    <w:tmpl w:val="ACA27442"/>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3" w15:restartNumberingAfterBreak="0">
    <w:nsid w:val="27D54C58"/>
    <w:multiLevelType w:val="multilevel"/>
    <w:tmpl w:val="31920BBC"/>
    <w:lvl w:ilvl="0">
      <w:start w:val="5"/>
      <w:numFmt w:val="decimal"/>
      <w:suff w:val="space"/>
      <w:lvlText w:val="%1"/>
      <w:lvlJc w:val="left"/>
      <w:pPr>
        <w:ind w:left="676" w:hanging="576"/>
      </w:pPr>
    </w:lvl>
    <w:lvl w:ilvl="1">
      <w:start w:val="1"/>
      <w:numFmt w:val="decimal"/>
      <w:suff w:val="space"/>
      <w:lvlText w:val="%1.%2"/>
      <w:lvlJc w:val="left"/>
      <w:pPr>
        <w:ind w:left="676" w:hanging="576"/>
      </w:pPr>
      <w:rPr>
        <w:rFonts w:ascii="Cambria" w:eastAsia="Cambria" w:hAnsi="Cambria" w:cs="Cambria"/>
        <w:b/>
        <w:color w:val="4F81BC"/>
        <w:sz w:val="26"/>
        <w:szCs w:val="26"/>
      </w:rPr>
    </w:lvl>
    <w:lvl w:ilvl="2">
      <w:start w:val="1"/>
      <w:numFmt w:val="bullet"/>
      <w:suff w:val="space"/>
      <w:lvlText w:val="•"/>
      <w:lvlJc w:val="left"/>
      <w:pPr>
        <w:ind w:left="2386" w:hanging="576"/>
      </w:pPr>
    </w:lvl>
    <w:lvl w:ilvl="3">
      <w:start w:val="1"/>
      <w:numFmt w:val="bullet"/>
      <w:suff w:val="space"/>
      <w:lvlText w:val="•"/>
      <w:lvlJc w:val="left"/>
      <w:pPr>
        <w:ind w:left="3241" w:hanging="576"/>
      </w:pPr>
    </w:lvl>
    <w:lvl w:ilvl="4">
      <w:start w:val="1"/>
      <w:numFmt w:val="bullet"/>
      <w:suff w:val="space"/>
      <w:lvlText w:val="•"/>
      <w:lvlJc w:val="left"/>
      <w:pPr>
        <w:ind w:left="4096" w:hanging="576"/>
      </w:pPr>
    </w:lvl>
    <w:lvl w:ilvl="5">
      <w:start w:val="1"/>
      <w:numFmt w:val="bullet"/>
      <w:suff w:val="space"/>
      <w:lvlText w:val="•"/>
      <w:lvlJc w:val="left"/>
      <w:pPr>
        <w:ind w:left="4951" w:hanging="576"/>
      </w:pPr>
    </w:lvl>
    <w:lvl w:ilvl="6">
      <w:start w:val="1"/>
      <w:numFmt w:val="bullet"/>
      <w:suff w:val="space"/>
      <w:lvlText w:val="•"/>
      <w:lvlJc w:val="left"/>
      <w:pPr>
        <w:ind w:left="5806" w:hanging="576"/>
      </w:pPr>
    </w:lvl>
    <w:lvl w:ilvl="7">
      <w:start w:val="1"/>
      <w:numFmt w:val="bullet"/>
      <w:suff w:val="space"/>
      <w:lvlText w:val="•"/>
      <w:lvlJc w:val="left"/>
      <w:pPr>
        <w:ind w:left="6661" w:hanging="576"/>
      </w:pPr>
    </w:lvl>
    <w:lvl w:ilvl="8">
      <w:start w:val="1"/>
      <w:numFmt w:val="bullet"/>
      <w:suff w:val="space"/>
      <w:lvlText w:val="•"/>
      <w:lvlJc w:val="left"/>
      <w:pPr>
        <w:ind w:left="7516" w:hanging="576"/>
      </w:pPr>
    </w:lvl>
  </w:abstractNum>
  <w:abstractNum w:abstractNumId="34" w15:restartNumberingAfterBreak="0">
    <w:nsid w:val="2B0E0481"/>
    <w:multiLevelType w:val="multilevel"/>
    <w:tmpl w:val="EB04B062"/>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36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36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360"/>
      </w:pPr>
    </w:lvl>
  </w:abstractNum>
  <w:abstractNum w:abstractNumId="35" w15:restartNumberingAfterBreak="0">
    <w:nsid w:val="2EC27497"/>
    <w:multiLevelType w:val="multilevel"/>
    <w:tmpl w:val="38186116"/>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36" w15:restartNumberingAfterBreak="0">
    <w:nsid w:val="31BA60B8"/>
    <w:multiLevelType w:val="multilevel"/>
    <w:tmpl w:val="81D66B9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Noto Sans Symbols" w:eastAsia="Noto Sans Symbols" w:hAnsi="Noto Sans Symbols" w:cs="Noto Sans Symbols"/>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37" w15:restartNumberingAfterBreak="0">
    <w:nsid w:val="32E527DE"/>
    <w:multiLevelType w:val="multilevel"/>
    <w:tmpl w:val="6C46435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5" w:hanging="360"/>
      </w:pPr>
    </w:lvl>
    <w:lvl w:ilvl="2">
      <w:start w:val="1"/>
      <w:numFmt w:val="bullet"/>
      <w:suff w:val="space"/>
      <w:lvlText w:val="•"/>
      <w:lvlJc w:val="left"/>
      <w:pPr>
        <w:ind w:left="2209" w:hanging="360"/>
      </w:pPr>
    </w:lvl>
    <w:lvl w:ilvl="3">
      <w:start w:val="1"/>
      <w:numFmt w:val="bullet"/>
      <w:suff w:val="space"/>
      <w:lvlText w:val="•"/>
      <w:lvlJc w:val="left"/>
      <w:pPr>
        <w:ind w:left="3084" w:hanging="360"/>
      </w:pPr>
    </w:lvl>
    <w:lvl w:ilvl="4">
      <w:start w:val="1"/>
      <w:numFmt w:val="bullet"/>
      <w:suff w:val="space"/>
      <w:lvlText w:val="•"/>
      <w:lvlJc w:val="left"/>
      <w:pPr>
        <w:ind w:left="3958" w:hanging="360"/>
      </w:pPr>
    </w:lvl>
    <w:lvl w:ilvl="5">
      <w:start w:val="1"/>
      <w:numFmt w:val="bullet"/>
      <w:suff w:val="space"/>
      <w:lvlText w:val="•"/>
      <w:lvlJc w:val="left"/>
      <w:pPr>
        <w:ind w:left="4833" w:hanging="360"/>
      </w:pPr>
    </w:lvl>
    <w:lvl w:ilvl="6">
      <w:start w:val="1"/>
      <w:numFmt w:val="bullet"/>
      <w:suff w:val="space"/>
      <w:lvlText w:val="•"/>
      <w:lvlJc w:val="left"/>
      <w:pPr>
        <w:ind w:left="5708" w:hanging="360"/>
      </w:pPr>
    </w:lvl>
    <w:lvl w:ilvl="7">
      <w:start w:val="1"/>
      <w:numFmt w:val="bullet"/>
      <w:suff w:val="space"/>
      <w:lvlText w:val="•"/>
      <w:lvlJc w:val="left"/>
      <w:pPr>
        <w:ind w:left="6582" w:hanging="360"/>
      </w:pPr>
    </w:lvl>
    <w:lvl w:ilvl="8">
      <w:start w:val="1"/>
      <w:numFmt w:val="bullet"/>
      <w:suff w:val="space"/>
      <w:lvlText w:val="•"/>
      <w:lvlJc w:val="left"/>
      <w:pPr>
        <w:ind w:left="7457" w:hanging="360"/>
      </w:pPr>
    </w:lvl>
  </w:abstractNum>
  <w:abstractNum w:abstractNumId="38" w15:restartNumberingAfterBreak="0">
    <w:nsid w:val="34BC51D5"/>
    <w:multiLevelType w:val="multilevel"/>
    <w:tmpl w:val="5F22169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Noto Sans Symbols" w:eastAsia="Noto Sans Symbols" w:hAnsi="Noto Sans Symbols" w:cs="Noto Sans Symbols"/>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39" w15:restartNumberingAfterBreak="0">
    <w:nsid w:val="36B340B5"/>
    <w:multiLevelType w:val="multilevel"/>
    <w:tmpl w:val="1CE86AF6"/>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9" w:hanging="360"/>
      </w:pPr>
    </w:lvl>
    <w:lvl w:ilvl="2">
      <w:start w:val="1"/>
      <w:numFmt w:val="bullet"/>
      <w:suff w:val="space"/>
      <w:lvlText w:val="•"/>
      <w:lvlJc w:val="left"/>
      <w:pPr>
        <w:ind w:left="2217" w:hanging="360"/>
      </w:pPr>
    </w:lvl>
    <w:lvl w:ilvl="3">
      <w:start w:val="1"/>
      <w:numFmt w:val="bullet"/>
      <w:suff w:val="space"/>
      <w:lvlText w:val="•"/>
      <w:lvlJc w:val="left"/>
      <w:pPr>
        <w:ind w:left="3096" w:hanging="360"/>
      </w:pPr>
    </w:lvl>
    <w:lvl w:ilvl="4">
      <w:start w:val="1"/>
      <w:numFmt w:val="bullet"/>
      <w:suff w:val="space"/>
      <w:lvlText w:val="•"/>
      <w:lvlJc w:val="left"/>
      <w:pPr>
        <w:ind w:left="3974" w:hanging="360"/>
      </w:pPr>
    </w:lvl>
    <w:lvl w:ilvl="5">
      <w:start w:val="1"/>
      <w:numFmt w:val="bullet"/>
      <w:suff w:val="space"/>
      <w:lvlText w:val="•"/>
      <w:lvlJc w:val="left"/>
      <w:pPr>
        <w:ind w:left="4853" w:hanging="360"/>
      </w:pPr>
    </w:lvl>
    <w:lvl w:ilvl="6">
      <w:start w:val="1"/>
      <w:numFmt w:val="bullet"/>
      <w:suff w:val="space"/>
      <w:lvlText w:val="•"/>
      <w:lvlJc w:val="left"/>
      <w:pPr>
        <w:ind w:left="5732" w:hanging="360"/>
      </w:pPr>
    </w:lvl>
    <w:lvl w:ilvl="7">
      <w:start w:val="1"/>
      <w:numFmt w:val="bullet"/>
      <w:suff w:val="space"/>
      <w:lvlText w:val="•"/>
      <w:lvlJc w:val="left"/>
      <w:pPr>
        <w:ind w:left="6610" w:hanging="360"/>
      </w:pPr>
    </w:lvl>
    <w:lvl w:ilvl="8">
      <w:start w:val="1"/>
      <w:numFmt w:val="bullet"/>
      <w:suff w:val="space"/>
      <w:lvlText w:val="•"/>
      <w:lvlJc w:val="left"/>
      <w:pPr>
        <w:ind w:left="7489" w:hanging="360"/>
      </w:pPr>
    </w:lvl>
  </w:abstractNum>
  <w:abstractNum w:abstractNumId="40" w15:restartNumberingAfterBreak="0">
    <w:nsid w:val="37EA3BFF"/>
    <w:multiLevelType w:val="multilevel"/>
    <w:tmpl w:val="AF7CDA16"/>
    <w:lvl w:ilvl="0">
      <w:start w:val="17"/>
      <w:numFmt w:val="decimal"/>
      <w:suff w:val="space"/>
      <w:lvlText w:val="%1"/>
      <w:lvlJc w:val="left"/>
      <w:pPr>
        <w:ind w:left="676" w:hanging="576"/>
      </w:pPr>
    </w:lvl>
    <w:lvl w:ilvl="1">
      <w:start w:val="1"/>
      <w:numFmt w:val="decimal"/>
      <w:suff w:val="space"/>
      <w:lvlText w:val="15.%2"/>
      <w:lvlJc w:val="left"/>
      <w:pPr>
        <w:ind w:left="936" w:hanging="576"/>
      </w:pPr>
      <w:rPr>
        <w:rFonts w:ascii="Cambria" w:eastAsia="Cambria" w:hAnsi="Cambria" w:cs="Cambria" w:hint="default"/>
        <w:b/>
        <w:color w:val="4F81BC"/>
        <w:sz w:val="26"/>
        <w:szCs w:val="26"/>
      </w:rPr>
    </w:lvl>
    <w:lvl w:ilvl="2">
      <w:start w:val="1"/>
      <w:numFmt w:val="bullet"/>
      <w:suff w:val="space"/>
      <w:lvlText w:val="•"/>
      <w:lvlJc w:val="left"/>
      <w:pPr>
        <w:ind w:left="2382" w:hanging="576"/>
      </w:pPr>
    </w:lvl>
    <w:lvl w:ilvl="3">
      <w:start w:val="1"/>
      <w:numFmt w:val="bullet"/>
      <w:suff w:val="space"/>
      <w:lvlText w:val="•"/>
      <w:lvlJc w:val="left"/>
      <w:pPr>
        <w:ind w:left="3235" w:hanging="576"/>
      </w:pPr>
    </w:lvl>
    <w:lvl w:ilvl="4">
      <w:start w:val="1"/>
      <w:numFmt w:val="bullet"/>
      <w:suff w:val="space"/>
      <w:lvlText w:val="•"/>
      <w:lvlJc w:val="left"/>
      <w:pPr>
        <w:ind w:left="4088" w:hanging="576"/>
      </w:pPr>
    </w:lvl>
    <w:lvl w:ilvl="5">
      <w:start w:val="1"/>
      <w:numFmt w:val="bullet"/>
      <w:suff w:val="space"/>
      <w:lvlText w:val="•"/>
      <w:lvlJc w:val="left"/>
      <w:pPr>
        <w:ind w:left="4941" w:hanging="576"/>
      </w:pPr>
    </w:lvl>
    <w:lvl w:ilvl="6">
      <w:start w:val="1"/>
      <w:numFmt w:val="bullet"/>
      <w:suff w:val="space"/>
      <w:lvlText w:val="•"/>
      <w:lvlJc w:val="left"/>
      <w:pPr>
        <w:ind w:left="5794" w:hanging="576"/>
      </w:pPr>
    </w:lvl>
    <w:lvl w:ilvl="7">
      <w:start w:val="1"/>
      <w:numFmt w:val="bullet"/>
      <w:suff w:val="space"/>
      <w:lvlText w:val="•"/>
      <w:lvlJc w:val="left"/>
      <w:pPr>
        <w:ind w:left="6647" w:hanging="576"/>
      </w:pPr>
    </w:lvl>
    <w:lvl w:ilvl="8">
      <w:start w:val="1"/>
      <w:numFmt w:val="bullet"/>
      <w:suff w:val="space"/>
      <w:lvlText w:val="•"/>
      <w:lvlJc w:val="left"/>
      <w:pPr>
        <w:ind w:left="7500" w:hanging="576"/>
      </w:pPr>
    </w:lvl>
  </w:abstractNum>
  <w:abstractNum w:abstractNumId="41" w15:restartNumberingAfterBreak="0">
    <w:nsid w:val="387652C1"/>
    <w:multiLevelType w:val="multilevel"/>
    <w:tmpl w:val="EB48D854"/>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42" w15:restartNumberingAfterBreak="0">
    <w:nsid w:val="3A191854"/>
    <w:multiLevelType w:val="multilevel"/>
    <w:tmpl w:val="FADA479C"/>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43" w15:restartNumberingAfterBreak="0">
    <w:nsid w:val="3C2D48BB"/>
    <w:multiLevelType w:val="multilevel"/>
    <w:tmpl w:val="D1F4FA60"/>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44" w15:restartNumberingAfterBreak="0">
    <w:nsid w:val="414818D5"/>
    <w:multiLevelType w:val="multilevel"/>
    <w:tmpl w:val="9E4C6AC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Noto Sans Symbols" w:eastAsia="Noto Sans Symbols" w:hAnsi="Noto Sans Symbols" w:cs="Noto Sans Symbols"/>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45" w15:restartNumberingAfterBreak="0">
    <w:nsid w:val="41CD2023"/>
    <w:multiLevelType w:val="multilevel"/>
    <w:tmpl w:val="41BE94BC"/>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46" w15:restartNumberingAfterBreak="0">
    <w:nsid w:val="428658FB"/>
    <w:multiLevelType w:val="multilevel"/>
    <w:tmpl w:val="AE0C8382"/>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36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36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360"/>
      </w:pPr>
    </w:lvl>
  </w:abstractNum>
  <w:abstractNum w:abstractNumId="47" w15:restartNumberingAfterBreak="0">
    <w:nsid w:val="42F456E3"/>
    <w:multiLevelType w:val="multilevel"/>
    <w:tmpl w:val="0A46909E"/>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color w:val="000000"/>
        <w:sz w:val="22"/>
        <w:szCs w:val="22"/>
      </w:rPr>
    </w:lvl>
    <w:lvl w:ilvl="2">
      <w:start w:val="1"/>
      <w:numFmt w:val="bullet"/>
      <w:suff w:val="space"/>
      <w:lvlText w:val="•"/>
      <w:lvlJc w:val="left"/>
      <w:pPr>
        <w:ind w:left="1752" w:hanging="360"/>
      </w:pPr>
    </w:lvl>
    <w:lvl w:ilvl="3">
      <w:start w:val="1"/>
      <w:numFmt w:val="bullet"/>
      <w:suff w:val="space"/>
      <w:lvlText w:val="•"/>
      <w:lvlJc w:val="left"/>
      <w:pPr>
        <w:ind w:left="2683" w:hanging="360"/>
      </w:pPr>
    </w:lvl>
    <w:lvl w:ilvl="4">
      <w:start w:val="1"/>
      <w:numFmt w:val="bullet"/>
      <w:suff w:val="space"/>
      <w:lvlText w:val="•"/>
      <w:lvlJc w:val="left"/>
      <w:pPr>
        <w:ind w:left="3615" w:hanging="360"/>
      </w:pPr>
    </w:lvl>
    <w:lvl w:ilvl="5">
      <w:start w:val="1"/>
      <w:numFmt w:val="bullet"/>
      <w:suff w:val="space"/>
      <w:lvlText w:val="•"/>
      <w:lvlJc w:val="left"/>
      <w:pPr>
        <w:ind w:left="4547" w:hanging="360"/>
      </w:pPr>
    </w:lvl>
    <w:lvl w:ilvl="6">
      <w:start w:val="1"/>
      <w:numFmt w:val="bullet"/>
      <w:suff w:val="space"/>
      <w:lvlText w:val="•"/>
      <w:lvlJc w:val="left"/>
      <w:pPr>
        <w:ind w:left="5479" w:hanging="360"/>
      </w:pPr>
    </w:lvl>
    <w:lvl w:ilvl="7">
      <w:start w:val="1"/>
      <w:numFmt w:val="bullet"/>
      <w:suff w:val="space"/>
      <w:lvlText w:val="•"/>
      <w:lvlJc w:val="left"/>
      <w:pPr>
        <w:ind w:left="6411" w:hanging="360"/>
      </w:pPr>
    </w:lvl>
    <w:lvl w:ilvl="8">
      <w:start w:val="1"/>
      <w:numFmt w:val="bullet"/>
      <w:suff w:val="space"/>
      <w:lvlText w:val="•"/>
      <w:lvlJc w:val="left"/>
      <w:pPr>
        <w:ind w:left="7342" w:hanging="360"/>
      </w:pPr>
    </w:lvl>
  </w:abstractNum>
  <w:abstractNum w:abstractNumId="48" w15:restartNumberingAfterBreak="0">
    <w:nsid w:val="4471570B"/>
    <w:multiLevelType w:val="multilevel"/>
    <w:tmpl w:val="0554CF1E"/>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36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36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360"/>
      </w:pPr>
    </w:lvl>
  </w:abstractNum>
  <w:abstractNum w:abstractNumId="49" w15:restartNumberingAfterBreak="0">
    <w:nsid w:val="45C842A8"/>
    <w:multiLevelType w:val="multilevel"/>
    <w:tmpl w:val="C2EA3D66"/>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50" w15:restartNumberingAfterBreak="0">
    <w:nsid w:val="46224EDC"/>
    <w:multiLevelType w:val="multilevel"/>
    <w:tmpl w:val="0F7C56C6"/>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
      <w:lvlJc w:val="left"/>
      <w:pPr>
        <w:ind w:left="1440" w:hanging="360"/>
      </w:pPr>
      <w:rPr>
        <w:rFonts w:ascii="Arial" w:eastAsia="Arial" w:hAnsi="Arial" w:cs="Arial"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51" w15:restartNumberingAfterBreak="0">
    <w:nsid w:val="482C7D5E"/>
    <w:multiLevelType w:val="multilevel"/>
    <w:tmpl w:val="C66254A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52" w15:restartNumberingAfterBreak="0">
    <w:nsid w:val="48DB2CE7"/>
    <w:multiLevelType w:val="multilevel"/>
    <w:tmpl w:val="D0FCEFA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53" w15:restartNumberingAfterBreak="0">
    <w:nsid w:val="493A7C4F"/>
    <w:multiLevelType w:val="multilevel"/>
    <w:tmpl w:val="621A11A6"/>
    <w:lvl w:ilvl="0">
      <w:start w:val="10"/>
      <w:numFmt w:val="decimal"/>
      <w:suff w:val="space"/>
      <w:lvlText w:val="%1"/>
      <w:lvlJc w:val="left"/>
      <w:pPr>
        <w:ind w:left="676" w:hanging="576"/>
      </w:pPr>
    </w:lvl>
    <w:lvl w:ilvl="1">
      <w:start w:val="1"/>
      <w:numFmt w:val="decimal"/>
      <w:suff w:val="space"/>
      <w:lvlText w:val="9.%2"/>
      <w:lvlJc w:val="left"/>
      <w:pPr>
        <w:ind w:left="720" w:hanging="360"/>
      </w:pPr>
      <w:rPr>
        <w:rFonts w:ascii="Cambria" w:eastAsia="Cambria" w:hAnsi="Cambria" w:cs="Cambria" w:hint="default"/>
        <w:b/>
        <w:color w:val="4F81BC"/>
        <w:sz w:val="26"/>
        <w:szCs w:val="26"/>
      </w:rPr>
    </w:lvl>
    <w:lvl w:ilvl="2">
      <w:start w:val="1"/>
      <w:numFmt w:val="bullet"/>
      <w:suff w:val="space"/>
      <w:lvlText w:val="•"/>
      <w:lvlJc w:val="left"/>
      <w:pPr>
        <w:ind w:left="2386" w:hanging="576"/>
      </w:pPr>
    </w:lvl>
    <w:lvl w:ilvl="3">
      <w:start w:val="1"/>
      <w:numFmt w:val="bullet"/>
      <w:suff w:val="space"/>
      <w:lvlText w:val="•"/>
      <w:lvlJc w:val="left"/>
      <w:pPr>
        <w:ind w:left="3241" w:hanging="576"/>
      </w:pPr>
    </w:lvl>
    <w:lvl w:ilvl="4">
      <w:start w:val="1"/>
      <w:numFmt w:val="bullet"/>
      <w:suff w:val="space"/>
      <w:lvlText w:val="•"/>
      <w:lvlJc w:val="left"/>
      <w:pPr>
        <w:ind w:left="4096" w:hanging="576"/>
      </w:pPr>
    </w:lvl>
    <w:lvl w:ilvl="5">
      <w:start w:val="1"/>
      <w:numFmt w:val="bullet"/>
      <w:suff w:val="space"/>
      <w:lvlText w:val="•"/>
      <w:lvlJc w:val="left"/>
      <w:pPr>
        <w:ind w:left="4951" w:hanging="576"/>
      </w:pPr>
    </w:lvl>
    <w:lvl w:ilvl="6">
      <w:start w:val="1"/>
      <w:numFmt w:val="bullet"/>
      <w:suff w:val="space"/>
      <w:lvlText w:val="•"/>
      <w:lvlJc w:val="left"/>
      <w:pPr>
        <w:ind w:left="5806" w:hanging="576"/>
      </w:pPr>
    </w:lvl>
    <w:lvl w:ilvl="7">
      <w:start w:val="1"/>
      <w:numFmt w:val="bullet"/>
      <w:suff w:val="space"/>
      <w:lvlText w:val="•"/>
      <w:lvlJc w:val="left"/>
      <w:pPr>
        <w:ind w:left="6661" w:hanging="576"/>
      </w:pPr>
    </w:lvl>
    <w:lvl w:ilvl="8">
      <w:start w:val="1"/>
      <w:numFmt w:val="bullet"/>
      <w:suff w:val="space"/>
      <w:lvlText w:val="•"/>
      <w:lvlJc w:val="left"/>
      <w:pPr>
        <w:ind w:left="7516" w:hanging="576"/>
      </w:pPr>
    </w:lvl>
  </w:abstractNum>
  <w:abstractNum w:abstractNumId="54" w15:restartNumberingAfterBreak="0">
    <w:nsid w:val="4A5D20D7"/>
    <w:multiLevelType w:val="multilevel"/>
    <w:tmpl w:val="26E0D76E"/>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Noto Sans Symbols" w:eastAsia="Noto Sans Symbols" w:hAnsi="Noto Sans Symbols" w:cs="Noto Sans Symbols"/>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55" w15:restartNumberingAfterBreak="0">
    <w:nsid w:val="4A747CC3"/>
    <w:multiLevelType w:val="multilevel"/>
    <w:tmpl w:val="38FA3CB0"/>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56" w15:restartNumberingAfterBreak="0">
    <w:nsid w:val="4BF41F3B"/>
    <w:multiLevelType w:val="multilevel"/>
    <w:tmpl w:val="A530CEC4"/>
    <w:lvl w:ilvl="0">
      <w:start w:val="1"/>
      <w:numFmt w:val="decimal"/>
      <w:suff w:val="space"/>
      <w:lvlText w:val="%14.1"/>
      <w:lvlJc w:val="left"/>
      <w:pPr>
        <w:ind w:left="920" w:hanging="360"/>
      </w:pPr>
      <w:rPr>
        <w:rFonts w:ascii="Cambria" w:eastAsia="Cambria" w:hAnsi="Cambria" w:cs="Cambria" w:hint="default"/>
        <w:b/>
        <w:color w:val="4F81BC"/>
        <w:sz w:val="26"/>
        <w:szCs w:val="26"/>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57" w15:restartNumberingAfterBreak="0">
    <w:nsid w:val="4DFA2F64"/>
    <w:multiLevelType w:val="multilevel"/>
    <w:tmpl w:val="7AB4C8C2"/>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58" w15:restartNumberingAfterBreak="0">
    <w:nsid w:val="4F886BDF"/>
    <w:multiLevelType w:val="multilevel"/>
    <w:tmpl w:val="37FE8FD4"/>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3" w:hanging="359"/>
      </w:pPr>
    </w:lvl>
    <w:lvl w:ilvl="2">
      <w:start w:val="1"/>
      <w:numFmt w:val="bullet"/>
      <w:suff w:val="space"/>
      <w:lvlText w:val="•"/>
      <w:lvlJc w:val="left"/>
      <w:pPr>
        <w:ind w:left="2205" w:hanging="360"/>
      </w:pPr>
    </w:lvl>
    <w:lvl w:ilvl="3">
      <w:start w:val="1"/>
      <w:numFmt w:val="bullet"/>
      <w:suff w:val="space"/>
      <w:lvlText w:val="•"/>
      <w:lvlJc w:val="left"/>
      <w:pPr>
        <w:ind w:left="3078" w:hanging="360"/>
      </w:pPr>
    </w:lvl>
    <w:lvl w:ilvl="4">
      <w:start w:val="1"/>
      <w:numFmt w:val="bullet"/>
      <w:suff w:val="space"/>
      <w:lvlText w:val="•"/>
      <w:lvlJc w:val="left"/>
      <w:pPr>
        <w:ind w:left="3950" w:hanging="360"/>
      </w:pPr>
    </w:lvl>
    <w:lvl w:ilvl="5">
      <w:start w:val="1"/>
      <w:numFmt w:val="bullet"/>
      <w:suff w:val="space"/>
      <w:lvlText w:val="•"/>
      <w:lvlJc w:val="left"/>
      <w:pPr>
        <w:ind w:left="4823" w:hanging="360"/>
      </w:pPr>
    </w:lvl>
    <w:lvl w:ilvl="6">
      <w:start w:val="1"/>
      <w:numFmt w:val="bullet"/>
      <w:suff w:val="space"/>
      <w:lvlText w:val="•"/>
      <w:lvlJc w:val="left"/>
      <w:pPr>
        <w:ind w:left="5696" w:hanging="360"/>
      </w:pPr>
    </w:lvl>
    <w:lvl w:ilvl="7">
      <w:start w:val="1"/>
      <w:numFmt w:val="bullet"/>
      <w:suff w:val="space"/>
      <w:lvlText w:val="•"/>
      <w:lvlJc w:val="left"/>
      <w:pPr>
        <w:ind w:left="6568" w:hanging="360"/>
      </w:pPr>
    </w:lvl>
    <w:lvl w:ilvl="8">
      <w:start w:val="1"/>
      <w:numFmt w:val="bullet"/>
      <w:suff w:val="space"/>
      <w:lvlText w:val="•"/>
      <w:lvlJc w:val="left"/>
      <w:pPr>
        <w:ind w:left="7441" w:hanging="360"/>
      </w:pPr>
    </w:lvl>
  </w:abstractNum>
  <w:abstractNum w:abstractNumId="59" w15:restartNumberingAfterBreak="0">
    <w:nsid w:val="4F9C4A2D"/>
    <w:multiLevelType w:val="multilevel"/>
    <w:tmpl w:val="C5888262"/>
    <w:lvl w:ilvl="0">
      <w:start w:val="1"/>
      <w:numFmt w:val="lowerLetter"/>
      <w:suff w:val="space"/>
      <w:lvlText w:val="%1."/>
      <w:lvlJc w:val="left"/>
      <w:pPr>
        <w:ind w:left="0" w:firstLine="0"/>
      </w:pPr>
      <w:rPr>
        <w:rFonts w:ascii="Calibri" w:eastAsia="Calibri" w:hAnsi="Calibri" w:cs="Calibri"/>
        <w:color w:val="000000" w:themeColor="text1"/>
        <w:sz w:val="22"/>
        <w:szCs w:val="22"/>
      </w:rPr>
    </w:lvl>
    <w:lvl w:ilvl="1">
      <w:start w:val="1"/>
      <w:numFmt w:val="bullet"/>
      <w:suff w:val="space"/>
      <w:lvlText w:val="•"/>
      <w:lvlJc w:val="left"/>
      <w:pPr>
        <w:ind w:left="1375" w:hanging="360"/>
      </w:pPr>
    </w:lvl>
    <w:lvl w:ilvl="2">
      <w:start w:val="1"/>
      <w:numFmt w:val="bullet"/>
      <w:suff w:val="space"/>
      <w:lvlText w:val="•"/>
      <w:lvlJc w:val="left"/>
      <w:pPr>
        <w:ind w:left="2289" w:hanging="360"/>
      </w:pPr>
    </w:lvl>
    <w:lvl w:ilvl="3">
      <w:start w:val="1"/>
      <w:numFmt w:val="bullet"/>
      <w:suff w:val="space"/>
      <w:lvlText w:val="•"/>
      <w:lvlJc w:val="left"/>
      <w:pPr>
        <w:ind w:left="3204" w:hanging="360"/>
      </w:pPr>
    </w:lvl>
    <w:lvl w:ilvl="4">
      <w:start w:val="1"/>
      <w:numFmt w:val="bullet"/>
      <w:suff w:val="space"/>
      <w:lvlText w:val="•"/>
      <w:lvlJc w:val="left"/>
      <w:pPr>
        <w:ind w:left="4118" w:hanging="360"/>
      </w:pPr>
    </w:lvl>
    <w:lvl w:ilvl="5">
      <w:start w:val="1"/>
      <w:numFmt w:val="bullet"/>
      <w:suff w:val="space"/>
      <w:lvlText w:val="•"/>
      <w:lvlJc w:val="left"/>
      <w:pPr>
        <w:ind w:left="5033" w:hanging="360"/>
      </w:pPr>
    </w:lvl>
    <w:lvl w:ilvl="6">
      <w:start w:val="1"/>
      <w:numFmt w:val="bullet"/>
      <w:suff w:val="space"/>
      <w:lvlText w:val="•"/>
      <w:lvlJc w:val="left"/>
      <w:pPr>
        <w:ind w:left="5948" w:hanging="360"/>
      </w:pPr>
    </w:lvl>
    <w:lvl w:ilvl="7">
      <w:start w:val="1"/>
      <w:numFmt w:val="bullet"/>
      <w:suff w:val="space"/>
      <w:lvlText w:val="•"/>
      <w:lvlJc w:val="left"/>
      <w:pPr>
        <w:ind w:left="6862" w:hanging="360"/>
      </w:pPr>
    </w:lvl>
    <w:lvl w:ilvl="8">
      <w:start w:val="1"/>
      <w:numFmt w:val="bullet"/>
      <w:suff w:val="space"/>
      <w:lvlText w:val="•"/>
      <w:lvlJc w:val="left"/>
      <w:pPr>
        <w:ind w:left="7777" w:hanging="360"/>
      </w:pPr>
    </w:lvl>
  </w:abstractNum>
  <w:abstractNum w:abstractNumId="60" w15:restartNumberingAfterBreak="0">
    <w:nsid w:val="50201ABC"/>
    <w:multiLevelType w:val="multilevel"/>
    <w:tmpl w:val="BACA868E"/>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Noto Sans Symbols" w:eastAsia="Noto Sans Symbols" w:hAnsi="Noto Sans Symbols" w:cs="Noto Sans Symbols"/>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61" w15:restartNumberingAfterBreak="0">
    <w:nsid w:val="51AF64D5"/>
    <w:multiLevelType w:val="multilevel"/>
    <w:tmpl w:val="2E861270"/>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36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36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360"/>
      </w:pPr>
    </w:lvl>
  </w:abstractNum>
  <w:abstractNum w:abstractNumId="62" w15:restartNumberingAfterBreak="0">
    <w:nsid w:val="536A5160"/>
    <w:multiLevelType w:val="multilevel"/>
    <w:tmpl w:val="227E8876"/>
    <w:lvl w:ilvl="0">
      <w:start w:val="2"/>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63" w15:restartNumberingAfterBreak="0">
    <w:nsid w:val="570478D9"/>
    <w:multiLevelType w:val="multilevel"/>
    <w:tmpl w:val="F3D6083C"/>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64" w15:restartNumberingAfterBreak="0">
    <w:nsid w:val="576346EE"/>
    <w:multiLevelType w:val="multilevel"/>
    <w:tmpl w:val="9BA822B6"/>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65" w15:restartNumberingAfterBreak="0">
    <w:nsid w:val="579D5E41"/>
    <w:multiLevelType w:val="multilevel"/>
    <w:tmpl w:val="5F8C1BB0"/>
    <w:lvl w:ilvl="0">
      <w:start w:val="1"/>
      <w:numFmt w:val="decimal"/>
      <w:suff w:val="space"/>
      <w:lvlText w:val="%14.3"/>
      <w:lvlJc w:val="left"/>
      <w:pPr>
        <w:ind w:left="920" w:hanging="360"/>
      </w:pPr>
      <w:rPr>
        <w:rFonts w:ascii="Cambria" w:eastAsia="Cambria" w:hAnsi="Cambria" w:cs="Cambria" w:hint="default"/>
        <w:b/>
        <w:color w:val="4F81BC"/>
        <w:sz w:val="26"/>
        <w:szCs w:val="26"/>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66" w15:restartNumberingAfterBreak="0">
    <w:nsid w:val="59991D8F"/>
    <w:multiLevelType w:val="multilevel"/>
    <w:tmpl w:val="64548A48"/>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v"/>
      <w:lvlJc w:val="left"/>
      <w:pPr>
        <w:ind w:left="1440" w:hanging="360"/>
      </w:pPr>
      <w:rPr>
        <w:rFonts w:ascii="Wingdings" w:eastAsia="Wingdings" w:hAnsi="Wingdings" w:cs="Wingdings" w:hint="default"/>
        <w:b w:val="0"/>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67" w15:restartNumberingAfterBreak="0">
    <w:nsid w:val="59B82FE1"/>
    <w:multiLevelType w:val="multilevel"/>
    <w:tmpl w:val="ED3C9CF4"/>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
      <w:lvlJc w:val="left"/>
      <w:pPr>
        <w:ind w:left="1440" w:hanging="360"/>
      </w:pPr>
      <w:rPr>
        <w:rFonts w:ascii="Arial" w:eastAsia="Arial" w:hAnsi="Arial" w:cs="Arial"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68" w15:restartNumberingAfterBreak="0">
    <w:nsid w:val="5ADE3F22"/>
    <w:multiLevelType w:val="multilevel"/>
    <w:tmpl w:val="5B94A382"/>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
      <w:lvlJc w:val="left"/>
      <w:pPr>
        <w:ind w:left="1440" w:hanging="360"/>
      </w:pPr>
      <w:rPr>
        <w:rFonts w:ascii="Arial" w:eastAsia="Arial" w:hAnsi="Arial" w:cs="Arial"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69" w15:restartNumberingAfterBreak="0">
    <w:nsid w:val="5B6B5B20"/>
    <w:multiLevelType w:val="multilevel"/>
    <w:tmpl w:val="274860A4"/>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
      <w:lvlJc w:val="left"/>
      <w:pPr>
        <w:ind w:left="1440" w:hanging="360"/>
      </w:pPr>
      <w:rPr>
        <w:rFonts w:ascii="Arial" w:eastAsia="Arial" w:hAnsi="Arial" w:cs="Arial"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0" w15:restartNumberingAfterBreak="0">
    <w:nsid w:val="5BE52780"/>
    <w:multiLevelType w:val="multilevel"/>
    <w:tmpl w:val="1452F2F6"/>
    <w:lvl w:ilvl="0">
      <w:start w:val="1"/>
      <w:numFmt w:val="bullet"/>
      <w:suff w:val="space"/>
      <w:lvlText w:val="●"/>
      <w:lvlJc w:val="left"/>
      <w:pPr>
        <w:ind w:left="820" w:hanging="360"/>
      </w:pPr>
      <w:rPr>
        <w:rFonts w:ascii="Noto Sans Symbols" w:eastAsia="Noto Sans Symbols" w:hAnsi="Noto Sans Symbols" w:cs="Noto Sans Symbols"/>
      </w:rPr>
    </w:lvl>
    <w:lvl w:ilvl="1">
      <w:start w:val="1"/>
      <w:numFmt w:val="bullet"/>
      <w:suff w:val="space"/>
      <w:lvlText w:val="o"/>
      <w:lvlJc w:val="left"/>
      <w:pPr>
        <w:ind w:left="1540" w:hanging="360"/>
      </w:pPr>
      <w:rPr>
        <w:rFonts w:ascii="Courier New" w:eastAsia="Courier New" w:hAnsi="Courier New" w:cs="Courier New"/>
      </w:rPr>
    </w:lvl>
    <w:lvl w:ilvl="2">
      <w:start w:val="1"/>
      <w:numFmt w:val="bullet"/>
      <w:suff w:val="space"/>
      <w:lvlText w:val="▪"/>
      <w:lvlJc w:val="left"/>
      <w:pPr>
        <w:ind w:left="2260" w:hanging="360"/>
      </w:pPr>
      <w:rPr>
        <w:rFonts w:ascii="Noto Sans Symbols" w:eastAsia="Noto Sans Symbols" w:hAnsi="Noto Sans Symbols" w:cs="Noto Sans Symbols"/>
      </w:rPr>
    </w:lvl>
    <w:lvl w:ilvl="3">
      <w:start w:val="1"/>
      <w:numFmt w:val="bullet"/>
      <w:suff w:val="space"/>
      <w:lvlText w:val="●"/>
      <w:lvlJc w:val="left"/>
      <w:pPr>
        <w:ind w:left="2980" w:hanging="360"/>
      </w:pPr>
      <w:rPr>
        <w:rFonts w:ascii="Noto Sans Symbols" w:eastAsia="Noto Sans Symbols" w:hAnsi="Noto Sans Symbols" w:cs="Noto Sans Symbols"/>
      </w:rPr>
    </w:lvl>
    <w:lvl w:ilvl="4">
      <w:start w:val="1"/>
      <w:numFmt w:val="bullet"/>
      <w:suff w:val="space"/>
      <w:lvlText w:val="o"/>
      <w:lvlJc w:val="left"/>
      <w:pPr>
        <w:ind w:left="3700" w:hanging="360"/>
      </w:pPr>
      <w:rPr>
        <w:rFonts w:ascii="Courier New" w:eastAsia="Courier New" w:hAnsi="Courier New" w:cs="Courier New"/>
      </w:rPr>
    </w:lvl>
    <w:lvl w:ilvl="5">
      <w:start w:val="1"/>
      <w:numFmt w:val="bullet"/>
      <w:suff w:val="space"/>
      <w:lvlText w:val="▪"/>
      <w:lvlJc w:val="left"/>
      <w:pPr>
        <w:ind w:left="4420" w:hanging="360"/>
      </w:pPr>
      <w:rPr>
        <w:rFonts w:ascii="Noto Sans Symbols" w:eastAsia="Noto Sans Symbols" w:hAnsi="Noto Sans Symbols" w:cs="Noto Sans Symbols"/>
      </w:rPr>
    </w:lvl>
    <w:lvl w:ilvl="6">
      <w:start w:val="1"/>
      <w:numFmt w:val="bullet"/>
      <w:suff w:val="space"/>
      <w:lvlText w:val="●"/>
      <w:lvlJc w:val="left"/>
      <w:pPr>
        <w:ind w:left="5140" w:hanging="360"/>
      </w:pPr>
      <w:rPr>
        <w:rFonts w:ascii="Noto Sans Symbols" w:eastAsia="Noto Sans Symbols" w:hAnsi="Noto Sans Symbols" w:cs="Noto Sans Symbols"/>
      </w:rPr>
    </w:lvl>
    <w:lvl w:ilvl="7">
      <w:start w:val="1"/>
      <w:numFmt w:val="bullet"/>
      <w:suff w:val="space"/>
      <w:lvlText w:val="o"/>
      <w:lvlJc w:val="left"/>
      <w:pPr>
        <w:ind w:left="5860" w:hanging="360"/>
      </w:pPr>
      <w:rPr>
        <w:rFonts w:ascii="Courier New" w:eastAsia="Courier New" w:hAnsi="Courier New" w:cs="Courier New"/>
      </w:rPr>
    </w:lvl>
    <w:lvl w:ilvl="8">
      <w:start w:val="1"/>
      <w:numFmt w:val="bullet"/>
      <w:suff w:val="space"/>
      <w:lvlText w:val="▪"/>
      <w:lvlJc w:val="left"/>
      <w:pPr>
        <w:ind w:left="6580" w:hanging="360"/>
      </w:pPr>
      <w:rPr>
        <w:rFonts w:ascii="Noto Sans Symbols" w:eastAsia="Noto Sans Symbols" w:hAnsi="Noto Sans Symbols" w:cs="Noto Sans Symbols"/>
      </w:rPr>
    </w:lvl>
  </w:abstractNum>
  <w:abstractNum w:abstractNumId="71" w15:restartNumberingAfterBreak="0">
    <w:nsid w:val="5C102E29"/>
    <w:multiLevelType w:val="multilevel"/>
    <w:tmpl w:val="38440464"/>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
      <w:lvlJc w:val="left"/>
      <w:pPr>
        <w:ind w:left="1440" w:hanging="360"/>
      </w:pPr>
      <w:rPr>
        <w:rFonts w:ascii="Arial" w:eastAsia="Arial" w:hAnsi="Arial" w:cs="Arial"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2" w15:restartNumberingAfterBreak="0">
    <w:nsid w:val="5CAD338F"/>
    <w:multiLevelType w:val="multilevel"/>
    <w:tmpl w:val="78C8226E"/>
    <w:lvl w:ilvl="0">
      <w:start w:val="1"/>
      <w:numFmt w:val="bullet"/>
      <w:suff w:val="space"/>
      <w:lvlText w:val="·"/>
      <w:lvlJc w:val="left"/>
      <w:pPr>
        <w:ind w:left="0" w:firstLine="0"/>
      </w:pPr>
      <w:rPr>
        <w:rFonts w:ascii="Symbol" w:eastAsia="Symbol" w:hAnsi="Symbol" w:cs="Symbol" w:hint="default"/>
      </w:rPr>
    </w:lvl>
    <w:lvl w:ilvl="1">
      <w:start w:val="1"/>
      <w:numFmt w:val="bullet"/>
      <w:suff w:val="space"/>
      <w:lvlText w:val="•"/>
      <w:lvlJc w:val="left"/>
      <w:pPr>
        <w:ind w:left="2455" w:hanging="360"/>
      </w:pPr>
    </w:lvl>
    <w:lvl w:ilvl="2">
      <w:start w:val="1"/>
      <w:numFmt w:val="bullet"/>
      <w:suff w:val="space"/>
      <w:lvlText w:val="•"/>
      <w:lvlJc w:val="left"/>
      <w:pPr>
        <w:ind w:left="3369" w:hanging="360"/>
      </w:pPr>
    </w:lvl>
    <w:lvl w:ilvl="3">
      <w:start w:val="1"/>
      <w:numFmt w:val="bullet"/>
      <w:suff w:val="space"/>
      <w:lvlText w:val="•"/>
      <w:lvlJc w:val="left"/>
      <w:pPr>
        <w:ind w:left="4284" w:hanging="360"/>
      </w:pPr>
    </w:lvl>
    <w:lvl w:ilvl="4">
      <w:start w:val="1"/>
      <w:numFmt w:val="bullet"/>
      <w:suff w:val="space"/>
      <w:lvlText w:val="•"/>
      <w:lvlJc w:val="left"/>
      <w:pPr>
        <w:ind w:left="5198" w:hanging="360"/>
      </w:pPr>
    </w:lvl>
    <w:lvl w:ilvl="5">
      <w:start w:val="1"/>
      <w:numFmt w:val="bullet"/>
      <w:suff w:val="space"/>
      <w:lvlText w:val="•"/>
      <w:lvlJc w:val="left"/>
      <w:pPr>
        <w:ind w:left="6113" w:hanging="360"/>
      </w:pPr>
    </w:lvl>
    <w:lvl w:ilvl="6">
      <w:start w:val="1"/>
      <w:numFmt w:val="bullet"/>
      <w:suff w:val="space"/>
      <w:lvlText w:val="•"/>
      <w:lvlJc w:val="left"/>
      <w:pPr>
        <w:ind w:left="7028" w:hanging="360"/>
      </w:pPr>
    </w:lvl>
    <w:lvl w:ilvl="7">
      <w:start w:val="1"/>
      <w:numFmt w:val="bullet"/>
      <w:suff w:val="space"/>
      <w:lvlText w:val="•"/>
      <w:lvlJc w:val="left"/>
      <w:pPr>
        <w:ind w:left="7942" w:hanging="360"/>
      </w:pPr>
    </w:lvl>
    <w:lvl w:ilvl="8">
      <w:start w:val="1"/>
      <w:numFmt w:val="bullet"/>
      <w:suff w:val="space"/>
      <w:lvlText w:val="•"/>
      <w:lvlJc w:val="left"/>
      <w:pPr>
        <w:ind w:left="8857" w:hanging="360"/>
      </w:pPr>
    </w:lvl>
  </w:abstractNum>
  <w:abstractNum w:abstractNumId="73" w15:restartNumberingAfterBreak="0">
    <w:nsid w:val="5DFC5D18"/>
    <w:multiLevelType w:val="multilevel"/>
    <w:tmpl w:val="638C85BA"/>
    <w:lvl w:ilvl="0">
      <w:start w:val="5"/>
      <w:numFmt w:val="decimal"/>
      <w:suff w:val="space"/>
      <w:lvlText w:val="%1"/>
      <w:lvlJc w:val="left"/>
      <w:pPr>
        <w:ind w:left="676" w:hanging="576"/>
      </w:pPr>
      <w:rPr>
        <w:rFonts w:hint="default"/>
      </w:rPr>
    </w:lvl>
    <w:lvl w:ilvl="1">
      <w:start w:val="3"/>
      <w:numFmt w:val="decimal"/>
      <w:suff w:val="space"/>
      <w:lvlText w:val="%1.%2"/>
      <w:lvlJc w:val="left"/>
      <w:pPr>
        <w:ind w:left="676" w:hanging="576"/>
      </w:pPr>
      <w:rPr>
        <w:rFonts w:ascii="Cambria" w:eastAsia="Cambria" w:hAnsi="Cambria" w:cs="Cambria" w:hint="default"/>
        <w:b/>
        <w:color w:val="4F81BC"/>
        <w:sz w:val="26"/>
        <w:szCs w:val="26"/>
      </w:rPr>
    </w:lvl>
    <w:lvl w:ilvl="2">
      <w:start w:val="1"/>
      <w:numFmt w:val="bullet"/>
      <w:suff w:val="space"/>
      <w:lvlText w:val="•"/>
      <w:lvlJc w:val="left"/>
      <w:pPr>
        <w:ind w:left="2386" w:hanging="576"/>
      </w:pPr>
      <w:rPr>
        <w:rFonts w:hint="default"/>
      </w:rPr>
    </w:lvl>
    <w:lvl w:ilvl="3">
      <w:start w:val="1"/>
      <w:numFmt w:val="bullet"/>
      <w:suff w:val="space"/>
      <w:lvlText w:val="•"/>
      <w:lvlJc w:val="left"/>
      <w:pPr>
        <w:ind w:left="3241" w:hanging="576"/>
      </w:pPr>
      <w:rPr>
        <w:rFonts w:hint="default"/>
      </w:rPr>
    </w:lvl>
    <w:lvl w:ilvl="4">
      <w:start w:val="1"/>
      <w:numFmt w:val="bullet"/>
      <w:suff w:val="space"/>
      <w:lvlText w:val="•"/>
      <w:lvlJc w:val="left"/>
      <w:pPr>
        <w:ind w:left="4096" w:hanging="576"/>
      </w:pPr>
      <w:rPr>
        <w:rFonts w:hint="default"/>
      </w:rPr>
    </w:lvl>
    <w:lvl w:ilvl="5">
      <w:start w:val="1"/>
      <w:numFmt w:val="bullet"/>
      <w:suff w:val="space"/>
      <w:lvlText w:val="•"/>
      <w:lvlJc w:val="left"/>
      <w:pPr>
        <w:ind w:left="4951" w:hanging="576"/>
      </w:pPr>
      <w:rPr>
        <w:rFonts w:hint="default"/>
      </w:rPr>
    </w:lvl>
    <w:lvl w:ilvl="6">
      <w:start w:val="1"/>
      <w:numFmt w:val="bullet"/>
      <w:suff w:val="space"/>
      <w:lvlText w:val="•"/>
      <w:lvlJc w:val="left"/>
      <w:pPr>
        <w:ind w:left="5806" w:hanging="576"/>
      </w:pPr>
      <w:rPr>
        <w:rFonts w:hint="default"/>
      </w:rPr>
    </w:lvl>
    <w:lvl w:ilvl="7">
      <w:start w:val="1"/>
      <w:numFmt w:val="bullet"/>
      <w:suff w:val="space"/>
      <w:lvlText w:val="•"/>
      <w:lvlJc w:val="left"/>
      <w:pPr>
        <w:ind w:left="6661" w:hanging="576"/>
      </w:pPr>
      <w:rPr>
        <w:rFonts w:hint="default"/>
      </w:rPr>
    </w:lvl>
    <w:lvl w:ilvl="8">
      <w:start w:val="1"/>
      <w:numFmt w:val="bullet"/>
      <w:suff w:val="space"/>
      <w:lvlText w:val="•"/>
      <w:lvlJc w:val="left"/>
      <w:pPr>
        <w:ind w:left="7516" w:hanging="576"/>
      </w:pPr>
      <w:rPr>
        <w:rFonts w:hint="default"/>
      </w:rPr>
    </w:lvl>
  </w:abstractNum>
  <w:abstractNum w:abstractNumId="74" w15:restartNumberingAfterBreak="0">
    <w:nsid w:val="5EFF2A0D"/>
    <w:multiLevelType w:val="multilevel"/>
    <w:tmpl w:val="00901134"/>
    <w:lvl w:ilvl="0">
      <w:start w:val="1"/>
      <w:numFmt w:val="bullet"/>
      <w:suff w:val="space"/>
      <w:lvlText w:val="–"/>
      <w:lvlJc w:val="left"/>
      <w:pPr>
        <w:ind w:left="720" w:hanging="360"/>
      </w:pPr>
      <w:rPr>
        <w:rFonts w:ascii="Arial" w:eastAsia="Arial" w:hAnsi="Arial" w:cs="Aria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5" w15:restartNumberingAfterBreak="0">
    <w:nsid w:val="611A71D5"/>
    <w:multiLevelType w:val="multilevel"/>
    <w:tmpl w:val="6F302224"/>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36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36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360"/>
      </w:pPr>
    </w:lvl>
  </w:abstractNum>
  <w:abstractNum w:abstractNumId="76" w15:restartNumberingAfterBreak="0">
    <w:nsid w:val="61BB0478"/>
    <w:multiLevelType w:val="multilevel"/>
    <w:tmpl w:val="2FC892C0"/>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5" w:hanging="360"/>
      </w:pPr>
    </w:lvl>
    <w:lvl w:ilvl="2">
      <w:start w:val="1"/>
      <w:numFmt w:val="bullet"/>
      <w:suff w:val="space"/>
      <w:lvlText w:val="•"/>
      <w:lvlJc w:val="left"/>
      <w:pPr>
        <w:ind w:left="2209" w:hanging="360"/>
      </w:pPr>
    </w:lvl>
    <w:lvl w:ilvl="3">
      <w:start w:val="1"/>
      <w:numFmt w:val="bullet"/>
      <w:suff w:val="space"/>
      <w:lvlText w:val="•"/>
      <w:lvlJc w:val="left"/>
      <w:pPr>
        <w:ind w:left="3084" w:hanging="360"/>
      </w:pPr>
    </w:lvl>
    <w:lvl w:ilvl="4">
      <w:start w:val="1"/>
      <w:numFmt w:val="bullet"/>
      <w:suff w:val="space"/>
      <w:lvlText w:val="•"/>
      <w:lvlJc w:val="left"/>
      <w:pPr>
        <w:ind w:left="3958" w:hanging="360"/>
      </w:pPr>
    </w:lvl>
    <w:lvl w:ilvl="5">
      <w:start w:val="1"/>
      <w:numFmt w:val="bullet"/>
      <w:suff w:val="space"/>
      <w:lvlText w:val="•"/>
      <w:lvlJc w:val="left"/>
      <w:pPr>
        <w:ind w:left="4833" w:hanging="360"/>
      </w:pPr>
    </w:lvl>
    <w:lvl w:ilvl="6">
      <w:start w:val="1"/>
      <w:numFmt w:val="bullet"/>
      <w:suff w:val="space"/>
      <w:lvlText w:val="•"/>
      <w:lvlJc w:val="left"/>
      <w:pPr>
        <w:ind w:left="5708" w:hanging="360"/>
      </w:pPr>
    </w:lvl>
    <w:lvl w:ilvl="7">
      <w:start w:val="1"/>
      <w:numFmt w:val="bullet"/>
      <w:suff w:val="space"/>
      <w:lvlText w:val="•"/>
      <w:lvlJc w:val="left"/>
      <w:pPr>
        <w:ind w:left="6582" w:hanging="360"/>
      </w:pPr>
    </w:lvl>
    <w:lvl w:ilvl="8">
      <w:start w:val="1"/>
      <w:numFmt w:val="bullet"/>
      <w:suff w:val="space"/>
      <w:lvlText w:val="•"/>
      <w:lvlJc w:val="left"/>
      <w:pPr>
        <w:ind w:left="7457" w:hanging="360"/>
      </w:pPr>
    </w:lvl>
  </w:abstractNum>
  <w:abstractNum w:abstractNumId="77" w15:restartNumberingAfterBreak="0">
    <w:nsid w:val="61C0496E"/>
    <w:multiLevelType w:val="multilevel"/>
    <w:tmpl w:val="7CAC760A"/>
    <w:lvl w:ilvl="0">
      <w:start w:val="6"/>
      <w:numFmt w:val="decimal"/>
      <w:suff w:val="space"/>
      <w:lvlText w:val="%1"/>
      <w:lvlJc w:val="left"/>
      <w:pPr>
        <w:ind w:left="676" w:hanging="576"/>
      </w:pPr>
    </w:lvl>
    <w:lvl w:ilvl="1">
      <w:start w:val="2"/>
      <w:numFmt w:val="decimal"/>
      <w:suff w:val="space"/>
      <w:lvlText w:val="%1.%2"/>
      <w:lvlJc w:val="left"/>
      <w:pPr>
        <w:ind w:left="676" w:hanging="576"/>
      </w:pPr>
      <w:rPr>
        <w:rFonts w:ascii="Cambria" w:eastAsia="Cambria" w:hAnsi="Cambria" w:cs="Cambria"/>
        <w:b/>
        <w:color w:val="4F81BC"/>
        <w:sz w:val="26"/>
        <w:szCs w:val="26"/>
      </w:rPr>
    </w:lvl>
    <w:lvl w:ilvl="2">
      <w:start w:val="1"/>
      <w:numFmt w:val="decimal"/>
      <w:suff w:val="space"/>
      <w:lvlText w:val="%1.%2.%3"/>
      <w:lvlJc w:val="left"/>
      <w:pPr>
        <w:ind w:left="820" w:hanging="720"/>
      </w:pPr>
      <w:rPr>
        <w:rFonts w:ascii="Cambria" w:eastAsia="Cambria" w:hAnsi="Cambria" w:cs="Cambria"/>
        <w:b/>
        <w:color w:val="4F81BC"/>
        <w:sz w:val="22"/>
        <w:szCs w:val="22"/>
      </w:rPr>
    </w:lvl>
    <w:lvl w:ilvl="3">
      <w:start w:val="1"/>
      <w:numFmt w:val="bullet"/>
      <w:suff w:val="space"/>
      <w:lvlText w:val="•"/>
      <w:lvlJc w:val="left"/>
      <w:pPr>
        <w:ind w:left="2688" w:hanging="720"/>
      </w:pPr>
    </w:lvl>
    <w:lvl w:ilvl="4">
      <w:start w:val="1"/>
      <w:numFmt w:val="bullet"/>
      <w:suff w:val="space"/>
      <w:lvlText w:val="•"/>
      <w:lvlJc w:val="left"/>
      <w:pPr>
        <w:ind w:left="3622" w:hanging="720"/>
      </w:pPr>
    </w:lvl>
    <w:lvl w:ilvl="5">
      <w:start w:val="1"/>
      <w:numFmt w:val="bullet"/>
      <w:suff w:val="space"/>
      <w:lvlText w:val="•"/>
      <w:lvlJc w:val="left"/>
      <w:pPr>
        <w:ind w:left="4556" w:hanging="720"/>
      </w:pPr>
    </w:lvl>
    <w:lvl w:ilvl="6">
      <w:start w:val="1"/>
      <w:numFmt w:val="bullet"/>
      <w:suff w:val="space"/>
      <w:lvlText w:val="•"/>
      <w:lvlJc w:val="left"/>
      <w:pPr>
        <w:ind w:left="5490" w:hanging="720"/>
      </w:pPr>
    </w:lvl>
    <w:lvl w:ilvl="7">
      <w:start w:val="1"/>
      <w:numFmt w:val="bullet"/>
      <w:suff w:val="space"/>
      <w:lvlText w:val="•"/>
      <w:lvlJc w:val="left"/>
      <w:pPr>
        <w:ind w:left="6424" w:hanging="720"/>
      </w:pPr>
    </w:lvl>
    <w:lvl w:ilvl="8">
      <w:start w:val="1"/>
      <w:numFmt w:val="bullet"/>
      <w:suff w:val="space"/>
      <w:lvlText w:val="•"/>
      <w:lvlJc w:val="left"/>
      <w:pPr>
        <w:ind w:left="7358" w:hanging="720"/>
      </w:pPr>
    </w:lvl>
  </w:abstractNum>
  <w:abstractNum w:abstractNumId="78" w15:restartNumberingAfterBreak="0">
    <w:nsid w:val="627B6520"/>
    <w:multiLevelType w:val="multilevel"/>
    <w:tmpl w:val="A3824EFE"/>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9" w15:restartNumberingAfterBreak="0">
    <w:nsid w:val="666A2C98"/>
    <w:multiLevelType w:val="multilevel"/>
    <w:tmpl w:val="F53EFBF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80" w15:restartNumberingAfterBreak="0">
    <w:nsid w:val="66812035"/>
    <w:multiLevelType w:val="multilevel"/>
    <w:tmpl w:val="A86A97E0"/>
    <w:lvl w:ilvl="0">
      <w:start w:val="6"/>
      <w:numFmt w:val="decimal"/>
      <w:suff w:val="space"/>
      <w:lvlText w:val="%1"/>
      <w:lvlJc w:val="left"/>
      <w:pPr>
        <w:ind w:left="676" w:hanging="576"/>
      </w:pPr>
    </w:lvl>
    <w:lvl w:ilvl="1">
      <w:start w:val="1"/>
      <w:numFmt w:val="decimal"/>
      <w:suff w:val="space"/>
      <w:lvlText w:val="%1.%2"/>
      <w:lvlJc w:val="left"/>
      <w:pPr>
        <w:ind w:left="676" w:hanging="576"/>
      </w:pPr>
      <w:rPr>
        <w:rFonts w:ascii="Cambria" w:eastAsia="Cambria" w:hAnsi="Cambria" w:cs="Cambria"/>
        <w:b/>
        <w:color w:val="4F81BC"/>
        <w:sz w:val="26"/>
        <w:szCs w:val="26"/>
      </w:rPr>
    </w:lvl>
    <w:lvl w:ilvl="2">
      <w:start w:val="1"/>
      <w:numFmt w:val="decimal"/>
      <w:suff w:val="space"/>
      <w:lvlText w:val="%1.%2.%3"/>
      <w:lvlJc w:val="left"/>
      <w:pPr>
        <w:ind w:left="820" w:hanging="720"/>
      </w:pPr>
      <w:rPr>
        <w:rFonts w:ascii="Cambria" w:eastAsia="Cambria" w:hAnsi="Cambria" w:cs="Cambria"/>
        <w:b/>
        <w:color w:val="4F81BC"/>
        <w:sz w:val="22"/>
        <w:szCs w:val="22"/>
      </w:rPr>
    </w:lvl>
    <w:lvl w:ilvl="3">
      <w:start w:val="1"/>
      <w:numFmt w:val="bullet"/>
      <w:suff w:val="space"/>
      <w:lvlText w:val="•"/>
      <w:lvlJc w:val="left"/>
      <w:pPr>
        <w:ind w:left="2772" w:hanging="720"/>
      </w:pPr>
    </w:lvl>
    <w:lvl w:ilvl="4">
      <w:start w:val="1"/>
      <w:numFmt w:val="bullet"/>
      <w:suff w:val="space"/>
      <w:lvlText w:val="•"/>
      <w:lvlJc w:val="left"/>
      <w:pPr>
        <w:ind w:left="3749" w:hanging="720"/>
      </w:pPr>
    </w:lvl>
    <w:lvl w:ilvl="5">
      <w:start w:val="1"/>
      <w:numFmt w:val="bullet"/>
      <w:suff w:val="space"/>
      <w:lvlText w:val="•"/>
      <w:lvlJc w:val="left"/>
      <w:pPr>
        <w:ind w:left="4725" w:hanging="720"/>
      </w:pPr>
    </w:lvl>
    <w:lvl w:ilvl="6">
      <w:start w:val="1"/>
      <w:numFmt w:val="bullet"/>
      <w:suff w:val="space"/>
      <w:lvlText w:val="•"/>
      <w:lvlJc w:val="left"/>
      <w:pPr>
        <w:ind w:left="5701" w:hanging="720"/>
      </w:pPr>
    </w:lvl>
    <w:lvl w:ilvl="7">
      <w:start w:val="1"/>
      <w:numFmt w:val="bullet"/>
      <w:suff w:val="space"/>
      <w:lvlText w:val="•"/>
      <w:lvlJc w:val="left"/>
      <w:pPr>
        <w:ind w:left="6677" w:hanging="720"/>
      </w:pPr>
    </w:lvl>
    <w:lvl w:ilvl="8">
      <w:start w:val="1"/>
      <w:numFmt w:val="bullet"/>
      <w:suff w:val="space"/>
      <w:lvlText w:val="•"/>
      <w:lvlJc w:val="left"/>
      <w:pPr>
        <w:ind w:left="7653" w:hanging="720"/>
      </w:pPr>
    </w:lvl>
  </w:abstractNum>
  <w:abstractNum w:abstractNumId="81" w15:restartNumberingAfterBreak="0">
    <w:nsid w:val="68596639"/>
    <w:multiLevelType w:val="multilevel"/>
    <w:tmpl w:val="C8EEEFD4"/>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82" w15:restartNumberingAfterBreak="0">
    <w:nsid w:val="687346A0"/>
    <w:multiLevelType w:val="multilevel"/>
    <w:tmpl w:val="39AABC8E"/>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83" w15:restartNumberingAfterBreak="0">
    <w:nsid w:val="6A200B0F"/>
    <w:multiLevelType w:val="multilevel"/>
    <w:tmpl w:val="CF406182"/>
    <w:lvl w:ilvl="0">
      <w:start w:val="1"/>
      <w:numFmt w:val="lowerLetter"/>
      <w:suff w:val="space"/>
      <w:lvlText w:val="%1."/>
      <w:lvlJc w:val="left"/>
      <w:pPr>
        <w:ind w:left="460" w:hanging="360"/>
      </w:pPr>
      <w:rPr>
        <w:rFonts w:ascii="Calibri" w:eastAsia="Calibri" w:hAnsi="Calibri" w:cs="Calibri"/>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2" w:hanging="360"/>
      </w:pPr>
    </w:lvl>
    <w:lvl w:ilvl="3">
      <w:start w:val="1"/>
      <w:numFmt w:val="bullet"/>
      <w:suff w:val="space"/>
      <w:lvlText w:val="•"/>
      <w:lvlJc w:val="left"/>
      <w:pPr>
        <w:ind w:left="2683" w:hanging="360"/>
      </w:pPr>
    </w:lvl>
    <w:lvl w:ilvl="4">
      <w:start w:val="1"/>
      <w:numFmt w:val="bullet"/>
      <w:suff w:val="space"/>
      <w:lvlText w:val="•"/>
      <w:lvlJc w:val="left"/>
      <w:pPr>
        <w:ind w:left="3615" w:hanging="360"/>
      </w:pPr>
    </w:lvl>
    <w:lvl w:ilvl="5">
      <w:start w:val="1"/>
      <w:numFmt w:val="bullet"/>
      <w:suff w:val="space"/>
      <w:lvlText w:val="•"/>
      <w:lvlJc w:val="left"/>
      <w:pPr>
        <w:ind w:left="4547" w:hanging="360"/>
      </w:pPr>
    </w:lvl>
    <w:lvl w:ilvl="6">
      <w:start w:val="1"/>
      <w:numFmt w:val="bullet"/>
      <w:suff w:val="space"/>
      <w:lvlText w:val="•"/>
      <w:lvlJc w:val="left"/>
      <w:pPr>
        <w:ind w:left="5479" w:hanging="360"/>
      </w:pPr>
    </w:lvl>
    <w:lvl w:ilvl="7">
      <w:start w:val="1"/>
      <w:numFmt w:val="bullet"/>
      <w:suff w:val="space"/>
      <w:lvlText w:val="•"/>
      <w:lvlJc w:val="left"/>
      <w:pPr>
        <w:ind w:left="6411" w:hanging="360"/>
      </w:pPr>
    </w:lvl>
    <w:lvl w:ilvl="8">
      <w:start w:val="1"/>
      <w:numFmt w:val="bullet"/>
      <w:suff w:val="space"/>
      <w:lvlText w:val="•"/>
      <w:lvlJc w:val="left"/>
      <w:pPr>
        <w:ind w:left="7342" w:hanging="360"/>
      </w:pPr>
    </w:lvl>
  </w:abstractNum>
  <w:abstractNum w:abstractNumId="84" w15:restartNumberingAfterBreak="0">
    <w:nsid w:val="6B0C7C21"/>
    <w:multiLevelType w:val="multilevel"/>
    <w:tmpl w:val="C704973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3" w:hanging="359"/>
      </w:pPr>
    </w:lvl>
    <w:lvl w:ilvl="2">
      <w:start w:val="1"/>
      <w:numFmt w:val="bullet"/>
      <w:suff w:val="space"/>
      <w:lvlText w:val="•"/>
      <w:lvlJc w:val="left"/>
      <w:pPr>
        <w:ind w:left="2205" w:hanging="360"/>
      </w:pPr>
    </w:lvl>
    <w:lvl w:ilvl="3">
      <w:start w:val="1"/>
      <w:numFmt w:val="bullet"/>
      <w:suff w:val="space"/>
      <w:lvlText w:val="•"/>
      <w:lvlJc w:val="left"/>
      <w:pPr>
        <w:ind w:left="3078" w:hanging="360"/>
      </w:pPr>
    </w:lvl>
    <w:lvl w:ilvl="4">
      <w:start w:val="1"/>
      <w:numFmt w:val="bullet"/>
      <w:suff w:val="space"/>
      <w:lvlText w:val="•"/>
      <w:lvlJc w:val="left"/>
      <w:pPr>
        <w:ind w:left="3950" w:hanging="360"/>
      </w:pPr>
    </w:lvl>
    <w:lvl w:ilvl="5">
      <w:start w:val="1"/>
      <w:numFmt w:val="bullet"/>
      <w:suff w:val="space"/>
      <w:lvlText w:val="•"/>
      <w:lvlJc w:val="left"/>
      <w:pPr>
        <w:ind w:left="4823" w:hanging="360"/>
      </w:pPr>
    </w:lvl>
    <w:lvl w:ilvl="6">
      <w:start w:val="1"/>
      <w:numFmt w:val="bullet"/>
      <w:suff w:val="space"/>
      <w:lvlText w:val="•"/>
      <w:lvlJc w:val="left"/>
      <w:pPr>
        <w:ind w:left="5696" w:hanging="360"/>
      </w:pPr>
    </w:lvl>
    <w:lvl w:ilvl="7">
      <w:start w:val="1"/>
      <w:numFmt w:val="bullet"/>
      <w:suff w:val="space"/>
      <w:lvlText w:val="•"/>
      <w:lvlJc w:val="left"/>
      <w:pPr>
        <w:ind w:left="6568" w:hanging="360"/>
      </w:pPr>
    </w:lvl>
    <w:lvl w:ilvl="8">
      <w:start w:val="1"/>
      <w:numFmt w:val="bullet"/>
      <w:suff w:val="space"/>
      <w:lvlText w:val="•"/>
      <w:lvlJc w:val="left"/>
      <w:pPr>
        <w:ind w:left="7441" w:hanging="360"/>
      </w:pPr>
    </w:lvl>
  </w:abstractNum>
  <w:abstractNum w:abstractNumId="85" w15:restartNumberingAfterBreak="0">
    <w:nsid w:val="6BB97098"/>
    <w:multiLevelType w:val="multilevel"/>
    <w:tmpl w:val="9F70199A"/>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86" w15:restartNumberingAfterBreak="0">
    <w:nsid w:val="6C3D2292"/>
    <w:multiLevelType w:val="multilevel"/>
    <w:tmpl w:val="C27C9086"/>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87" w15:restartNumberingAfterBreak="0">
    <w:nsid w:val="6DAF1F62"/>
    <w:multiLevelType w:val="multilevel"/>
    <w:tmpl w:val="65F4CA9C"/>
    <w:lvl w:ilvl="0">
      <w:start w:val="7"/>
      <w:numFmt w:val="decimal"/>
      <w:suff w:val="space"/>
      <w:lvlText w:val="%1"/>
      <w:lvlJc w:val="left"/>
      <w:pPr>
        <w:ind w:left="676" w:hanging="576"/>
      </w:pPr>
    </w:lvl>
    <w:lvl w:ilvl="1">
      <w:start w:val="1"/>
      <w:numFmt w:val="decimal"/>
      <w:suff w:val="space"/>
      <w:lvlText w:val="%1.%2"/>
      <w:lvlJc w:val="left"/>
      <w:pPr>
        <w:ind w:left="676" w:hanging="576"/>
      </w:pPr>
      <w:rPr>
        <w:rFonts w:ascii="Cambria" w:eastAsia="Cambria" w:hAnsi="Cambria" w:cs="Cambria"/>
        <w:b/>
        <w:color w:val="4F81BC"/>
        <w:sz w:val="26"/>
        <w:szCs w:val="26"/>
      </w:rPr>
    </w:lvl>
    <w:lvl w:ilvl="2">
      <w:start w:val="1"/>
      <w:numFmt w:val="bullet"/>
      <w:suff w:val="space"/>
      <w:lvlText w:val="•"/>
      <w:lvlJc w:val="left"/>
      <w:pPr>
        <w:ind w:left="2386" w:hanging="576"/>
      </w:pPr>
    </w:lvl>
    <w:lvl w:ilvl="3">
      <w:start w:val="1"/>
      <w:numFmt w:val="bullet"/>
      <w:suff w:val="space"/>
      <w:lvlText w:val="•"/>
      <w:lvlJc w:val="left"/>
      <w:pPr>
        <w:ind w:left="3241" w:hanging="576"/>
      </w:pPr>
    </w:lvl>
    <w:lvl w:ilvl="4">
      <w:start w:val="1"/>
      <w:numFmt w:val="bullet"/>
      <w:suff w:val="space"/>
      <w:lvlText w:val="•"/>
      <w:lvlJc w:val="left"/>
      <w:pPr>
        <w:ind w:left="4096" w:hanging="576"/>
      </w:pPr>
    </w:lvl>
    <w:lvl w:ilvl="5">
      <w:start w:val="1"/>
      <w:numFmt w:val="bullet"/>
      <w:suff w:val="space"/>
      <w:lvlText w:val="•"/>
      <w:lvlJc w:val="left"/>
      <w:pPr>
        <w:ind w:left="4951" w:hanging="576"/>
      </w:pPr>
    </w:lvl>
    <w:lvl w:ilvl="6">
      <w:start w:val="1"/>
      <w:numFmt w:val="bullet"/>
      <w:suff w:val="space"/>
      <w:lvlText w:val="•"/>
      <w:lvlJc w:val="left"/>
      <w:pPr>
        <w:ind w:left="5806" w:hanging="576"/>
      </w:pPr>
    </w:lvl>
    <w:lvl w:ilvl="7">
      <w:start w:val="1"/>
      <w:numFmt w:val="bullet"/>
      <w:suff w:val="space"/>
      <w:lvlText w:val="•"/>
      <w:lvlJc w:val="left"/>
      <w:pPr>
        <w:ind w:left="6661" w:hanging="576"/>
      </w:pPr>
    </w:lvl>
    <w:lvl w:ilvl="8">
      <w:start w:val="1"/>
      <w:numFmt w:val="bullet"/>
      <w:suff w:val="space"/>
      <w:lvlText w:val="•"/>
      <w:lvlJc w:val="left"/>
      <w:pPr>
        <w:ind w:left="7516" w:hanging="576"/>
      </w:pPr>
    </w:lvl>
  </w:abstractNum>
  <w:abstractNum w:abstractNumId="88" w15:restartNumberingAfterBreak="0">
    <w:nsid w:val="722B1D00"/>
    <w:multiLevelType w:val="multilevel"/>
    <w:tmpl w:val="9708907A"/>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75" w:hanging="360"/>
      </w:pPr>
    </w:lvl>
    <w:lvl w:ilvl="2">
      <w:start w:val="1"/>
      <w:numFmt w:val="bullet"/>
      <w:suff w:val="space"/>
      <w:lvlText w:val="•"/>
      <w:lvlJc w:val="left"/>
      <w:pPr>
        <w:ind w:left="2289" w:hanging="360"/>
      </w:pPr>
    </w:lvl>
    <w:lvl w:ilvl="3">
      <w:start w:val="1"/>
      <w:numFmt w:val="bullet"/>
      <w:suff w:val="space"/>
      <w:lvlText w:val="•"/>
      <w:lvlJc w:val="left"/>
      <w:pPr>
        <w:ind w:left="3204" w:hanging="360"/>
      </w:pPr>
    </w:lvl>
    <w:lvl w:ilvl="4">
      <w:start w:val="1"/>
      <w:numFmt w:val="bullet"/>
      <w:suff w:val="space"/>
      <w:lvlText w:val="•"/>
      <w:lvlJc w:val="left"/>
      <w:pPr>
        <w:ind w:left="4118" w:hanging="360"/>
      </w:pPr>
    </w:lvl>
    <w:lvl w:ilvl="5">
      <w:start w:val="1"/>
      <w:numFmt w:val="bullet"/>
      <w:suff w:val="space"/>
      <w:lvlText w:val="•"/>
      <w:lvlJc w:val="left"/>
      <w:pPr>
        <w:ind w:left="5033" w:hanging="360"/>
      </w:pPr>
    </w:lvl>
    <w:lvl w:ilvl="6">
      <w:start w:val="1"/>
      <w:numFmt w:val="bullet"/>
      <w:suff w:val="space"/>
      <w:lvlText w:val="•"/>
      <w:lvlJc w:val="left"/>
      <w:pPr>
        <w:ind w:left="5948" w:hanging="360"/>
      </w:pPr>
    </w:lvl>
    <w:lvl w:ilvl="7">
      <w:start w:val="1"/>
      <w:numFmt w:val="bullet"/>
      <w:suff w:val="space"/>
      <w:lvlText w:val="•"/>
      <w:lvlJc w:val="left"/>
      <w:pPr>
        <w:ind w:left="6862" w:hanging="360"/>
      </w:pPr>
    </w:lvl>
    <w:lvl w:ilvl="8">
      <w:start w:val="1"/>
      <w:numFmt w:val="bullet"/>
      <w:suff w:val="space"/>
      <w:lvlText w:val="•"/>
      <w:lvlJc w:val="left"/>
      <w:pPr>
        <w:ind w:left="7777" w:hanging="360"/>
      </w:pPr>
    </w:lvl>
  </w:abstractNum>
  <w:abstractNum w:abstractNumId="89" w15:restartNumberingAfterBreak="0">
    <w:nsid w:val="72BF4758"/>
    <w:multiLevelType w:val="multilevel"/>
    <w:tmpl w:val="77768378"/>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0" w15:restartNumberingAfterBreak="0">
    <w:nsid w:val="751B5D3C"/>
    <w:multiLevelType w:val="multilevel"/>
    <w:tmpl w:val="3356CE80"/>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91" w15:restartNumberingAfterBreak="0">
    <w:nsid w:val="77EE39A0"/>
    <w:multiLevelType w:val="multilevel"/>
    <w:tmpl w:val="C24444BE"/>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92" w15:restartNumberingAfterBreak="0">
    <w:nsid w:val="7C09446D"/>
    <w:multiLevelType w:val="multilevel"/>
    <w:tmpl w:val="8BD4E968"/>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820" w:hanging="360"/>
      </w:pPr>
      <w:rPr>
        <w:rFonts w:ascii="Calibri" w:eastAsia="Calibri" w:hAnsi="Calibri" w:cs="Calibri"/>
        <w:sz w:val="22"/>
        <w:szCs w:val="22"/>
      </w:rPr>
    </w:lvl>
    <w:lvl w:ilvl="2">
      <w:start w:val="1"/>
      <w:numFmt w:val="bullet"/>
      <w:suff w:val="space"/>
      <w:lvlText w:val="•"/>
      <w:lvlJc w:val="left"/>
      <w:pPr>
        <w:ind w:left="1754" w:hanging="360"/>
      </w:pPr>
    </w:lvl>
    <w:lvl w:ilvl="3">
      <w:start w:val="1"/>
      <w:numFmt w:val="bullet"/>
      <w:suff w:val="space"/>
      <w:lvlText w:val="•"/>
      <w:lvlJc w:val="left"/>
      <w:pPr>
        <w:ind w:left="2688" w:hanging="360"/>
      </w:pPr>
    </w:lvl>
    <w:lvl w:ilvl="4">
      <w:start w:val="1"/>
      <w:numFmt w:val="bullet"/>
      <w:suff w:val="space"/>
      <w:lvlText w:val="•"/>
      <w:lvlJc w:val="left"/>
      <w:pPr>
        <w:ind w:left="3622" w:hanging="360"/>
      </w:pPr>
    </w:lvl>
    <w:lvl w:ilvl="5">
      <w:start w:val="1"/>
      <w:numFmt w:val="bullet"/>
      <w:suff w:val="space"/>
      <w:lvlText w:val="•"/>
      <w:lvlJc w:val="left"/>
      <w:pPr>
        <w:ind w:left="4556" w:hanging="360"/>
      </w:pPr>
    </w:lvl>
    <w:lvl w:ilvl="6">
      <w:start w:val="1"/>
      <w:numFmt w:val="bullet"/>
      <w:suff w:val="space"/>
      <w:lvlText w:val="•"/>
      <w:lvlJc w:val="left"/>
      <w:pPr>
        <w:ind w:left="5490" w:hanging="360"/>
      </w:pPr>
    </w:lvl>
    <w:lvl w:ilvl="7">
      <w:start w:val="1"/>
      <w:numFmt w:val="bullet"/>
      <w:suff w:val="space"/>
      <w:lvlText w:val="•"/>
      <w:lvlJc w:val="left"/>
      <w:pPr>
        <w:ind w:left="6424" w:hanging="360"/>
      </w:pPr>
    </w:lvl>
    <w:lvl w:ilvl="8">
      <w:start w:val="1"/>
      <w:numFmt w:val="bullet"/>
      <w:suff w:val="space"/>
      <w:lvlText w:val="•"/>
      <w:lvlJc w:val="left"/>
      <w:pPr>
        <w:ind w:left="7358" w:hanging="360"/>
      </w:pPr>
    </w:lvl>
  </w:abstractNum>
  <w:abstractNum w:abstractNumId="93" w15:restartNumberingAfterBreak="0">
    <w:nsid w:val="7E7C300E"/>
    <w:multiLevelType w:val="multilevel"/>
    <w:tmpl w:val="91CCC14E"/>
    <w:lvl w:ilvl="0">
      <w:start w:val="1"/>
      <w:numFmt w:val="lowerLetter"/>
      <w:suff w:val="space"/>
      <w:lvlText w:val="%1."/>
      <w:lvlJc w:val="left"/>
      <w:pPr>
        <w:ind w:left="460" w:hanging="360"/>
      </w:pPr>
      <w:rPr>
        <w:rFonts w:ascii="Calibri" w:eastAsia="Calibri" w:hAnsi="Calibri" w:cs="Calibri"/>
        <w:color w:val="365F91"/>
        <w:sz w:val="22"/>
        <w:szCs w:val="22"/>
      </w:rPr>
    </w:lvl>
    <w:lvl w:ilvl="1">
      <w:start w:val="1"/>
      <w:numFmt w:val="bullet"/>
      <w:suff w:val="space"/>
      <w:lvlText w:val="•"/>
      <w:lvlJc w:val="left"/>
      <w:pPr>
        <w:ind w:left="1337" w:hanging="360"/>
      </w:pPr>
    </w:lvl>
    <w:lvl w:ilvl="2">
      <w:start w:val="1"/>
      <w:numFmt w:val="bullet"/>
      <w:suff w:val="space"/>
      <w:lvlText w:val="•"/>
      <w:lvlJc w:val="left"/>
      <w:pPr>
        <w:ind w:left="2213" w:hanging="360"/>
      </w:pPr>
    </w:lvl>
    <w:lvl w:ilvl="3">
      <w:start w:val="1"/>
      <w:numFmt w:val="bullet"/>
      <w:suff w:val="space"/>
      <w:lvlText w:val="•"/>
      <w:lvlJc w:val="left"/>
      <w:pPr>
        <w:ind w:left="3090" w:hanging="360"/>
      </w:pPr>
    </w:lvl>
    <w:lvl w:ilvl="4">
      <w:start w:val="1"/>
      <w:numFmt w:val="bullet"/>
      <w:suff w:val="space"/>
      <w:lvlText w:val="•"/>
      <w:lvlJc w:val="left"/>
      <w:pPr>
        <w:ind w:left="3966" w:hanging="360"/>
      </w:pPr>
    </w:lvl>
    <w:lvl w:ilvl="5">
      <w:start w:val="1"/>
      <w:numFmt w:val="bullet"/>
      <w:suff w:val="space"/>
      <w:lvlText w:val="•"/>
      <w:lvlJc w:val="left"/>
      <w:pPr>
        <w:ind w:left="4843" w:hanging="360"/>
      </w:pPr>
    </w:lvl>
    <w:lvl w:ilvl="6">
      <w:start w:val="1"/>
      <w:numFmt w:val="bullet"/>
      <w:suff w:val="space"/>
      <w:lvlText w:val="•"/>
      <w:lvlJc w:val="left"/>
      <w:pPr>
        <w:ind w:left="5720" w:hanging="360"/>
      </w:pPr>
    </w:lvl>
    <w:lvl w:ilvl="7">
      <w:start w:val="1"/>
      <w:numFmt w:val="bullet"/>
      <w:suff w:val="space"/>
      <w:lvlText w:val="•"/>
      <w:lvlJc w:val="left"/>
      <w:pPr>
        <w:ind w:left="6596" w:hanging="360"/>
      </w:pPr>
    </w:lvl>
    <w:lvl w:ilvl="8">
      <w:start w:val="1"/>
      <w:numFmt w:val="bullet"/>
      <w:suff w:val="space"/>
      <w:lvlText w:val="•"/>
      <w:lvlJc w:val="left"/>
      <w:pPr>
        <w:ind w:left="7473" w:hanging="360"/>
      </w:pPr>
    </w:lvl>
  </w:abstractNum>
  <w:abstractNum w:abstractNumId="94" w15:restartNumberingAfterBreak="0">
    <w:nsid w:val="7F87331A"/>
    <w:multiLevelType w:val="multilevel"/>
    <w:tmpl w:val="6E3C853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95" w15:restartNumberingAfterBreak="0">
    <w:nsid w:val="7FFB2095"/>
    <w:multiLevelType w:val="multilevel"/>
    <w:tmpl w:val="64BAA7D0"/>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num w:numId="1" w16cid:durableId="282928302">
    <w:abstractNumId w:val="13"/>
  </w:num>
  <w:num w:numId="2" w16cid:durableId="2018145337">
    <w:abstractNumId w:val="4"/>
  </w:num>
  <w:num w:numId="3" w16cid:durableId="783159162">
    <w:abstractNumId w:val="18"/>
  </w:num>
  <w:num w:numId="4" w16cid:durableId="416100821">
    <w:abstractNumId w:val="54"/>
  </w:num>
  <w:num w:numId="5" w16cid:durableId="1206257478">
    <w:abstractNumId w:val="84"/>
  </w:num>
  <w:num w:numId="6" w16cid:durableId="829712839">
    <w:abstractNumId w:val="17"/>
  </w:num>
  <w:num w:numId="7" w16cid:durableId="236985893">
    <w:abstractNumId w:val="92"/>
  </w:num>
  <w:num w:numId="8" w16cid:durableId="1951625294">
    <w:abstractNumId w:val="31"/>
  </w:num>
  <w:num w:numId="9" w16cid:durableId="1381124558">
    <w:abstractNumId w:val="38"/>
  </w:num>
  <w:num w:numId="10" w16cid:durableId="1366559234">
    <w:abstractNumId w:val="59"/>
  </w:num>
  <w:num w:numId="11" w16cid:durableId="209877001">
    <w:abstractNumId w:val="90"/>
  </w:num>
  <w:num w:numId="12" w16cid:durableId="1836873631">
    <w:abstractNumId w:val="47"/>
  </w:num>
  <w:num w:numId="13" w16cid:durableId="979656375">
    <w:abstractNumId w:val="87"/>
  </w:num>
  <w:num w:numId="14" w16cid:durableId="327292454">
    <w:abstractNumId w:val="76"/>
  </w:num>
  <w:num w:numId="15" w16cid:durableId="513804273">
    <w:abstractNumId w:val="88"/>
  </w:num>
  <w:num w:numId="16" w16cid:durableId="172456850">
    <w:abstractNumId w:val="29"/>
  </w:num>
  <w:num w:numId="17" w16cid:durableId="1088425729">
    <w:abstractNumId w:val="83"/>
  </w:num>
  <w:num w:numId="18" w16cid:durableId="1563099846">
    <w:abstractNumId w:val="57"/>
  </w:num>
  <w:num w:numId="19" w16cid:durableId="1544174578">
    <w:abstractNumId w:val="42"/>
  </w:num>
  <w:num w:numId="20" w16cid:durableId="1019086093">
    <w:abstractNumId w:val="44"/>
  </w:num>
  <w:num w:numId="21" w16cid:durableId="1741636444">
    <w:abstractNumId w:val="72"/>
  </w:num>
  <w:num w:numId="22" w16cid:durableId="610741542">
    <w:abstractNumId w:val="35"/>
  </w:num>
  <w:num w:numId="23" w16cid:durableId="721439717">
    <w:abstractNumId w:val="86"/>
  </w:num>
  <w:num w:numId="24" w16cid:durableId="1532647012">
    <w:abstractNumId w:val="30"/>
  </w:num>
  <w:num w:numId="25" w16cid:durableId="779186149">
    <w:abstractNumId w:val="53"/>
  </w:num>
  <w:num w:numId="26" w16cid:durableId="1383675887">
    <w:abstractNumId w:val="40"/>
  </w:num>
  <w:num w:numId="27" w16cid:durableId="1261530759">
    <w:abstractNumId w:val="8"/>
  </w:num>
  <w:num w:numId="28" w16cid:durableId="1986157445">
    <w:abstractNumId w:val="33"/>
  </w:num>
  <w:num w:numId="29" w16cid:durableId="967977252">
    <w:abstractNumId w:val="23"/>
  </w:num>
  <w:num w:numId="30" w16cid:durableId="655576005">
    <w:abstractNumId w:val="11"/>
  </w:num>
  <w:num w:numId="31" w16cid:durableId="1146506385">
    <w:abstractNumId w:val="25"/>
  </w:num>
  <w:num w:numId="32" w16cid:durableId="1836066308">
    <w:abstractNumId w:val="6"/>
  </w:num>
  <w:num w:numId="33" w16cid:durableId="474101696">
    <w:abstractNumId w:val="77"/>
  </w:num>
  <w:num w:numId="34" w16cid:durableId="1126047561">
    <w:abstractNumId w:val="81"/>
  </w:num>
  <w:num w:numId="35" w16cid:durableId="289628542">
    <w:abstractNumId w:val="51"/>
  </w:num>
  <w:num w:numId="36" w16cid:durableId="2147314184">
    <w:abstractNumId w:val="64"/>
  </w:num>
  <w:num w:numId="37" w16cid:durableId="1105535482">
    <w:abstractNumId w:val="93"/>
  </w:num>
  <w:num w:numId="38" w16cid:durableId="2027903097">
    <w:abstractNumId w:val="79"/>
  </w:num>
  <w:num w:numId="39" w16cid:durableId="313993792">
    <w:abstractNumId w:val="14"/>
  </w:num>
  <w:num w:numId="40" w16cid:durableId="2014646023">
    <w:abstractNumId w:val="39"/>
  </w:num>
  <w:num w:numId="41" w16cid:durableId="1221359298">
    <w:abstractNumId w:val="37"/>
  </w:num>
  <w:num w:numId="42" w16cid:durableId="632255755">
    <w:abstractNumId w:val="26"/>
  </w:num>
  <w:num w:numId="43" w16cid:durableId="800616632">
    <w:abstractNumId w:val="70"/>
  </w:num>
  <w:num w:numId="44" w16cid:durableId="627318638">
    <w:abstractNumId w:val="80"/>
  </w:num>
  <w:num w:numId="45" w16cid:durableId="492331717">
    <w:abstractNumId w:val="22"/>
  </w:num>
  <w:num w:numId="46" w16cid:durableId="1282609062">
    <w:abstractNumId w:val="73"/>
  </w:num>
  <w:num w:numId="47" w16cid:durableId="1864594445">
    <w:abstractNumId w:val="10"/>
  </w:num>
  <w:num w:numId="48" w16cid:durableId="1579091735">
    <w:abstractNumId w:val="41"/>
  </w:num>
  <w:num w:numId="49" w16cid:durableId="1247225326">
    <w:abstractNumId w:val="3"/>
  </w:num>
  <w:num w:numId="50" w16cid:durableId="254562173">
    <w:abstractNumId w:val="43"/>
  </w:num>
  <w:num w:numId="51" w16cid:durableId="410933998">
    <w:abstractNumId w:val="60"/>
  </w:num>
  <w:num w:numId="52" w16cid:durableId="629286507">
    <w:abstractNumId w:val="5"/>
  </w:num>
  <w:num w:numId="53" w16cid:durableId="1009063370">
    <w:abstractNumId w:val="78"/>
  </w:num>
  <w:num w:numId="54" w16cid:durableId="200479444">
    <w:abstractNumId w:val="95"/>
  </w:num>
  <w:num w:numId="55" w16cid:durableId="467434564">
    <w:abstractNumId w:val="74"/>
  </w:num>
  <w:num w:numId="56" w16cid:durableId="1758092972">
    <w:abstractNumId w:val="68"/>
  </w:num>
  <w:num w:numId="57" w16cid:durableId="1852914008">
    <w:abstractNumId w:val="71"/>
  </w:num>
  <w:num w:numId="58" w16cid:durableId="1479494960">
    <w:abstractNumId w:val="50"/>
  </w:num>
  <w:num w:numId="59" w16cid:durableId="446317655">
    <w:abstractNumId w:val="66"/>
  </w:num>
  <w:num w:numId="60" w16cid:durableId="1455101187">
    <w:abstractNumId w:val="69"/>
  </w:num>
  <w:num w:numId="61" w16cid:durableId="1676567668">
    <w:abstractNumId w:val="67"/>
  </w:num>
  <w:num w:numId="62" w16cid:durableId="1667055240">
    <w:abstractNumId w:val="21"/>
    <w:lvlOverride w:ilvl="0">
      <w:startOverride w:val="1"/>
      <w:lvl w:ilvl="0">
        <w:start w:val="1"/>
        <w:numFmt w:val="lowerLetter"/>
        <w:suff w:val="space"/>
        <w:lvlText w:val="%1."/>
        <w:lvlJc w:val="left"/>
        <w:pPr>
          <w:ind w:left="0" w:firstLine="0"/>
        </w:pPr>
      </w:lvl>
    </w:lvlOverride>
    <w:lvlOverride w:ilvl="1">
      <w:startOverride w:val="1"/>
      <w:lvl w:ilvl="1">
        <w:start w:val="1"/>
        <w:numFmt w:val="decimal"/>
        <w:suff w:val="space"/>
        <w:lvlText w:val=""/>
        <w:lvlJc w:val="left"/>
      </w:lvl>
    </w:lvlOverride>
    <w:lvlOverride w:ilvl="2">
      <w:startOverride w:val="1"/>
      <w:lvl w:ilvl="2">
        <w:start w:val="1"/>
        <w:numFmt w:val="decimal"/>
        <w:suff w:val="space"/>
        <w:lvlText w:val=""/>
        <w:lvlJc w:val="left"/>
      </w:lvl>
    </w:lvlOverride>
    <w:lvlOverride w:ilvl="3">
      <w:startOverride w:val="1"/>
      <w:lvl w:ilvl="3">
        <w:start w:val="1"/>
        <w:numFmt w:val="decimal"/>
        <w:suff w:val="space"/>
        <w:lvlText w:val=""/>
        <w:lvlJc w:val="left"/>
      </w:lvl>
    </w:lvlOverride>
    <w:lvlOverride w:ilvl="4">
      <w:startOverride w:val="1"/>
      <w:lvl w:ilvl="4">
        <w:start w:val="1"/>
        <w:numFmt w:val="decimal"/>
        <w:suff w:val="space"/>
        <w:lvlText w:val=""/>
        <w:lvlJc w:val="left"/>
      </w:lvl>
    </w:lvlOverride>
    <w:lvlOverride w:ilvl="5">
      <w:startOverride w:val="1"/>
      <w:lvl w:ilvl="5">
        <w:start w:val="1"/>
        <w:numFmt w:val="decimal"/>
        <w:suff w:val="space"/>
        <w:lvlText w:val=""/>
        <w:lvlJc w:val="left"/>
      </w:lvl>
    </w:lvlOverride>
    <w:lvlOverride w:ilvl="6">
      <w:startOverride w:val="1"/>
      <w:lvl w:ilvl="6">
        <w:start w:val="1"/>
        <w:numFmt w:val="decimal"/>
        <w:suff w:val="space"/>
        <w:lvlText w:val=""/>
        <w:lvlJc w:val="left"/>
      </w:lvl>
    </w:lvlOverride>
    <w:lvlOverride w:ilvl="7">
      <w:startOverride w:val="1"/>
      <w:lvl w:ilvl="7">
        <w:start w:val="1"/>
        <w:numFmt w:val="decimal"/>
        <w:suff w:val="space"/>
        <w:lvlText w:val=""/>
        <w:lvlJc w:val="left"/>
      </w:lvl>
    </w:lvlOverride>
    <w:lvlOverride w:ilvl="8">
      <w:startOverride w:val="1"/>
      <w:lvl w:ilvl="8">
        <w:start w:val="1"/>
        <w:numFmt w:val="decimal"/>
        <w:suff w:val="space"/>
        <w:lvlText w:val=""/>
        <w:lvlJc w:val="left"/>
      </w:lvl>
    </w:lvlOverride>
  </w:num>
  <w:num w:numId="63" w16cid:durableId="1051807292">
    <w:abstractNumId w:val="21"/>
    <w:lvlOverride w:ilvl="0">
      <w:lvl w:ilvl="0">
        <w:start w:val="1"/>
        <w:numFmt w:val="lowerLetter"/>
        <w:suff w:val="space"/>
        <w:lvlText w:val="%1."/>
        <w:lvlJc w:val="left"/>
        <w:pPr>
          <w:ind w:left="708" w:firstLine="0"/>
        </w:pPr>
      </w:lvl>
    </w:lvlOverride>
    <w:lvlOverride w:ilvl="1">
      <w:lvl w:ilvl="1">
        <w:start w:val="1"/>
        <w:numFmt w:val="decimal"/>
        <w:suff w:val="space"/>
        <w:lvlText w:val=""/>
        <w:lvlJc w:val="left"/>
      </w:lvl>
    </w:lvlOverride>
    <w:lvlOverride w:ilvl="2">
      <w:lvl w:ilvl="2">
        <w:start w:val="1"/>
        <w:numFmt w:val="decimal"/>
        <w:suff w:val="space"/>
        <w:lvlText w:val=""/>
        <w:lvlJc w:val="left"/>
      </w:lvl>
    </w:lvlOverride>
    <w:lvlOverride w:ilvl="3">
      <w:lvl w:ilvl="3">
        <w:start w:val="1"/>
        <w:numFmt w:val="decimal"/>
        <w:suff w:val="space"/>
        <w:lvlText w:val=""/>
        <w:lvlJc w:val="left"/>
      </w:lvl>
    </w:lvlOverride>
    <w:lvlOverride w:ilvl="4">
      <w:lvl w:ilvl="4">
        <w:start w:val="1"/>
        <w:numFmt w:val="decimal"/>
        <w:suff w:val="space"/>
        <w:lvlText w:val=""/>
        <w:lvlJc w:val="left"/>
      </w:lvl>
    </w:lvlOverride>
    <w:lvlOverride w:ilvl="5">
      <w:lvl w:ilvl="5">
        <w:start w:val="1"/>
        <w:numFmt w:val="decimal"/>
        <w:suff w:val="space"/>
        <w:lvlText w:val=""/>
        <w:lvlJc w:val="left"/>
      </w:lvl>
    </w:lvlOverride>
    <w:lvlOverride w:ilvl="6">
      <w:lvl w:ilvl="6">
        <w:start w:val="1"/>
        <w:numFmt w:val="decimal"/>
        <w:suff w:val="space"/>
        <w:lvlText w:val=""/>
        <w:lvlJc w:val="left"/>
      </w:lvl>
    </w:lvlOverride>
    <w:lvlOverride w:ilvl="7">
      <w:lvl w:ilvl="7">
        <w:start w:val="1"/>
        <w:numFmt w:val="decimal"/>
        <w:suff w:val="space"/>
        <w:lvlText w:val=""/>
        <w:lvlJc w:val="left"/>
      </w:lvl>
    </w:lvlOverride>
    <w:lvlOverride w:ilvl="8">
      <w:lvl w:ilvl="8">
        <w:start w:val="1"/>
        <w:numFmt w:val="decimal"/>
        <w:suff w:val="space"/>
        <w:lvlText w:val=""/>
        <w:lvlJc w:val="left"/>
      </w:lvl>
    </w:lvlOverride>
  </w:num>
  <w:num w:numId="64" w16cid:durableId="1202550838">
    <w:abstractNumId w:val="34"/>
  </w:num>
  <w:num w:numId="65" w16cid:durableId="157041722">
    <w:abstractNumId w:val="46"/>
  </w:num>
  <w:num w:numId="66" w16cid:durableId="1216890070">
    <w:abstractNumId w:val="61"/>
  </w:num>
  <w:num w:numId="67" w16cid:durableId="798838237">
    <w:abstractNumId w:val="48"/>
  </w:num>
  <w:num w:numId="68" w16cid:durableId="578756044">
    <w:abstractNumId w:val="75"/>
  </w:num>
  <w:num w:numId="69" w16cid:durableId="1471677403">
    <w:abstractNumId w:val="9"/>
  </w:num>
  <w:num w:numId="70" w16cid:durableId="166482387">
    <w:abstractNumId w:val="2"/>
  </w:num>
  <w:num w:numId="71" w16cid:durableId="1528982992">
    <w:abstractNumId w:val="20"/>
  </w:num>
  <w:num w:numId="72" w16cid:durableId="1921793090">
    <w:abstractNumId w:val="27"/>
  </w:num>
  <w:num w:numId="73" w16cid:durableId="834953349">
    <w:abstractNumId w:val="56"/>
  </w:num>
  <w:num w:numId="74" w16cid:durableId="1001280327">
    <w:abstractNumId w:val="24"/>
  </w:num>
  <w:num w:numId="75" w16cid:durableId="740719690">
    <w:abstractNumId w:val="65"/>
  </w:num>
  <w:num w:numId="76" w16cid:durableId="794638546">
    <w:abstractNumId w:val="12"/>
  </w:num>
  <w:num w:numId="77" w16cid:durableId="452289795">
    <w:abstractNumId w:val="32"/>
  </w:num>
  <w:num w:numId="78" w16cid:durableId="453329351">
    <w:abstractNumId w:val="55"/>
  </w:num>
  <w:num w:numId="79" w16cid:durableId="2072729420">
    <w:abstractNumId w:val="45"/>
  </w:num>
  <w:num w:numId="80" w16cid:durableId="175047460">
    <w:abstractNumId w:val="82"/>
  </w:num>
  <w:num w:numId="81" w16cid:durableId="1484467196">
    <w:abstractNumId w:val="49"/>
  </w:num>
  <w:num w:numId="82" w16cid:durableId="926229240">
    <w:abstractNumId w:val="94"/>
  </w:num>
  <w:num w:numId="83" w16cid:durableId="1316447559">
    <w:abstractNumId w:val="19"/>
  </w:num>
  <w:num w:numId="84" w16cid:durableId="492916554">
    <w:abstractNumId w:val="0"/>
  </w:num>
  <w:num w:numId="85" w16cid:durableId="888421030">
    <w:abstractNumId w:val="1"/>
  </w:num>
  <w:num w:numId="86" w16cid:durableId="1279138251">
    <w:abstractNumId w:val="15"/>
  </w:num>
  <w:num w:numId="87" w16cid:durableId="2111927135">
    <w:abstractNumId w:val="58"/>
  </w:num>
  <w:num w:numId="88" w16cid:durableId="473060137">
    <w:abstractNumId w:val="85"/>
  </w:num>
  <w:num w:numId="89" w16cid:durableId="1607158494">
    <w:abstractNumId w:val="89"/>
  </w:num>
  <w:num w:numId="90" w16cid:durableId="1805193551">
    <w:abstractNumId w:val="62"/>
  </w:num>
  <w:num w:numId="91" w16cid:durableId="1121650564">
    <w:abstractNumId w:val="36"/>
  </w:num>
  <w:num w:numId="92" w16cid:durableId="1366177039">
    <w:abstractNumId w:val="52"/>
  </w:num>
  <w:num w:numId="93" w16cid:durableId="224145059">
    <w:abstractNumId w:val="7"/>
  </w:num>
  <w:num w:numId="94" w16cid:durableId="1019937505">
    <w:abstractNumId w:val="63"/>
  </w:num>
  <w:num w:numId="95" w16cid:durableId="1472208836">
    <w:abstractNumId w:val="91"/>
  </w:num>
  <w:num w:numId="96" w16cid:durableId="465318101">
    <w:abstractNumId w:val="28"/>
  </w:num>
  <w:num w:numId="97" w16cid:durableId="51361887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ndolph Galla">
    <w15:presenceInfo w15:providerId="Windows Live" w15:userId="74d215e2fdfe22c7"/>
  </w15:person>
  <w15:person w15:author="Galla, Randolph">
    <w15:presenceInfo w15:providerId="AD" w15:userId="S-1-5-21-854245398-484763869-1343024091-112153"/>
  </w15:person>
</w15:people>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lla, Randolph">
    <w15:presenceInfo w15:providerId="AD" w15:userId="S-1-5-21-854245398-484763869-1343024091-112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13F"/>
    <w:rsid w:val="004A3702"/>
    <w:rsid w:val="0053022C"/>
    <w:rsid w:val="006B113F"/>
    <w:rsid w:val="00AC772B"/>
    <w:rsid w:val="00B270F7"/>
    <w:rsid w:val="00FD3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A798"/>
  <w15:docId w15:val="{C4712377-0DD2-4E96-ACCB-0529B598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u"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link w:val="berschrift3Zchn"/>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link w:val="berschrift4Zchn"/>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link w:val="berschrift5Zchn"/>
    <w:uiPriority w:val="9"/>
    <w:semiHidden/>
    <w:unhideWhenUsed/>
    <w:qFormat/>
    <w:pPr>
      <w:keepNext/>
      <w:keepLines/>
      <w:spacing w:before="240" w:after="80"/>
      <w:outlineLvl w:val="4"/>
    </w:pPr>
    <w:rPr>
      <w:color w:val="666666"/>
    </w:rPr>
  </w:style>
  <w:style w:type="paragraph" w:styleId="berschrift6">
    <w:name w:val="heading 6"/>
    <w:basedOn w:val="Standard"/>
    <w:next w:val="Standard"/>
    <w:link w:val="berschrift6Zchn"/>
    <w:uiPriority w:val="9"/>
    <w:semiHidden/>
    <w:unhideWhenUsed/>
    <w:qFormat/>
    <w:pPr>
      <w:keepNext/>
      <w:keepLines/>
      <w:spacing w:before="240" w:after="80"/>
      <w:outlineLvl w:val="5"/>
    </w:pPr>
    <w:rPr>
      <w:i/>
      <w:color w:val="666666"/>
    </w:rPr>
  </w:style>
  <w:style w:type="paragraph" w:styleId="berschrift7">
    <w:name w:val="heading 7"/>
    <w:basedOn w:val="Standard"/>
    <w:next w:val="Standard"/>
    <w:link w:val="berschrift7Zchn"/>
    <w:uiPriority w:val="9"/>
    <w:unhideWhenUsed/>
    <w:qFormat/>
    <w:pPr>
      <w:keepNext/>
      <w:keepLines/>
      <w:spacing w:before="320" w:after="200"/>
      <w:outlineLvl w:val="6"/>
    </w:pPr>
    <w:rPr>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i/>
      <w:iCs/>
    </w:rPr>
  </w:style>
  <w:style w:type="paragraph" w:styleId="berschrift9">
    <w:name w:val="heading 9"/>
    <w:basedOn w:val="Standard"/>
    <w:next w:val="Standard"/>
    <w:link w:val="berschrift9Zchn"/>
    <w:uiPriority w:val="9"/>
    <w:unhideWhenUsed/>
    <w:qFormat/>
    <w:pPr>
      <w:keepNext/>
      <w:keepLines/>
      <w:spacing w:before="320" w:after="200"/>
      <w:outlineLvl w:val="8"/>
    </w:pPr>
    <w:rPr>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21"/>
    <w:qFormat/>
    <w:rPr>
      <w:i/>
      <w:iCs/>
      <w:color w:val="365F91" w:themeColor="accent1" w:themeShade="BF"/>
    </w:rPr>
  </w:style>
  <w:style w:type="character" w:styleId="IntensiverVerweis">
    <w:name w:val="Intense Reference"/>
    <w:basedOn w:val="Absatz-Standardschriftart"/>
    <w:uiPriority w:val="32"/>
    <w:qFormat/>
    <w:rPr>
      <w:b/>
      <w:bCs/>
      <w:smallCaps/>
      <w:color w:val="365F91" w:themeColor="accent1" w:themeShade="BF"/>
      <w:spacing w:val="5"/>
    </w:rPr>
  </w:style>
  <w:style w:type="character" w:styleId="SchwacheHervorhebung">
    <w:name w:val="Subtle Emphasis"/>
    <w:basedOn w:val="Absatz-Standardschriftart"/>
    <w:uiPriority w:val="19"/>
    <w:qFormat/>
    <w:rPr>
      <w:i/>
      <w:iCs/>
      <w:color w:val="404040" w:themeColor="text1" w:themeTint="BF"/>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link w:val="ListenabsatzZchn"/>
    <w:uiPriority w:val="1"/>
    <w:qFormat/>
    <w:pPr>
      <w:ind w:left="720"/>
      <w:contextualSpacing/>
    </w:pPr>
  </w:style>
  <w:style w:type="paragraph" w:styleId="KeinLeerraum">
    <w:name w:val="No Spacing"/>
    <w:uiPriority w:val="1"/>
    <w:qFormat/>
    <w:pPr>
      <w:spacing w:line="240" w:lineRule="auto"/>
    </w:pPr>
  </w:style>
  <w:style w:type="character" w:customStyle="1" w:styleId="TitelZchn">
    <w:name w:val="Titel Zchn"/>
    <w:basedOn w:val="Absatz-Standardschriftart"/>
    <w:link w:val="Titel"/>
    <w:uiPriority w:val="10"/>
    <w:rPr>
      <w:sz w:val="48"/>
      <w:szCs w:val="48"/>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46"/>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lang w:val="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lang w:val="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line="240" w:lineRule="auto"/>
    </w:pPr>
    <w:rPr>
      <w:color w:val="404040"/>
      <w:sz w:val="20"/>
      <w:szCs w:val="20"/>
      <w:lang w:val="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line="240" w:lineRule="auto"/>
    </w:pPr>
    <w:rPr>
      <w:color w:val="404040"/>
      <w:sz w:val="20"/>
      <w:szCs w:val="20"/>
      <w:lang w:val="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line="240" w:lineRule="auto"/>
    </w:pPr>
    <w:rPr>
      <w:color w:val="404040"/>
      <w:sz w:val="20"/>
      <w:szCs w:val="20"/>
      <w:lang w:val="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line="240" w:lineRule="auto"/>
    </w:pPr>
    <w:rPr>
      <w:color w:val="404040"/>
      <w:sz w:val="20"/>
      <w:szCs w:val="20"/>
      <w:lang w:val="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line="240" w:lineRule="auto"/>
    </w:pPr>
    <w:rPr>
      <w:color w:val="404040"/>
      <w:sz w:val="20"/>
      <w:szCs w:val="20"/>
      <w:lang w:val="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lang w:val="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lang w:val="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lang w:val="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lang w:val="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lang w:val="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lang w:val="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lang w:val="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pPr>
      <w:keepNext/>
      <w:keepLines/>
      <w:spacing w:after="60"/>
    </w:pPr>
    <w:rPr>
      <w:sz w:val="52"/>
      <w:szCs w:val="52"/>
    </w:rPr>
  </w:style>
  <w:style w:type="paragraph" w:styleId="Untertitel">
    <w:name w:val="Subtitle"/>
    <w:basedOn w:val="Standard"/>
    <w:next w:val="Standard"/>
    <w:link w:val="UntertitelZchn"/>
    <w:uiPriority w:val="11"/>
    <w:qFormat/>
    <w:pPr>
      <w:keepNext/>
      <w:keepLines/>
      <w:spacing w:after="320"/>
    </w:pPr>
    <w:rPr>
      <w:color w:val="666666"/>
      <w:sz w:val="30"/>
      <w:szCs w:val="30"/>
    </w:rPr>
  </w:style>
  <w:style w:type="table" w:customStyle="1" w:styleId="StGen0">
    <w:name w:val="StGen0"/>
    <w:basedOn w:val="TableNormal"/>
    <w:tblPr>
      <w:tblStyleRowBandSize w:val="1"/>
      <w:tblStyleColBandSize w:val="1"/>
    </w:tblPr>
  </w:style>
  <w:style w:type="table" w:customStyle="1" w:styleId="StGen1">
    <w:name w:val="StGen1"/>
    <w:basedOn w:val="TableNormal"/>
    <w:tblPr>
      <w:tblStyleRowBandSize w:val="1"/>
      <w:tblStyleColBandSize w:val="1"/>
      <w:tblCellMar>
        <w:left w:w="115" w:type="dxa"/>
        <w:right w:w="115" w:type="dxa"/>
      </w:tblCellMar>
    </w:tblPr>
  </w:style>
  <w:style w:type="table" w:customStyle="1" w:styleId="StGen2">
    <w:name w:val="StGen2"/>
    <w:basedOn w:val="TableNormal"/>
    <w:tblPr>
      <w:tblStyleRowBandSize w:val="1"/>
      <w:tblStyleColBandSize w:val="1"/>
      <w:tblCellMar>
        <w:top w:w="15" w:type="dxa"/>
        <w:left w:w="15" w:type="dxa"/>
        <w:bottom w:w="15" w:type="dxa"/>
        <w:right w:w="15"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line="240" w:lineRule="auto"/>
    </w:pPr>
  </w:style>
  <w:style w:type="character" w:customStyle="1" w:styleId="berschrift3Zchn">
    <w:name w:val="Überschrift 3 Zchn"/>
    <w:basedOn w:val="Absatz-Standardschriftart"/>
    <w:link w:val="berschrift3"/>
    <w:uiPriority w:val="9"/>
    <w:rPr>
      <w:color w:val="434343"/>
      <w:sz w:val="28"/>
      <w:szCs w:val="28"/>
    </w:rPr>
  </w:style>
  <w:style w:type="character" w:customStyle="1" w:styleId="cf01">
    <w:name w:val="cf01"/>
    <w:basedOn w:val="Absatz-Standardschriftart"/>
    <w:rPr>
      <w:rFonts w:ascii="Segoe UI" w:hAnsi="Segoe UI" w:cs="Segoe UI" w:hint="default"/>
      <w:sz w:val="18"/>
      <w:szCs w:val="18"/>
    </w:rPr>
  </w:style>
  <w:style w:type="paragraph" w:styleId="Verzeichnis3">
    <w:name w:val="toc 3"/>
    <w:basedOn w:val="Standard"/>
    <w:next w:val="Standard"/>
    <w:uiPriority w:val="39"/>
    <w:unhideWhenUsed/>
    <w:pPr>
      <w:tabs>
        <w:tab w:val="right" w:pos="9019"/>
      </w:tabs>
      <w:spacing w:after="100"/>
      <w:ind w:left="440" w:hanging="440"/>
    </w:pPr>
  </w:style>
  <w:style w:type="paragraph" w:styleId="Verzeichnis1">
    <w:name w:val="toc 1"/>
    <w:basedOn w:val="Standard"/>
    <w:next w:val="Standard"/>
    <w:uiPriority w:val="39"/>
    <w:unhideWhenUsed/>
    <w:pPr>
      <w:tabs>
        <w:tab w:val="right" w:pos="9019"/>
      </w:tabs>
      <w:spacing w:after="100"/>
    </w:pPr>
  </w:style>
  <w:style w:type="paragraph" w:styleId="Verzeichnis2">
    <w:name w:val="toc 2"/>
    <w:basedOn w:val="Standard"/>
    <w:next w:val="Standard"/>
    <w:uiPriority w:val="39"/>
    <w:unhideWhenUsed/>
    <w:pPr>
      <w:tabs>
        <w:tab w:val="left" w:pos="1100"/>
        <w:tab w:val="right" w:pos="9019"/>
      </w:tabs>
      <w:spacing w:after="100"/>
      <w:ind w:left="220"/>
    </w:pPr>
  </w:style>
  <w:style w:type="paragraph" w:styleId="Verzeichnis4">
    <w:name w:val="toc 4"/>
    <w:basedOn w:val="Standard"/>
    <w:next w:val="Standard"/>
    <w:uiPriority w:val="39"/>
    <w:unhideWhenUsed/>
    <w:pPr>
      <w:spacing w:after="100" w:line="259" w:lineRule="auto"/>
      <w:ind w:left="660"/>
    </w:pPr>
    <w:rPr>
      <w:rFonts w:asciiTheme="minorHAnsi" w:eastAsiaTheme="minorEastAsia" w:hAnsiTheme="minorHAnsi" w:cstheme="minorBidi"/>
      <w:lang w:val="de-DE"/>
    </w:rPr>
  </w:style>
  <w:style w:type="paragraph" w:styleId="Verzeichnis5">
    <w:name w:val="toc 5"/>
    <w:basedOn w:val="Standard"/>
    <w:next w:val="Standard"/>
    <w:uiPriority w:val="39"/>
    <w:unhideWhenUsed/>
    <w:pPr>
      <w:spacing w:after="100" w:line="259" w:lineRule="auto"/>
      <w:ind w:left="880"/>
    </w:pPr>
    <w:rPr>
      <w:rFonts w:asciiTheme="minorHAnsi" w:eastAsiaTheme="minorEastAsia" w:hAnsiTheme="minorHAnsi" w:cstheme="minorBidi"/>
      <w:lang w:val="de-DE"/>
    </w:rPr>
  </w:style>
  <w:style w:type="paragraph" w:styleId="Verzeichnis6">
    <w:name w:val="toc 6"/>
    <w:basedOn w:val="Standard"/>
    <w:next w:val="Standard"/>
    <w:uiPriority w:val="39"/>
    <w:unhideWhenUsed/>
    <w:pPr>
      <w:spacing w:after="100" w:line="259" w:lineRule="auto"/>
      <w:ind w:left="1100"/>
    </w:pPr>
    <w:rPr>
      <w:rFonts w:asciiTheme="minorHAnsi" w:eastAsiaTheme="minorEastAsia" w:hAnsiTheme="minorHAnsi" w:cstheme="minorBidi"/>
      <w:lang w:val="de-DE"/>
    </w:rPr>
  </w:style>
  <w:style w:type="paragraph" w:styleId="Verzeichnis7">
    <w:name w:val="toc 7"/>
    <w:basedOn w:val="Standard"/>
    <w:next w:val="Standard"/>
    <w:uiPriority w:val="39"/>
    <w:unhideWhenUsed/>
    <w:pPr>
      <w:spacing w:after="100" w:line="259" w:lineRule="auto"/>
      <w:ind w:left="1320"/>
    </w:pPr>
    <w:rPr>
      <w:rFonts w:asciiTheme="minorHAnsi" w:eastAsiaTheme="minorEastAsia" w:hAnsiTheme="minorHAnsi" w:cstheme="minorBidi"/>
      <w:lang w:val="de-DE"/>
    </w:rPr>
  </w:style>
  <w:style w:type="paragraph" w:styleId="Verzeichnis8">
    <w:name w:val="toc 8"/>
    <w:basedOn w:val="Standard"/>
    <w:next w:val="Standard"/>
    <w:uiPriority w:val="39"/>
    <w:unhideWhenUsed/>
    <w:pPr>
      <w:spacing w:after="100" w:line="259" w:lineRule="auto"/>
      <w:ind w:left="1540"/>
    </w:pPr>
    <w:rPr>
      <w:rFonts w:asciiTheme="minorHAnsi" w:eastAsiaTheme="minorEastAsia" w:hAnsiTheme="minorHAnsi" w:cstheme="minorBidi"/>
      <w:lang w:val="de-DE"/>
    </w:rPr>
  </w:style>
  <w:style w:type="paragraph" w:styleId="Verzeichnis9">
    <w:name w:val="toc 9"/>
    <w:basedOn w:val="Standard"/>
    <w:next w:val="Standard"/>
    <w:uiPriority w:val="39"/>
    <w:unhideWhenUsed/>
    <w:pPr>
      <w:spacing w:after="100" w:line="259" w:lineRule="auto"/>
      <w:ind w:left="1760"/>
    </w:pPr>
    <w:rPr>
      <w:rFonts w:asciiTheme="minorHAnsi" w:eastAsiaTheme="minorEastAsia" w:hAnsiTheme="minorHAnsi" w:cstheme="minorBidi"/>
      <w:lang w:val="de-DE"/>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style>
  <w:style w:type="character" w:customStyle="1" w:styleId="cf11">
    <w:name w:val="cf11"/>
    <w:basedOn w:val="Absatz-Standardschriftart"/>
    <w:rPr>
      <w:rFonts w:ascii="Segoe UI" w:hAnsi="Segoe UI" w:cs="Segoe UI" w:hint="default"/>
      <w:sz w:val="18"/>
      <w:szCs w:val="18"/>
    </w:rPr>
  </w:style>
  <w:style w:type="character" w:styleId="Hervorhebung">
    <w:name w:val="Emphasis"/>
    <w:basedOn w:val="Absatz-Standardschriftart"/>
    <w:uiPriority w:val="20"/>
    <w:qFormat/>
    <w:rPr>
      <w:i/>
      <w:iCs/>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pf0">
    <w:name w:val="pf0"/>
    <w:basedOn w:val="Standard"/>
    <w:pPr>
      <w:spacing w:before="100" w:beforeAutospacing="1" w:after="100" w:afterAutospacing="1" w:line="240" w:lineRule="auto"/>
    </w:pPr>
    <w:rPr>
      <w:rFonts w:ascii="Times New Roman" w:eastAsia="Times New Roman" w:hAnsi="Times New Roman" w:cs="Times New Roman"/>
      <w:sz w:val="24"/>
      <w:szCs w:val="24"/>
      <w:lang w:val="de-DE"/>
    </w:rPr>
  </w:style>
  <w:style w:type="character" w:customStyle="1" w:styleId="A2">
    <w:name w:val="A2"/>
    <w:uiPriority w:val="99"/>
    <w:rPr>
      <w:color w:val="000000"/>
      <w:sz w:val="28"/>
      <w:szCs w:val="28"/>
    </w:rPr>
  </w:style>
  <w:style w:type="character" w:customStyle="1" w:styleId="A4">
    <w:name w:val="A4"/>
    <w:uiPriority w:val="99"/>
    <w:rPr>
      <w:color w:val="F9F9F9"/>
      <w:sz w:val="36"/>
      <w:szCs w:val="36"/>
    </w:rPr>
  </w:style>
  <w:style w:type="paragraph" w:customStyle="1" w:styleId="TableParagraph">
    <w:name w:val="Table Paragraph"/>
    <w:uiPriority w:val="1"/>
    <w:qFormat/>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pPr>
    <w:rPr>
      <w:rFonts w:asciiTheme="minorHAnsi" w:eastAsiaTheme="minorEastAsia" w:hAnsiTheme="minorHAnsi" w:cstheme="minorBidi"/>
      <w:lang w:val="en-GB" w:eastAsia="en-US"/>
    </w:rPr>
  </w:style>
  <w:style w:type="character" w:customStyle="1" w:styleId="docdata">
    <w:name w:val="docdata"/>
    <w:basedOn w:val="Absatz-Standardschriftart"/>
  </w:style>
  <w:style w:type="paragraph" w:styleId="NurText">
    <w:name w:val="Plain Text"/>
    <w:basedOn w:val="Standard"/>
    <w:link w:val="NurTextZchn"/>
    <w:uiPriority w:val="99"/>
    <w:unhideWhenUsed/>
    <w:pPr>
      <w:spacing w:line="240" w:lineRule="auto"/>
    </w:pPr>
    <w:rPr>
      <w:rFonts w:ascii="Consolas" w:eastAsiaTheme="minorHAnsi" w:hAnsi="Consolas" w:cstheme="minorBidi"/>
      <w:sz w:val="21"/>
      <w:szCs w:val="21"/>
      <w:lang w:val="de-DE" w:eastAsia="en-US"/>
    </w:rPr>
  </w:style>
  <w:style w:type="character" w:customStyle="1" w:styleId="NurTextZchn">
    <w:name w:val="Nur Text Zchn"/>
    <w:basedOn w:val="Absatz-Standardschriftart"/>
    <w:link w:val="NurText"/>
    <w:uiPriority w:val="99"/>
    <w:rPr>
      <w:rFonts w:ascii="Consolas" w:eastAsiaTheme="minorHAnsi" w:hAnsi="Consolas" w:cstheme="minorBidi"/>
      <w:sz w:val="21"/>
      <w:szCs w:val="21"/>
      <w:lang w:val="de-DE" w:eastAsia="en-US"/>
    </w:rPr>
  </w:style>
  <w:style w:type="paragraph" w:styleId="Textkrper">
    <w:name w:val="Body Text"/>
    <w:basedOn w:val="Standard"/>
    <w:link w:val="TextkrperZchn"/>
    <w:uiPriority w:val="99"/>
    <w:unhideWhenUsed/>
    <w:qFormat/>
    <w:pPr>
      <w:widowControl w:val="0"/>
      <w:spacing w:line="240" w:lineRule="auto"/>
    </w:pPr>
    <w:rPr>
      <w:rFonts w:ascii="Times New Roman" w:eastAsia="Times New Roman" w:hAnsi="Times New Roman" w:cs="Times New Roman"/>
      <w:sz w:val="24"/>
      <w:szCs w:val="24"/>
      <w:lang w:val="en-US" w:eastAsia="en-US"/>
    </w:rPr>
  </w:style>
  <w:style w:type="character" w:customStyle="1" w:styleId="TextkrperZchn">
    <w:name w:val="Textkörper Zchn"/>
    <w:basedOn w:val="Absatz-Standardschriftart"/>
    <w:link w:val="Textkrper"/>
    <w:uiPriority w:val="99"/>
    <w:rPr>
      <w:rFonts w:ascii="Times New Roman" w:eastAsia="Times New Roman" w:hAnsi="Times New Roman" w:cs="Times New Roman"/>
      <w:sz w:val="24"/>
      <w:szCs w:val="24"/>
      <w:lang w:val="en-US" w:eastAsia="en-US"/>
    </w:rPr>
  </w:style>
  <w:style w:type="character" w:customStyle="1" w:styleId="ui-provider">
    <w:name w:val="ui-provider"/>
    <w:basedOn w:val="Absatz-Standardschriftart"/>
  </w:style>
  <w:style w:type="character" w:styleId="Fett">
    <w:name w:val="Strong"/>
    <w:basedOn w:val="Absatz-Standardschriftart"/>
    <w:uiPriority w:val="22"/>
    <w:qFormat/>
    <w:rPr>
      <w:b/>
      <w:bCs/>
    </w:rPr>
  </w:style>
  <w:style w:type="paragraph" w:customStyle="1" w:styleId="phone">
    <w:name w:val="phone"/>
    <w:basedOn w:val="Standard"/>
    <w:pP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website">
    <w:name w:val="website"/>
    <w:basedOn w:val="Standard"/>
    <w:pP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gmail-tableparagraph">
    <w:name w:val="gmail-tableparagraph"/>
    <w:basedOn w:val="Standard"/>
    <w:pPr>
      <w:spacing w:before="100" w:beforeAutospacing="1" w:after="100" w:afterAutospacing="1" w:line="240" w:lineRule="auto"/>
    </w:pPr>
    <w:rPr>
      <w:rFonts w:ascii="Calibri" w:eastAsiaTheme="minorHAnsi" w:hAnsi="Calibri" w:cs="Calibri"/>
      <w:lang w:val="de-DE"/>
    </w:rPr>
  </w:style>
  <w:style w:type="character" w:customStyle="1" w:styleId="ListenabsatzZchn">
    <w:name w:val="Listenabsatz Zchn"/>
    <w:link w:val="Listenabsatz"/>
    <w:uiPriority w:val="1"/>
    <w:qFormat/>
  </w:style>
  <w:style w:type="paragraph" w:customStyle="1" w:styleId="docy">
    <w:name w:val="docy"/>
    <w:basedOn w:val="Standard"/>
    <w:pPr>
      <w:spacing w:before="100" w:beforeAutospacing="1" w:after="100" w:afterAutospacing="1" w:line="240" w:lineRule="auto"/>
    </w:pPr>
    <w:rPr>
      <w:rFonts w:ascii="Times New Roman" w:eastAsia="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nic.eu/en/universities/university-of-oulu" TargetMode="External"/><Relationship Id="rId21" Type="http://schemas.microsoft.com/office/2016/09/relationships/commentsIds" Target="commentsIds.xml"/><Relationship Id="rId42" Type="http://schemas.openxmlformats.org/officeDocument/2006/relationships/hyperlink" Target="https://unic.eu/en/universities/university-of-oulu" TargetMode="External"/><Relationship Id="rId47" Type="http://schemas.openxmlformats.org/officeDocument/2006/relationships/hyperlink" Target="mailto:petar.ceronja@pravo.hr" TargetMode="External"/><Relationship Id="rId63" Type="http://schemas.microsoft.com/office/2011/relationships/people" Target="people.xml"/><Relationship Id="rId68" Type="http://schemas.onlyoffice.com/commentsExtendedDocument" Target="commentsExtended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ic.eu/en/universities/university-of-oulu" TargetMode="External"/><Relationship Id="rId29" Type="http://schemas.openxmlformats.org/officeDocument/2006/relationships/hyperlink" Target="https://unic.eu/en/universities/erasmus-university" TargetMode="External"/><Relationship Id="rId11" Type="http://schemas.openxmlformats.org/officeDocument/2006/relationships/hyperlink" Target="https://unic.eu/en/universities/university-of-liege" TargetMode="External"/><Relationship Id="rId24" Type="http://schemas.openxmlformats.org/officeDocument/2006/relationships/hyperlink" Target="https://unic.eu/en/universities/erasmus-university" TargetMode="External"/><Relationship Id="rId32" Type="http://schemas.openxmlformats.org/officeDocument/2006/relationships/hyperlink" Target="https://unic.eu/en/universities/university-of-zagreb" TargetMode="External"/><Relationship Id="rId37" Type="http://schemas.openxmlformats.org/officeDocument/2006/relationships/hyperlink" Target="https://unic.eu/en/universities/university-of-oulu" TargetMode="External"/><Relationship Id="rId40" Type="http://schemas.openxmlformats.org/officeDocument/2006/relationships/hyperlink" Target="https://unic.eu/en/universities/erasmus-university" TargetMode="External"/><Relationship Id="rId45" Type="http://schemas.openxmlformats.org/officeDocument/2006/relationships/hyperlink" Target="mailto:unic.ud@deusto.es" TargetMode="External"/><Relationship Id="rId53" Type="http://schemas.openxmlformats.org/officeDocument/2006/relationships/image" Target="media/image40.png"/><Relationship Id="rId58" Type="http://schemas.openxmlformats.org/officeDocument/2006/relationships/hyperlink" Target="https://www.ldi.nrw.de/" TargetMode="External"/><Relationship Id="rId66" Type="http://schemas.onlyoffice.com/commentsDocument" Target="commentsDocument.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comments" Target="comments.xml"/><Relationship Id="rId14" Type="http://schemas.openxmlformats.org/officeDocument/2006/relationships/hyperlink" Target="https://unic.eu/en/universities/university-of-liege" TargetMode="External"/><Relationship Id="rId22" Type="http://schemas.microsoft.com/office/2018/08/relationships/commentsExtensible" Target="commentsExtensible.xml"/><Relationship Id="rId27" Type="http://schemas.openxmlformats.org/officeDocument/2006/relationships/hyperlink" Target="https://unic.eu/en/universities/university-of-zagreb" TargetMode="External"/><Relationship Id="rId30" Type="http://schemas.openxmlformats.org/officeDocument/2006/relationships/hyperlink" Target="https://unic.eu/en/universities/university-of-liege" TargetMode="External"/><Relationship Id="rId35" Type="http://schemas.openxmlformats.org/officeDocument/2006/relationships/hyperlink" Target="https://unic.eu/en/universities/erasmus-university" TargetMode="External"/><Relationship Id="rId43" Type="http://schemas.openxmlformats.org/officeDocument/2006/relationships/hyperlink" Target="https://unic.eu/en/universities/university-of-zagreb" TargetMode="External"/><Relationship Id="rId48" Type="http://schemas.openxmlformats.org/officeDocument/2006/relationships/image" Target="media/image1.jpg"/><Relationship Id="rId56" Type="http://schemas.openxmlformats.org/officeDocument/2006/relationships/image" Target="media/image6.png"/><Relationship Id="rId64" Type="http://schemas.openxmlformats.org/officeDocument/2006/relationships/theme" Target="theme/theme1.xml"/><Relationship Id="rId69" Type="http://schemas.onlyoffice.com/peopleDocument" Target="peopleDocument.xml"/><Relationship Id="rId8" Type="http://schemas.openxmlformats.org/officeDocument/2006/relationships/hyperlink" Target="https://unic.eu/en/universities/university-college-cork" TargetMode="Externa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unic.eu/en/universities/university-of-liege" TargetMode="External"/><Relationship Id="rId17" Type="http://schemas.openxmlformats.org/officeDocument/2006/relationships/hyperlink" Target="https://unic.eu/en/universities/university-of-zagreb" TargetMode="External"/><Relationship Id="rId25" Type="http://schemas.openxmlformats.org/officeDocument/2006/relationships/hyperlink" Target="https://unic.eu/en/universities/university-of-liege" TargetMode="External"/><Relationship Id="rId33" Type="http://schemas.openxmlformats.org/officeDocument/2006/relationships/hyperlink" Target="https://unic.eu/en/universities/university-college-cork" TargetMode="External"/><Relationship Id="rId38" Type="http://schemas.openxmlformats.org/officeDocument/2006/relationships/hyperlink" Target="https://unic.eu/en/universities/university-of-zagreb" TargetMode="External"/><Relationship Id="rId46" Type="http://schemas.openxmlformats.org/officeDocument/2006/relationships/hyperlink" Target="mailto:dpo@oulu.fi" TargetMode="External"/><Relationship Id="rId59" Type="http://schemas.openxmlformats.org/officeDocument/2006/relationships/hyperlink" Target="http://www.kvkk.gov.tr" TargetMode="External"/><Relationship Id="rId67" Type="http://schemas.onlyoffice.com/commentsIdsDocument" Target="commentsIdsDocument.xml"/><Relationship Id="rId20" Type="http://schemas.microsoft.com/office/2011/relationships/commentsExtended" Target="commentsExtended.xml"/><Relationship Id="rId41" Type="http://schemas.openxmlformats.org/officeDocument/2006/relationships/hyperlink" Target="https://unic.eu/en/universities/university-of-liege" TargetMode="External"/><Relationship Id="rId54" Type="http://schemas.openxmlformats.org/officeDocument/2006/relationships/image" Target="media/image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ic.eu/en/universities/university-of-oulu" TargetMode="External"/><Relationship Id="rId23" Type="http://schemas.openxmlformats.org/officeDocument/2006/relationships/hyperlink" Target="https://unic.eu/en/universities/university-college-cork" TargetMode="External"/><Relationship Id="rId28" Type="http://schemas.openxmlformats.org/officeDocument/2006/relationships/hyperlink" Target="https://unic.eu/en/universities/university-college-cork" TargetMode="External"/><Relationship Id="rId36" Type="http://schemas.openxmlformats.org/officeDocument/2006/relationships/hyperlink" Target="https://unic.eu/en/universities/university-of-liege" TargetMode="External"/><Relationship Id="rId49" Type="http://schemas.openxmlformats.org/officeDocument/2006/relationships/image" Target="media/image2.jpg"/><Relationship Id="rId57" Type="http://schemas.openxmlformats.org/officeDocument/2006/relationships/image" Target="media/image60.png"/><Relationship Id="rId10" Type="http://schemas.openxmlformats.org/officeDocument/2006/relationships/hyperlink" Target="https://unic.eu/en/universities/erasmus-university" TargetMode="External"/><Relationship Id="rId31" Type="http://schemas.openxmlformats.org/officeDocument/2006/relationships/hyperlink" Target="https://unic.eu/en/universities/university-of-oulu" TargetMode="External"/><Relationship Id="rId44" Type="http://schemas.openxmlformats.org/officeDocument/2006/relationships/hyperlink" Target="mailto:gdpr@ucc.ie" TargetMode="External"/><Relationship Id="rId52" Type="http://schemas.openxmlformats.org/officeDocument/2006/relationships/image" Target="media/image4.png"/><Relationship Id="rId60" Type="http://schemas.openxmlformats.org/officeDocument/2006/relationships/hyperlink" Target="https://www.kvkk.gov.tr/Icerik/2025/Iletisim" TargetMode="External"/><Relationship Id="rId65" Type="http://schemas.onlyoffice.com/commentsExtensibleDocument" Target="commentsExtensibleDocument.xml"/><Relationship Id="rId4" Type="http://schemas.openxmlformats.org/officeDocument/2006/relationships/settings" Target="settings.xml"/><Relationship Id="rId9" Type="http://schemas.openxmlformats.org/officeDocument/2006/relationships/hyperlink" Target="https://unic.eu/en/universities/university-of-deusto" TargetMode="External"/><Relationship Id="rId13" Type="http://schemas.openxmlformats.org/officeDocument/2006/relationships/hyperlink" Target="https://unic.eu/en/universities/university-of-liege" TargetMode="External"/><Relationship Id="rId18" Type="http://schemas.openxmlformats.org/officeDocument/2006/relationships/hyperlink" Target="https://unic.eu/en/universities/university-of-zagreb" TargetMode="External"/><Relationship Id="rId39" Type="http://schemas.openxmlformats.org/officeDocument/2006/relationships/hyperlink" Target="https://unic.eu/en/universities/university-college-cork" TargetMode="External"/><Relationship Id="rId34" Type="http://schemas.openxmlformats.org/officeDocument/2006/relationships/hyperlink" Target="https://unic.eu/en/universities/university-college-cork" TargetMode="External"/><Relationship Id="rId50" Type="http://schemas.openxmlformats.org/officeDocument/2006/relationships/image" Target="media/image2.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1505B-B745-470D-928F-7B1E5832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26484</Words>
  <Characters>166851</Characters>
  <Application>Microsoft Office Word</Application>
  <DocSecurity>0</DocSecurity>
  <Lines>1390</Lines>
  <Paragraphs>385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Randolph Galla</dc:creator>
  <cp:lastModifiedBy>Susanne Lippold</cp:lastModifiedBy>
  <cp:revision>2</cp:revision>
  <dcterms:created xsi:type="dcterms:W3CDTF">2026-01-20T16:26:00Z</dcterms:created>
  <dcterms:modified xsi:type="dcterms:W3CDTF">2026-01-20T16:26:00Z</dcterms:modified>
</cp:coreProperties>
</file>