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AEC" w:rsidRPr="0020076A" w:rsidRDefault="001A1C52" w:rsidP="00C223B4">
      <w:pPr>
        <w:pStyle w:val="berschrift1"/>
        <w:rPr>
          <w:rFonts w:asciiTheme="minorHAnsi" w:hAnsiTheme="minorHAnsi" w:cstheme="minorHAnsi"/>
        </w:rPr>
      </w:pPr>
      <w:r w:rsidRPr="0020076A">
        <w:rPr>
          <w:rFonts w:asciiTheme="minorHAnsi" w:hAnsiTheme="minorHAnsi" w:cstheme="minorHAnsi"/>
        </w:rPr>
        <w:t>Kurs</w:t>
      </w:r>
      <w:r w:rsidR="00EB11E8" w:rsidRPr="0020076A">
        <w:rPr>
          <w:rFonts w:asciiTheme="minorHAnsi" w:hAnsiTheme="minorHAnsi" w:cstheme="minorHAnsi"/>
        </w:rPr>
        <w:t>beschreibung</w:t>
      </w:r>
    </w:p>
    <w:p w:rsidR="00C17695" w:rsidRPr="0020076A" w:rsidRDefault="00C17695" w:rsidP="00C17695">
      <w:pPr>
        <w:rPr>
          <w:rFonts w:cstheme="minorHAnsi"/>
          <w:bCs/>
        </w:rPr>
      </w:pPr>
      <w:r w:rsidRPr="0020076A">
        <w:rPr>
          <w:rFonts w:cstheme="minorHAnsi"/>
          <w:bCs/>
        </w:rPr>
        <w:t xml:space="preserve">Das Lernmodul „Grundlagen und übergreifende Konzepte“ wurde 2025 im Rahmen des Projektvorhabens von </w:t>
      </w:r>
      <w:hyperlink r:id="rId5" w:history="1">
        <w:r w:rsidRPr="0020076A">
          <w:rPr>
            <w:rStyle w:val="Hyperlink"/>
            <w:rFonts w:cstheme="minorHAnsi"/>
            <w:bCs/>
          </w:rPr>
          <w:t>DIM.RUHR</w:t>
        </w:r>
      </w:hyperlink>
      <w:r w:rsidRPr="0020076A">
        <w:rPr>
          <w:rFonts w:cstheme="minorHAnsi"/>
          <w:bCs/>
        </w:rPr>
        <w:t xml:space="preserve"> erstellt. Hintergrund ist, dass in Forschung und Versorgung im Gesundheitswesen eine zunehmend hohe Anzahl an Daten generiert wird. Ein sachgerechter Umgang mit diesen Daten erfordert interdisziplinäre Kompetenzen. Im Rahmen des Projektes DIM.RUHR wurden Lehr- und Lernangebote als OER für Zielgruppen aus Versorgung und Forschung erstellt, die dazu beitragen sollen, versorgungsnahe Daten in der Versorgungsforschung besser zu nutzen. </w:t>
      </w:r>
    </w:p>
    <w:p w:rsidR="00C17695" w:rsidRPr="0020076A" w:rsidRDefault="00C17695" w:rsidP="00C17695">
      <w:pPr>
        <w:rPr>
          <w:rFonts w:cstheme="minorHAnsi"/>
          <w:bCs/>
        </w:rPr>
      </w:pPr>
      <w:r w:rsidRPr="0020076A">
        <w:rPr>
          <w:rFonts w:cstheme="minorHAnsi"/>
          <w:bCs/>
        </w:rPr>
        <w:t>Der Kurs richtet sich an Studierende, kann aber auch für Promovierende, Forschende oder weitere Zielgruppen genutzt und angepasst werden. Daher wurden die Kursmaterialien unter die Open Content-Lizenz CC BY 4.0 gestellt.</w:t>
      </w:r>
    </w:p>
    <w:p w:rsidR="00C17695" w:rsidRPr="0020076A" w:rsidRDefault="00C17695" w:rsidP="00EB11E8">
      <w:pPr>
        <w:rPr>
          <w:rFonts w:cstheme="minorHAnsi"/>
          <w:b/>
          <w:bCs/>
        </w:rPr>
      </w:pPr>
    </w:p>
    <w:p w:rsidR="00EB11E8" w:rsidRPr="0020076A" w:rsidRDefault="00EB11E8" w:rsidP="00C223B4">
      <w:pPr>
        <w:pStyle w:val="berschrift1"/>
        <w:rPr>
          <w:rFonts w:asciiTheme="minorHAnsi" w:hAnsiTheme="minorHAnsi" w:cstheme="minorHAnsi"/>
        </w:rPr>
      </w:pPr>
      <w:r w:rsidRPr="0020076A">
        <w:rPr>
          <w:rFonts w:asciiTheme="minorHAnsi" w:hAnsiTheme="minorHAnsi" w:cstheme="minorHAnsi"/>
        </w:rPr>
        <w:t>Inhalte des Kurses Grundlagen &amp; Übergreifende Konzepte</w:t>
      </w:r>
    </w:p>
    <w:p w:rsidR="00C91B61" w:rsidRPr="0020076A" w:rsidRDefault="00EB11E8" w:rsidP="00EB11E8">
      <w:pPr>
        <w:rPr>
          <w:rFonts w:cstheme="minorHAnsi"/>
        </w:rPr>
      </w:pPr>
      <w:r w:rsidRPr="0020076A">
        <w:rPr>
          <w:rFonts w:cstheme="minorHAnsi"/>
          <w:iCs/>
        </w:rPr>
        <w:t>Der Kurs vermittelt</w:t>
      </w:r>
      <w:r w:rsidRPr="0020076A">
        <w:rPr>
          <w:rFonts w:cstheme="minorHAnsi"/>
        </w:rPr>
        <w:t xml:space="preserve"> Kernkompetenzen in </w:t>
      </w:r>
      <w:r w:rsidR="00C91B61" w:rsidRPr="0020076A">
        <w:rPr>
          <w:rFonts w:cstheme="minorHAnsi"/>
        </w:rPr>
        <w:t>grundlegenden</w:t>
      </w:r>
      <w:r w:rsidRPr="0020076A">
        <w:rPr>
          <w:rFonts w:cstheme="minorHAnsi"/>
        </w:rPr>
        <w:t xml:space="preserve"> FDM-Themenbereichen</w:t>
      </w:r>
      <w:r w:rsidR="00C91B61" w:rsidRPr="0020076A">
        <w:rPr>
          <w:rFonts w:cstheme="minorHAnsi"/>
        </w:rPr>
        <w:t>.</w:t>
      </w:r>
    </w:p>
    <w:p w:rsidR="005110AF" w:rsidRPr="0020076A" w:rsidRDefault="00EB11E8" w:rsidP="00EB11E8">
      <w:pPr>
        <w:rPr>
          <w:rFonts w:cstheme="minorHAnsi"/>
        </w:rPr>
      </w:pPr>
      <w:r w:rsidRPr="0020076A">
        <w:rPr>
          <w:rFonts w:cstheme="minorHAnsi"/>
          <w:b/>
          <w:bCs/>
        </w:rPr>
        <w:t>Inhalte sind folgende 6 Moduleinheiten mit Unterthemen als eigene Lerneinheiten</w:t>
      </w:r>
      <w:r w:rsidRPr="0020076A">
        <w:rPr>
          <w:rFonts w:cstheme="minorHAnsi"/>
        </w:rPr>
        <w:t xml:space="preserve"> -</w:t>
      </w:r>
      <w:r w:rsidRPr="0020076A">
        <w:rPr>
          <w:rFonts w:cstheme="minorHAnsi"/>
          <w:b/>
          <w:bCs/>
        </w:rPr>
        <w:t xml:space="preserve"> </w:t>
      </w:r>
      <w:r w:rsidRPr="0020076A">
        <w:rPr>
          <w:rFonts w:cstheme="minorHAnsi"/>
          <w:bCs/>
        </w:rPr>
        <w:t xml:space="preserve">Schrittweise werden zentrale Begriffe, Prinzipien und Werkzeuge vorgestellt, die für den wissenschaftlichen Umgang mit </w:t>
      </w:r>
      <w:r w:rsidRPr="0020076A">
        <w:rPr>
          <w:rFonts w:cstheme="minorHAnsi"/>
        </w:rPr>
        <w:t>Forschungs- und Gesundheitsdaten</w:t>
      </w:r>
      <w:r w:rsidRPr="0020076A">
        <w:rPr>
          <w:rFonts w:cstheme="minorHAnsi"/>
          <w:bCs/>
        </w:rPr>
        <w:t xml:space="preserve"> </w:t>
      </w:r>
      <w:r w:rsidR="00C91B61" w:rsidRPr="0020076A">
        <w:rPr>
          <w:rFonts w:cstheme="minorHAnsi"/>
          <w:bCs/>
        </w:rPr>
        <w:t>bedeutsam sind.</w:t>
      </w:r>
    </w:p>
    <w:p w:rsidR="00EB11E8" w:rsidRPr="0020076A" w:rsidRDefault="00EB11E8" w:rsidP="00EB11E8">
      <w:pPr>
        <w:numPr>
          <w:ilvl w:val="0"/>
          <w:numId w:val="1"/>
        </w:numPr>
        <w:rPr>
          <w:rFonts w:cstheme="minorHAnsi"/>
        </w:rPr>
      </w:pPr>
      <w:r w:rsidRPr="0020076A">
        <w:rPr>
          <w:rFonts w:cstheme="minorHAnsi"/>
          <w:b/>
          <w:bCs/>
        </w:rPr>
        <w:t>Grundlegendes Verständnis von Daten</w:t>
      </w:r>
      <w:r w:rsidRPr="0020076A">
        <w:rPr>
          <w:rFonts w:cstheme="minorHAnsi"/>
        </w:rPr>
        <w:br/>
        <w:t xml:space="preserve">Verschiedene Datentypen kennen, deren Eigenschaften verstehen und deren Bedeutung im medizinischen Kontext einordnen </w:t>
      </w:r>
      <w:proofErr w:type="gramStart"/>
      <w:r w:rsidRPr="0020076A">
        <w:rPr>
          <w:rFonts w:cstheme="minorHAnsi"/>
        </w:rPr>
        <w:t>können</w:t>
      </w:r>
      <w:proofErr w:type="gramEnd"/>
      <w:r w:rsidRPr="0020076A">
        <w:rPr>
          <w:rFonts w:cstheme="minorHAnsi"/>
        </w:rPr>
        <w:t>.</w:t>
      </w:r>
    </w:p>
    <w:p w:rsidR="00EB11E8" w:rsidRPr="0020076A" w:rsidRDefault="00EB11E8" w:rsidP="00EB11E8">
      <w:pPr>
        <w:numPr>
          <w:ilvl w:val="0"/>
          <w:numId w:val="1"/>
        </w:numPr>
        <w:rPr>
          <w:rFonts w:cstheme="minorHAnsi"/>
        </w:rPr>
      </w:pPr>
      <w:r w:rsidRPr="0020076A">
        <w:rPr>
          <w:rFonts w:cstheme="minorHAnsi"/>
          <w:b/>
          <w:bCs/>
        </w:rPr>
        <w:t>Allgemeine Prinzipien und Konzepte des Forschungsdatenmanagements (FDM)</w:t>
      </w:r>
      <w:r w:rsidRPr="0020076A">
        <w:rPr>
          <w:rFonts w:cstheme="minorHAnsi"/>
        </w:rPr>
        <w:br/>
        <w:t>Wissen, wie Daten über ihren gesamten Lebenszyklus hinweg organisiert, dokumentiert, gespeichert und archiviert werden.</w:t>
      </w:r>
    </w:p>
    <w:p w:rsidR="00EB11E8" w:rsidRPr="0020076A" w:rsidRDefault="00EB11E8" w:rsidP="00EB11E8">
      <w:pPr>
        <w:numPr>
          <w:ilvl w:val="0"/>
          <w:numId w:val="1"/>
        </w:numPr>
        <w:rPr>
          <w:rFonts w:cstheme="minorHAnsi"/>
        </w:rPr>
      </w:pPr>
      <w:r w:rsidRPr="0020076A">
        <w:rPr>
          <w:rFonts w:cstheme="minorHAnsi"/>
          <w:b/>
          <w:bCs/>
        </w:rPr>
        <w:t>Datenmanagementpläne (DMPs)</w:t>
      </w:r>
      <w:r w:rsidRPr="0020076A">
        <w:rPr>
          <w:rFonts w:cstheme="minorHAnsi"/>
        </w:rPr>
        <w:br/>
        <w:t>Den Zweck eines DMPs kennen und verstehen, wie er Forschungsprozesse strukturiert.</w:t>
      </w:r>
    </w:p>
    <w:p w:rsidR="00EB11E8" w:rsidRPr="0020076A" w:rsidRDefault="00EB11E8" w:rsidP="00EB11E8">
      <w:pPr>
        <w:numPr>
          <w:ilvl w:val="0"/>
          <w:numId w:val="1"/>
        </w:numPr>
        <w:rPr>
          <w:rFonts w:cstheme="minorHAnsi"/>
        </w:rPr>
      </w:pPr>
      <w:r w:rsidRPr="0020076A">
        <w:rPr>
          <w:rFonts w:cstheme="minorHAnsi"/>
          <w:b/>
          <w:bCs/>
        </w:rPr>
        <w:t>Forschungsdatenpolicies</w:t>
      </w:r>
      <w:r w:rsidRPr="0020076A">
        <w:rPr>
          <w:rFonts w:cstheme="minorHAnsi"/>
        </w:rPr>
        <w:br/>
        <w:t>Institutionelle und förderrechtliche Regeln zum Umgang mit Forschungsdaten und ihre Bedeutung für Forschungsprojekte verstehen.</w:t>
      </w:r>
    </w:p>
    <w:p w:rsidR="00EB11E8" w:rsidRPr="0020076A" w:rsidRDefault="00EB11E8" w:rsidP="00EB11E8">
      <w:pPr>
        <w:numPr>
          <w:ilvl w:val="0"/>
          <w:numId w:val="1"/>
        </w:numPr>
        <w:rPr>
          <w:rFonts w:cstheme="minorHAnsi"/>
        </w:rPr>
      </w:pPr>
      <w:r w:rsidRPr="0020076A">
        <w:rPr>
          <w:rFonts w:cstheme="minorHAnsi"/>
          <w:b/>
          <w:bCs/>
        </w:rPr>
        <w:t>FAIR-Prinzipien</w:t>
      </w:r>
      <w:r w:rsidRPr="0020076A">
        <w:rPr>
          <w:rFonts w:cstheme="minorHAnsi"/>
        </w:rPr>
        <w:br/>
        <w:t>Verstehen, wie Daten auffindbar, zugänglich, interoperabel und wiederverwendbar gemacht werden können.</w:t>
      </w:r>
    </w:p>
    <w:p w:rsidR="00EB11E8" w:rsidRPr="0020076A" w:rsidRDefault="00EB11E8" w:rsidP="00EB11E8">
      <w:pPr>
        <w:numPr>
          <w:ilvl w:val="0"/>
          <w:numId w:val="1"/>
        </w:numPr>
        <w:rPr>
          <w:rFonts w:cstheme="minorHAnsi"/>
        </w:rPr>
      </w:pPr>
      <w:r w:rsidRPr="0020076A">
        <w:rPr>
          <w:rFonts w:cstheme="minorHAnsi"/>
          <w:b/>
          <w:bCs/>
        </w:rPr>
        <w:t>Open X (Open Data, Open Source, Open Science)</w:t>
      </w:r>
      <w:r w:rsidRPr="0020076A">
        <w:rPr>
          <w:rFonts w:cstheme="minorHAnsi"/>
        </w:rPr>
        <w:br/>
        <w:t>Open Data, Open Source und Open Science im medizinischen Forschungsalltag verorten und deren Chancen und Herausforderungen diskutieren.</w:t>
      </w:r>
    </w:p>
    <w:p w:rsidR="00EB11E8" w:rsidRPr="0020076A" w:rsidRDefault="00EB11E8" w:rsidP="00EB11E8">
      <w:pPr>
        <w:rPr>
          <w:rFonts w:cstheme="minorHAnsi"/>
        </w:rPr>
      </w:pPr>
    </w:p>
    <w:p w:rsidR="00B22E05" w:rsidRPr="0020076A" w:rsidRDefault="00B22E05" w:rsidP="00C223B4">
      <w:pPr>
        <w:pStyle w:val="berschrift1"/>
        <w:rPr>
          <w:rFonts w:asciiTheme="minorHAnsi" w:eastAsia="Times New Roman" w:hAnsiTheme="minorHAnsi" w:cstheme="minorHAnsi"/>
        </w:rPr>
      </w:pPr>
      <w:bookmarkStart w:id="0" w:name="_Toc168829955"/>
      <w:r w:rsidRPr="0020076A">
        <w:rPr>
          <w:rFonts w:asciiTheme="minorHAnsi" w:eastAsia="Times New Roman" w:hAnsiTheme="minorHAnsi" w:cstheme="minorHAnsi"/>
        </w:rPr>
        <w:t xml:space="preserve">Informationen </w:t>
      </w:r>
      <w:bookmarkEnd w:id="0"/>
      <w:r w:rsidRPr="0020076A">
        <w:rPr>
          <w:rFonts w:asciiTheme="minorHAnsi" w:eastAsia="Times New Roman" w:hAnsiTheme="minorHAnsi" w:cstheme="minorHAnsi"/>
        </w:rPr>
        <w:t xml:space="preserve">zu Moduleinheiten </w:t>
      </w:r>
    </w:p>
    <w:p w:rsidR="00B22E05" w:rsidRPr="00515074" w:rsidRDefault="00B22E05" w:rsidP="00B22E05">
      <w:pPr>
        <w:keepNext/>
        <w:keepLines/>
        <w:spacing w:before="120" w:after="80" w:line="288" w:lineRule="auto"/>
        <w:outlineLvl w:val="4"/>
        <w:rPr>
          <w:rFonts w:eastAsia="Times New Roman" w:cstheme="minorHAnsi"/>
          <w:i/>
          <w:color w:val="2E74B5"/>
        </w:rPr>
      </w:pPr>
      <w:r w:rsidRPr="00515074">
        <w:rPr>
          <w:rFonts w:eastAsia="Times New Roman" w:cstheme="minorHAnsi"/>
          <w:i/>
          <w:color w:val="2E74B5"/>
        </w:rPr>
        <w:t xml:space="preserve">Materialart: </w:t>
      </w:r>
    </w:p>
    <w:p w:rsidR="00B22E05" w:rsidRPr="00515074" w:rsidRDefault="00B22E05" w:rsidP="00B22E05">
      <w:pPr>
        <w:spacing w:line="288" w:lineRule="auto"/>
        <w:rPr>
          <w:rFonts w:eastAsia="Calibri" w:cstheme="minorHAnsi"/>
        </w:rPr>
      </w:pPr>
      <w:r w:rsidRPr="00515074">
        <w:rPr>
          <w:rFonts w:eastAsia="Calibri" w:cstheme="minorHAnsi"/>
        </w:rPr>
        <w:t>Kurs; Texte, Videos, Podcasts, Quizze</w:t>
      </w:r>
    </w:p>
    <w:p w:rsidR="00B22E05" w:rsidRPr="00515074" w:rsidRDefault="00B22E05" w:rsidP="00B22E05">
      <w:pPr>
        <w:keepNext/>
        <w:keepLines/>
        <w:spacing w:before="120" w:after="80" w:line="288" w:lineRule="auto"/>
        <w:outlineLvl w:val="4"/>
        <w:rPr>
          <w:rFonts w:eastAsia="Times New Roman" w:cstheme="minorHAnsi"/>
          <w:i/>
          <w:color w:val="2E74B5"/>
        </w:rPr>
      </w:pPr>
      <w:r w:rsidRPr="00515074">
        <w:rPr>
          <w:rFonts w:eastAsia="Times New Roman" w:cstheme="minorHAnsi"/>
          <w:i/>
          <w:color w:val="2E74B5"/>
        </w:rPr>
        <w:lastRenderedPageBreak/>
        <w:t>Zielgruppe</w:t>
      </w:r>
    </w:p>
    <w:p w:rsidR="00B22E05" w:rsidRPr="00515074" w:rsidRDefault="00B22E05" w:rsidP="00B22E05">
      <w:pPr>
        <w:spacing w:line="288" w:lineRule="auto"/>
        <w:rPr>
          <w:rFonts w:eastAsia="Calibri" w:cstheme="minorHAnsi"/>
        </w:rPr>
      </w:pPr>
      <w:r w:rsidRPr="00515074">
        <w:rPr>
          <w:rFonts w:eastAsia="Calibri" w:cstheme="minorHAnsi"/>
        </w:rPr>
        <w:t>Lernende aus Gesundheitsforschung und Versorgung</w:t>
      </w:r>
    </w:p>
    <w:p w:rsidR="00B22E05" w:rsidRPr="00515074" w:rsidRDefault="00B22E05" w:rsidP="00B22E05">
      <w:pPr>
        <w:keepNext/>
        <w:keepLines/>
        <w:spacing w:before="120" w:after="80" w:line="288" w:lineRule="auto"/>
        <w:outlineLvl w:val="4"/>
        <w:rPr>
          <w:rFonts w:eastAsia="Times New Roman" w:cstheme="minorHAnsi"/>
          <w:i/>
          <w:color w:val="2E74B5"/>
        </w:rPr>
      </w:pPr>
      <w:r w:rsidRPr="00515074">
        <w:rPr>
          <w:rFonts w:eastAsia="Times New Roman" w:cstheme="minorHAnsi"/>
          <w:i/>
          <w:color w:val="2E74B5"/>
        </w:rPr>
        <w:t>Sprache</w:t>
      </w:r>
    </w:p>
    <w:p w:rsidR="00B22E05" w:rsidRPr="00515074" w:rsidRDefault="00B22E05" w:rsidP="00B22E05">
      <w:pPr>
        <w:spacing w:line="288" w:lineRule="auto"/>
        <w:rPr>
          <w:rFonts w:eastAsia="Calibri" w:cstheme="minorHAnsi"/>
        </w:rPr>
      </w:pPr>
      <w:r w:rsidRPr="00515074">
        <w:rPr>
          <w:rFonts w:eastAsia="Calibri" w:cstheme="minorHAnsi"/>
        </w:rPr>
        <w:t>Deutsch</w:t>
      </w:r>
    </w:p>
    <w:p w:rsidR="00B22E05" w:rsidRPr="00515074" w:rsidRDefault="00B22E05" w:rsidP="00B22E05">
      <w:pPr>
        <w:keepNext/>
        <w:keepLines/>
        <w:spacing w:before="120" w:after="80" w:line="288" w:lineRule="auto"/>
        <w:outlineLvl w:val="4"/>
        <w:rPr>
          <w:rFonts w:eastAsia="Times New Roman" w:cstheme="minorHAnsi"/>
          <w:i/>
          <w:color w:val="2E74B5"/>
        </w:rPr>
      </w:pPr>
      <w:r w:rsidRPr="00515074">
        <w:rPr>
          <w:rFonts w:eastAsia="Times New Roman" w:cstheme="minorHAnsi"/>
          <w:i/>
          <w:color w:val="2E74B5"/>
        </w:rPr>
        <w:t>Herkunft</w:t>
      </w:r>
    </w:p>
    <w:p w:rsidR="00B22E05" w:rsidRPr="00515074" w:rsidRDefault="00B22E05" w:rsidP="00B22E05">
      <w:pPr>
        <w:spacing w:line="288" w:lineRule="auto"/>
        <w:rPr>
          <w:rFonts w:eastAsia="Calibri" w:cstheme="minorHAnsi"/>
        </w:rPr>
      </w:pPr>
      <w:r w:rsidRPr="00515074">
        <w:rPr>
          <w:rFonts w:eastAsia="Calibri" w:cstheme="minorHAnsi"/>
        </w:rPr>
        <w:t>DIM.RUHR Projekt</w:t>
      </w:r>
    </w:p>
    <w:p w:rsidR="00B22E05" w:rsidRPr="00515074" w:rsidRDefault="00B22E05" w:rsidP="00B22E05">
      <w:pPr>
        <w:keepNext/>
        <w:keepLines/>
        <w:spacing w:before="120" w:after="80" w:line="288" w:lineRule="auto"/>
        <w:outlineLvl w:val="4"/>
        <w:rPr>
          <w:rFonts w:eastAsia="Times New Roman" w:cstheme="minorHAnsi"/>
          <w:i/>
          <w:color w:val="2E74B5"/>
        </w:rPr>
      </w:pPr>
      <w:r w:rsidRPr="00515074">
        <w:rPr>
          <w:rFonts w:eastAsia="Times New Roman" w:cstheme="minorHAnsi"/>
          <w:i/>
          <w:color w:val="2E74B5"/>
        </w:rPr>
        <w:t>Fach- und Sachgebiet</w:t>
      </w:r>
    </w:p>
    <w:p w:rsidR="00B22E05" w:rsidRPr="00515074" w:rsidRDefault="00B22E05" w:rsidP="00B22E05">
      <w:pPr>
        <w:spacing w:line="288" w:lineRule="auto"/>
        <w:rPr>
          <w:rFonts w:eastAsia="Calibri" w:cstheme="minorHAnsi"/>
        </w:rPr>
      </w:pPr>
      <w:r w:rsidRPr="00515074">
        <w:rPr>
          <w:rFonts w:eastAsia="Calibri" w:cstheme="minorHAnsi"/>
        </w:rPr>
        <w:t>Medizin, Gesundheits- und Versorgungsforschung</w:t>
      </w:r>
    </w:p>
    <w:p w:rsidR="00B22E05" w:rsidRPr="00515074" w:rsidRDefault="00B22E05" w:rsidP="00B22E05">
      <w:pPr>
        <w:keepNext/>
        <w:keepLines/>
        <w:spacing w:before="120" w:after="80" w:line="288" w:lineRule="auto"/>
        <w:outlineLvl w:val="4"/>
        <w:rPr>
          <w:rFonts w:eastAsia="Times New Roman" w:cstheme="minorHAnsi"/>
          <w:i/>
          <w:iCs/>
          <w:color w:val="2E74B5"/>
        </w:rPr>
      </w:pPr>
      <w:r w:rsidRPr="00515074">
        <w:rPr>
          <w:rFonts w:eastAsia="Times New Roman" w:cstheme="minorHAnsi"/>
          <w:i/>
          <w:color w:val="2E74B5"/>
        </w:rPr>
        <w:t>Erstveröffentlichung</w:t>
      </w:r>
    </w:p>
    <w:p w:rsidR="00B22E05" w:rsidRPr="00515074" w:rsidRDefault="00B22E05" w:rsidP="00B22E05">
      <w:pPr>
        <w:spacing w:line="288" w:lineRule="auto"/>
        <w:rPr>
          <w:rFonts w:eastAsia="Calibri" w:cstheme="minorHAnsi"/>
          <w:color w:val="595959"/>
        </w:rPr>
      </w:pPr>
      <w:r w:rsidRPr="00515074">
        <w:rPr>
          <w:rFonts w:eastAsia="Calibri" w:cstheme="minorHAnsi"/>
          <w:color w:val="595959"/>
        </w:rPr>
        <w:t>xx</w:t>
      </w:r>
    </w:p>
    <w:p w:rsidR="00B22E05" w:rsidRPr="00515074" w:rsidRDefault="00B22E05" w:rsidP="00B22E05">
      <w:pPr>
        <w:keepNext/>
        <w:keepLines/>
        <w:spacing w:before="120" w:after="80" w:line="288" w:lineRule="auto"/>
        <w:outlineLvl w:val="4"/>
        <w:rPr>
          <w:rFonts w:eastAsia="Times New Roman" w:cstheme="minorHAnsi"/>
          <w:i/>
          <w:color w:val="2E74B5"/>
        </w:rPr>
      </w:pPr>
      <w:r w:rsidRPr="00515074">
        <w:rPr>
          <w:rFonts w:eastAsia="Times New Roman" w:cstheme="minorHAnsi"/>
          <w:i/>
          <w:color w:val="2E74B5"/>
        </w:rPr>
        <w:t>Lizenz</w:t>
      </w:r>
    </w:p>
    <w:p w:rsidR="00B22E05" w:rsidRPr="00515074" w:rsidRDefault="00B22E05" w:rsidP="00B22E05">
      <w:pPr>
        <w:spacing w:line="288" w:lineRule="auto"/>
        <w:rPr>
          <w:rFonts w:eastAsia="Calibri" w:cstheme="minorHAnsi"/>
        </w:rPr>
      </w:pPr>
      <w:r w:rsidRPr="00515074">
        <w:rPr>
          <w:rFonts w:eastAsia="Calibri" w:cstheme="minorHAnsi"/>
        </w:rPr>
        <w:fldChar w:fldCharType="begin"/>
      </w:r>
      <w:r w:rsidRPr="00515074">
        <w:rPr>
          <w:rFonts w:eastAsia="Calibri" w:cstheme="minorHAnsi"/>
        </w:rPr>
        <w:instrText xml:space="preserve"> HYPERLINK "https://creativecommons.org/licenses/by/4.0/deed.de" \t "_blank" </w:instrText>
      </w:r>
      <w:r w:rsidRPr="00515074">
        <w:rPr>
          <w:rFonts w:eastAsia="Calibri" w:cstheme="minorHAnsi"/>
        </w:rPr>
        <w:fldChar w:fldCharType="separate"/>
      </w:r>
      <w:r w:rsidRPr="00515074">
        <w:rPr>
          <w:rFonts w:eastAsia="Calibri" w:cstheme="minorHAnsi"/>
        </w:rPr>
        <w:t>CC-BY (4.0)</w:t>
      </w:r>
    </w:p>
    <w:p w:rsidR="00B22E05" w:rsidRPr="00515074" w:rsidRDefault="00B22E05" w:rsidP="00B22E05">
      <w:pPr>
        <w:keepNext/>
        <w:keepLines/>
        <w:spacing w:before="120" w:after="80" w:line="288" w:lineRule="auto"/>
        <w:outlineLvl w:val="4"/>
        <w:rPr>
          <w:rFonts w:eastAsia="Times New Roman" w:cstheme="minorHAnsi"/>
          <w:i/>
          <w:color w:val="2E74B5"/>
        </w:rPr>
      </w:pPr>
      <w:r w:rsidRPr="00515074">
        <w:rPr>
          <w:rFonts w:eastAsia="Times New Roman" w:cstheme="minorHAnsi"/>
          <w:i/>
        </w:rPr>
        <w:fldChar w:fldCharType="end"/>
      </w:r>
      <w:r w:rsidRPr="00515074">
        <w:rPr>
          <w:rFonts w:eastAsia="Times New Roman" w:cstheme="minorHAnsi"/>
          <w:i/>
          <w:color w:val="2E74B5"/>
        </w:rPr>
        <w:t>Autor</w:t>
      </w:r>
    </w:p>
    <w:p w:rsidR="00B22E05" w:rsidRPr="0020076A" w:rsidRDefault="00B22E05" w:rsidP="00B22E05">
      <w:pPr>
        <w:keepNext/>
        <w:keepLines/>
        <w:spacing w:before="120" w:after="80" w:line="288" w:lineRule="auto"/>
        <w:outlineLvl w:val="4"/>
        <w:rPr>
          <w:rFonts w:eastAsia="Times New Roman" w:cstheme="minorHAnsi"/>
        </w:rPr>
      </w:pPr>
      <w:r w:rsidRPr="0020076A">
        <w:rPr>
          <w:rFonts w:eastAsia="Calibri" w:cstheme="minorHAnsi"/>
          <w:iCs/>
        </w:rPr>
        <w:t>DIM RUHR/Kathrin Grummich</w:t>
      </w:r>
    </w:p>
    <w:p w:rsidR="00B22E05" w:rsidRPr="0020076A" w:rsidRDefault="00B22E05" w:rsidP="00B22E05">
      <w:pPr>
        <w:keepNext/>
        <w:keepLines/>
        <w:spacing w:before="120" w:after="80" w:line="288" w:lineRule="auto"/>
        <w:outlineLvl w:val="4"/>
        <w:rPr>
          <w:rFonts w:eastAsia="Times New Roman" w:cstheme="minorHAnsi"/>
          <w:i/>
          <w:color w:val="2E74B5"/>
          <w:sz w:val="20"/>
        </w:rPr>
      </w:pPr>
      <w:r w:rsidRPr="0020076A">
        <w:rPr>
          <w:rFonts w:eastAsia="Times New Roman" w:cstheme="minorHAnsi"/>
          <w:i/>
          <w:color w:val="2E74B5"/>
          <w:sz w:val="20"/>
        </w:rPr>
        <w:t>Schlagwörter</w:t>
      </w:r>
    </w:p>
    <w:p w:rsidR="00EB11E8" w:rsidRPr="0051047B" w:rsidRDefault="00B22E05" w:rsidP="00B22E05">
      <w:pPr>
        <w:spacing w:line="288" w:lineRule="auto"/>
        <w:rPr>
          <w:rFonts w:eastAsia="Calibri" w:cstheme="minorHAnsi"/>
          <w:i/>
        </w:rPr>
      </w:pPr>
      <w:r w:rsidRPr="0051047B">
        <w:rPr>
          <w:rFonts w:eastAsia="Calibri" w:cstheme="minorHAnsi"/>
          <w:i/>
        </w:rPr>
        <w:t>FDM; Forschungs</w:t>
      </w:r>
      <w:r w:rsidR="001C51DC" w:rsidRPr="0051047B">
        <w:rPr>
          <w:rFonts w:eastAsia="Calibri" w:cstheme="minorHAnsi"/>
          <w:i/>
        </w:rPr>
        <w:t>datenmanagement; Daten</w:t>
      </w:r>
      <w:r w:rsidRPr="0051047B">
        <w:rPr>
          <w:rFonts w:eastAsia="Calibri" w:cstheme="minorHAnsi"/>
          <w:i/>
        </w:rPr>
        <w:t>;</w:t>
      </w:r>
      <w:r w:rsidR="00C17695" w:rsidRPr="0051047B">
        <w:rPr>
          <w:rFonts w:eastAsia="Calibri" w:cstheme="minorHAnsi"/>
          <w:i/>
        </w:rPr>
        <w:t xml:space="preserve"> </w:t>
      </w:r>
      <w:r w:rsidR="00C223B4" w:rsidRPr="0051047B">
        <w:rPr>
          <w:rFonts w:eastAsia="Calibri" w:cstheme="minorHAnsi"/>
          <w:i/>
        </w:rPr>
        <w:t xml:space="preserve">Datentypen; Forschungsdaten; </w:t>
      </w:r>
      <w:r w:rsidR="00C17695" w:rsidRPr="0051047B">
        <w:rPr>
          <w:rFonts w:eastAsia="Calibri" w:cstheme="minorHAnsi"/>
          <w:i/>
        </w:rPr>
        <w:t>Gesundheitsdaten;</w:t>
      </w:r>
      <w:r w:rsidR="00C223B4" w:rsidRPr="0051047B">
        <w:rPr>
          <w:rFonts w:eastAsia="Calibri" w:cstheme="minorHAnsi"/>
          <w:i/>
        </w:rPr>
        <w:t xml:space="preserve"> </w:t>
      </w:r>
      <w:r w:rsidR="00C17695" w:rsidRPr="0051047B">
        <w:rPr>
          <w:rFonts w:eastAsia="Calibri" w:cstheme="minorHAnsi"/>
          <w:i/>
        </w:rPr>
        <w:t xml:space="preserve"> Qualitative Daten; </w:t>
      </w:r>
      <w:r w:rsidR="00C223B4" w:rsidRPr="0051047B">
        <w:rPr>
          <w:rFonts w:eastAsia="Calibri" w:cstheme="minorHAnsi"/>
          <w:i/>
        </w:rPr>
        <w:t>Quantitative</w:t>
      </w:r>
      <w:r w:rsidR="00C17695" w:rsidRPr="0051047B">
        <w:rPr>
          <w:rFonts w:eastAsia="Calibri" w:cstheme="minorHAnsi"/>
          <w:i/>
        </w:rPr>
        <w:t xml:space="preserve"> Daten; Datenstandards; nachnutzbare Formate; </w:t>
      </w:r>
      <w:r w:rsidRPr="0051047B">
        <w:rPr>
          <w:rFonts w:eastAsia="Calibri" w:cstheme="minorHAnsi"/>
          <w:i/>
        </w:rPr>
        <w:t xml:space="preserve"> </w:t>
      </w:r>
      <w:r w:rsidR="00C223B4" w:rsidRPr="0051047B">
        <w:rPr>
          <w:rFonts w:eastAsia="Calibri" w:cstheme="minorHAnsi"/>
          <w:i/>
        </w:rPr>
        <w:t xml:space="preserve">Forschungsdatenlebenszyklus; </w:t>
      </w:r>
      <w:r w:rsidRPr="0051047B">
        <w:rPr>
          <w:rFonts w:eastAsia="Calibri" w:cstheme="minorHAnsi"/>
          <w:i/>
        </w:rPr>
        <w:t>Daten</w:t>
      </w:r>
      <w:r w:rsidR="001C51DC" w:rsidRPr="0051047B">
        <w:rPr>
          <w:rFonts w:eastAsia="Calibri" w:cstheme="minorHAnsi"/>
          <w:i/>
        </w:rPr>
        <w:t>management</w:t>
      </w:r>
      <w:r w:rsidR="00C223B4" w:rsidRPr="0051047B">
        <w:rPr>
          <w:rFonts w:eastAsia="Calibri" w:cstheme="minorHAnsi"/>
          <w:i/>
        </w:rPr>
        <w:t>pläne (DMPs)</w:t>
      </w:r>
      <w:r w:rsidRPr="0051047B">
        <w:rPr>
          <w:rFonts w:eastAsia="Calibri" w:cstheme="minorHAnsi"/>
          <w:i/>
        </w:rPr>
        <w:t xml:space="preserve">; </w:t>
      </w:r>
      <w:r w:rsidR="00C223B4" w:rsidRPr="0051047B">
        <w:rPr>
          <w:rFonts w:eastAsia="Calibri" w:cstheme="minorHAnsi"/>
          <w:i/>
        </w:rPr>
        <w:t xml:space="preserve">FAIR Prinzipien; </w:t>
      </w:r>
      <w:r w:rsidRPr="0051047B">
        <w:rPr>
          <w:rFonts w:eastAsia="Calibri" w:cstheme="minorHAnsi"/>
          <w:i/>
        </w:rPr>
        <w:t>Nationale Forschungsdateninfrastruktur für Gesundheitsdaten (</w:t>
      </w:r>
      <w:proofErr w:type="spellStart"/>
      <w:r w:rsidRPr="0051047B">
        <w:rPr>
          <w:rFonts w:eastAsia="Calibri" w:cstheme="minorHAnsi"/>
          <w:i/>
        </w:rPr>
        <w:t>NFDIHealth</w:t>
      </w:r>
      <w:proofErr w:type="spellEnd"/>
      <w:r w:rsidRPr="0051047B">
        <w:rPr>
          <w:rFonts w:eastAsia="Calibri" w:cstheme="minorHAnsi"/>
          <w:i/>
        </w:rPr>
        <w:t>);Personenbezogene Daten, Op</w:t>
      </w:r>
      <w:r w:rsidR="001C51DC" w:rsidRPr="0051047B">
        <w:rPr>
          <w:rFonts w:eastAsia="Calibri" w:cstheme="minorHAnsi"/>
          <w:i/>
        </w:rPr>
        <w:t>en Science (Offene Wissenschaft</w:t>
      </w:r>
      <w:r w:rsidRPr="0051047B">
        <w:rPr>
          <w:rFonts w:eastAsia="Calibri" w:cstheme="minorHAnsi"/>
          <w:i/>
        </w:rPr>
        <w:t xml:space="preserve">); </w:t>
      </w:r>
      <w:r w:rsidRPr="0051047B">
        <w:rPr>
          <w:rFonts w:cstheme="minorHAnsi"/>
          <w:i/>
        </w:rPr>
        <w:t>Metadaten</w:t>
      </w:r>
      <w:r w:rsidR="00C223B4" w:rsidRPr="0051047B">
        <w:rPr>
          <w:rFonts w:cstheme="minorHAnsi"/>
          <w:i/>
        </w:rPr>
        <w:t>; Open Data; Open Access;</w:t>
      </w:r>
      <w:r w:rsidRPr="0051047B">
        <w:rPr>
          <w:rFonts w:cstheme="minorHAnsi"/>
          <w:i/>
        </w:rPr>
        <w:t xml:space="preserve"> Reproduzierbarkeit </w:t>
      </w:r>
    </w:p>
    <w:p w:rsidR="00B22E05" w:rsidRPr="0020076A" w:rsidRDefault="00B22E05" w:rsidP="00B22E05">
      <w:pPr>
        <w:rPr>
          <w:rFonts w:cstheme="minorHAnsi"/>
          <w:i/>
        </w:rPr>
      </w:pPr>
    </w:p>
    <w:p w:rsidR="00B22E05" w:rsidRPr="0020076A" w:rsidRDefault="00B22E05" w:rsidP="00C223B4">
      <w:pPr>
        <w:pStyle w:val="berschrift1"/>
        <w:rPr>
          <w:rFonts w:asciiTheme="minorHAnsi" w:eastAsia="Times New Roman" w:hAnsiTheme="minorHAnsi" w:cstheme="minorHAnsi"/>
        </w:rPr>
      </w:pPr>
      <w:bookmarkStart w:id="1" w:name="_Toc168489950"/>
      <w:bookmarkStart w:id="2" w:name="_Toc168829956"/>
      <w:r w:rsidRPr="0020076A">
        <w:rPr>
          <w:rFonts w:asciiTheme="minorHAnsi" w:eastAsia="Times New Roman" w:hAnsiTheme="minorHAnsi" w:cstheme="minorHAnsi"/>
        </w:rPr>
        <w:t>Inhalte der Kurseinheiten</w:t>
      </w:r>
      <w:bookmarkEnd w:id="1"/>
      <w:bookmarkEnd w:id="2"/>
    </w:p>
    <w:p w:rsidR="00B22E05" w:rsidRPr="0020076A" w:rsidRDefault="001C51DC" w:rsidP="00B22E05">
      <w:pPr>
        <w:keepNext/>
        <w:keepLines/>
        <w:spacing w:before="80" w:line="288" w:lineRule="auto"/>
        <w:outlineLvl w:val="3"/>
        <w:rPr>
          <w:rFonts w:eastAsia="Times New Roman" w:cstheme="minorHAnsi"/>
          <w:iCs/>
          <w:color w:val="2E74B5"/>
          <w:sz w:val="20"/>
        </w:rPr>
      </w:pPr>
      <w:bookmarkStart w:id="3" w:name="_Toc168829958"/>
      <w:r w:rsidRPr="0020076A">
        <w:rPr>
          <w:rFonts w:eastAsia="Times New Roman" w:cstheme="minorHAnsi"/>
          <w:b/>
          <w:bCs/>
          <w:color w:val="2E74B5"/>
          <w:sz w:val="26"/>
          <w:szCs w:val="26"/>
        </w:rPr>
        <w:t xml:space="preserve">Grundlegendes Verständnis von </w:t>
      </w:r>
      <w:bookmarkEnd w:id="3"/>
      <w:r w:rsidRPr="0020076A">
        <w:rPr>
          <w:rFonts w:eastAsia="Times New Roman" w:cstheme="minorHAnsi"/>
          <w:b/>
          <w:bCs/>
          <w:color w:val="2E74B5"/>
          <w:sz w:val="26"/>
          <w:szCs w:val="26"/>
        </w:rPr>
        <w:t>Daten</w:t>
      </w:r>
    </w:p>
    <w:p w:rsidR="00B22E05" w:rsidRPr="0020076A" w:rsidRDefault="00B22E05" w:rsidP="00B22E05">
      <w:pPr>
        <w:keepNext/>
        <w:keepLines/>
        <w:spacing w:before="120" w:after="80" w:line="288" w:lineRule="auto"/>
        <w:outlineLvl w:val="4"/>
        <w:rPr>
          <w:rFonts w:eastAsia="Times New Roman" w:cstheme="minorHAnsi"/>
          <w:i/>
          <w:color w:val="2E74B5"/>
          <w:sz w:val="20"/>
          <w:lang w:eastAsia="de-DE"/>
        </w:rPr>
      </w:pPr>
      <w:r w:rsidRPr="0020076A">
        <w:rPr>
          <w:rFonts w:eastAsia="Times New Roman" w:cstheme="minorHAnsi"/>
          <w:i/>
          <w:color w:val="2E74B5"/>
          <w:sz w:val="20"/>
          <w:lang w:eastAsia="de-DE"/>
        </w:rPr>
        <w:t>Dateiname</w:t>
      </w:r>
    </w:p>
    <w:p w:rsidR="00B22E05" w:rsidRPr="0051047B" w:rsidRDefault="00C223B4" w:rsidP="00B22E05">
      <w:pPr>
        <w:spacing w:line="288" w:lineRule="auto"/>
        <w:rPr>
          <w:rFonts w:eastAsia="Calibri" w:cstheme="minorHAnsi"/>
        </w:rPr>
      </w:pPr>
      <w:r w:rsidRPr="0051047B">
        <w:rPr>
          <w:rFonts w:eastAsia="Calibri" w:cstheme="minorHAnsi"/>
        </w:rPr>
        <w:t>Grundlegendes Verständnis v</w:t>
      </w:r>
      <w:r w:rsidR="0020076A" w:rsidRPr="0051047B">
        <w:rPr>
          <w:rFonts w:eastAsia="Calibri" w:cstheme="minorHAnsi"/>
        </w:rPr>
        <w:t>on Daten_</w:t>
      </w:r>
      <w:r w:rsidR="00F709B8" w:rsidRPr="00F709B8">
        <w:rPr>
          <w:sz w:val="24"/>
          <w:szCs w:val="24"/>
        </w:rPr>
        <w:t xml:space="preserve"> </w:t>
      </w:r>
      <w:r w:rsidR="00D607FF">
        <w:rPr>
          <w:rFonts w:eastAsia="Calibri" w:cstheme="minorHAnsi"/>
        </w:rPr>
        <w:t>Lernziele_Texte_Quizze.</w:t>
      </w:r>
      <w:r w:rsidRPr="0051047B">
        <w:rPr>
          <w:rFonts w:eastAsia="Calibri" w:cstheme="minorHAnsi"/>
        </w:rPr>
        <w:t>docx</w:t>
      </w:r>
    </w:p>
    <w:p w:rsidR="00B22E05" w:rsidRPr="0020076A" w:rsidRDefault="00B22E05" w:rsidP="00B22E05">
      <w:pPr>
        <w:keepNext/>
        <w:keepLines/>
        <w:spacing w:before="120" w:after="80" w:line="288" w:lineRule="auto"/>
        <w:outlineLvl w:val="4"/>
        <w:rPr>
          <w:rFonts w:eastAsia="Times New Roman" w:cstheme="minorHAnsi"/>
          <w:i/>
          <w:color w:val="2E74B5"/>
          <w:sz w:val="20"/>
          <w:lang w:eastAsia="de-DE"/>
        </w:rPr>
      </w:pPr>
      <w:r w:rsidRPr="0020076A">
        <w:rPr>
          <w:rFonts w:eastAsia="Times New Roman" w:cstheme="minorHAnsi"/>
          <w:i/>
          <w:color w:val="2E74B5"/>
          <w:sz w:val="20"/>
          <w:lang w:eastAsia="de-DE"/>
        </w:rPr>
        <w:t>Beschreibung</w:t>
      </w:r>
    </w:p>
    <w:p w:rsidR="0020076A" w:rsidRPr="002772C3" w:rsidRDefault="0020076A" w:rsidP="00DB796A">
      <w:pPr>
        <w:spacing w:line="288" w:lineRule="auto"/>
        <w:rPr>
          <w:rFonts w:eastAsia="Calibri" w:cstheme="minorHAnsi"/>
          <w:lang w:eastAsia="de-DE"/>
        </w:rPr>
      </w:pPr>
      <w:r w:rsidRPr="002772C3">
        <w:rPr>
          <w:rFonts w:eastAsia="Calibri" w:cstheme="minorHAnsi"/>
          <w:lang w:eastAsia="de-DE"/>
        </w:rPr>
        <w:t>Das Modul führt in grundlegende Datenkonzepte ein, z. B. Definitionen von Daten und Gesundheitsdaten, Datentypen, quantitative vs. qualitative Daten, Datenstandards sowie nachnutzbare Datenformate. Es richtet sich an Studierende und Einsteiger*innen in der Versorgungsforschung sowie an Lernende im Bereich Forschungsdatenmanagement. Durch Beispiele aus der Gesundheitsversorgung, Quiz-Elemente und praktische Anleitungen vermittelt das Modul grundlegende Kompetenzen zur strukturierten Arbeit mit Daten.</w:t>
      </w:r>
    </w:p>
    <w:p w:rsidR="0020076A" w:rsidRPr="0051047B" w:rsidRDefault="0020076A" w:rsidP="0020076A">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lastRenderedPageBreak/>
        <w:t>Schlagwörter</w:t>
      </w:r>
    </w:p>
    <w:p w:rsidR="0020076A" w:rsidRPr="002772C3" w:rsidRDefault="0020076A" w:rsidP="00B22E05">
      <w:pPr>
        <w:spacing w:line="288" w:lineRule="auto"/>
        <w:rPr>
          <w:rFonts w:eastAsia="Calibri" w:cstheme="minorHAnsi"/>
          <w:i/>
          <w:lang w:eastAsia="de-DE"/>
        </w:rPr>
      </w:pPr>
      <w:r w:rsidRPr="002772C3">
        <w:rPr>
          <w:rFonts w:eastAsia="Calibri" w:cstheme="minorHAnsi"/>
          <w:i/>
          <w:lang w:eastAsia="de-DE"/>
        </w:rPr>
        <w:t>Daten, Gesundheitsdaten, Datentypen, quantitative Daten, qualitative Daten, Forschungsdatenmanagement, Datenstandards, Interoperabilität, HL7 FHIR, OMOP, PRISCUS-Liste, Datenformate, OER, Versorgungsforschung</w:t>
      </w:r>
    </w:p>
    <w:p w:rsidR="00B22E05" w:rsidRPr="0020076A" w:rsidRDefault="001C51DC" w:rsidP="00B22E05">
      <w:pPr>
        <w:keepNext/>
        <w:keepLines/>
        <w:spacing w:before="80" w:line="288" w:lineRule="auto"/>
        <w:outlineLvl w:val="3"/>
        <w:rPr>
          <w:rFonts w:eastAsia="Times New Roman" w:cstheme="minorHAnsi"/>
          <w:iCs/>
          <w:color w:val="2E74B5"/>
          <w:sz w:val="20"/>
        </w:rPr>
      </w:pPr>
      <w:bookmarkStart w:id="4" w:name="_Toc168829960"/>
      <w:r w:rsidRPr="0020076A">
        <w:rPr>
          <w:rFonts w:eastAsia="Times New Roman" w:cstheme="minorHAnsi"/>
          <w:b/>
          <w:bCs/>
          <w:color w:val="2E74B5"/>
          <w:sz w:val="26"/>
          <w:szCs w:val="26"/>
        </w:rPr>
        <w:t>Allgemeine Prinzipien und Konzepte des Forschungsdatenmanagements (FDM)</w:t>
      </w:r>
      <w:bookmarkEnd w:id="4"/>
      <w:r w:rsidRPr="0020076A">
        <w:rPr>
          <w:rFonts w:eastAsia="Times New Roman" w:cstheme="minorHAnsi"/>
          <w:iCs/>
          <w:color w:val="2E74B5"/>
          <w:sz w:val="20"/>
        </w:rPr>
        <w:t xml:space="preserve"> </w:t>
      </w:r>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Dateiname</w:t>
      </w:r>
    </w:p>
    <w:p w:rsidR="00B22E05" w:rsidRPr="009B6B0E" w:rsidRDefault="00C223B4" w:rsidP="00B22E05">
      <w:pPr>
        <w:spacing w:line="288" w:lineRule="auto"/>
        <w:rPr>
          <w:rFonts w:eastAsia="Calibri" w:cstheme="minorHAnsi"/>
        </w:rPr>
      </w:pPr>
      <w:r w:rsidRPr="009B6B0E">
        <w:rPr>
          <w:rFonts w:eastAsia="Calibri" w:cstheme="minorHAnsi"/>
        </w:rPr>
        <w:t>Allgem</w:t>
      </w:r>
      <w:r w:rsidR="00D32C9D">
        <w:rPr>
          <w:rFonts w:eastAsia="Calibri" w:cstheme="minorHAnsi"/>
        </w:rPr>
        <w:t>eine Prinzipien und Konzepte des Forschungsdatenmanagements (FDM)</w:t>
      </w:r>
      <w:r w:rsidRPr="009B6B0E">
        <w:rPr>
          <w:rFonts w:eastAsia="Calibri" w:cstheme="minorHAnsi"/>
        </w:rPr>
        <w:t>_</w:t>
      </w:r>
      <w:r w:rsidR="00D32C9D">
        <w:rPr>
          <w:sz w:val="24"/>
          <w:szCs w:val="24"/>
        </w:rPr>
        <w:t xml:space="preserve"> </w:t>
      </w:r>
      <w:bookmarkStart w:id="5" w:name="_GoBack"/>
      <w:bookmarkEnd w:id="5"/>
      <w:r w:rsidR="00F709B8" w:rsidRPr="009B6B0E">
        <w:rPr>
          <w:rFonts w:eastAsia="Calibri" w:cstheme="minorHAnsi"/>
        </w:rPr>
        <w:t>Lernziele_Texte_Quizze</w:t>
      </w:r>
      <w:r w:rsidRPr="009B6B0E">
        <w:rPr>
          <w:rFonts w:eastAsia="Calibri" w:cstheme="minorHAnsi"/>
        </w:rPr>
        <w:t>.docx</w:t>
      </w:r>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Beschreibung</w:t>
      </w:r>
    </w:p>
    <w:p w:rsidR="00B22E05" w:rsidRPr="002772C3" w:rsidRDefault="00DB796A" w:rsidP="00B22E05">
      <w:pPr>
        <w:spacing w:line="288" w:lineRule="auto"/>
        <w:rPr>
          <w:rFonts w:eastAsia="Calibri" w:cstheme="minorHAnsi"/>
          <w:lang w:eastAsia="de-DE"/>
        </w:rPr>
      </w:pPr>
      <w:r w:rsidRPr="002772C3">
        <w:rPr>
          <w:rFonts w:eastAsia="Calibri" w:cstheme="minorHAnsi"/>
          <w:lang w:eastAsia="de-DE"/>
        </w:rPr>
        <w:t>Das Modul vermittelt eine Einführung in Forschungsdatenmanagement (FDM) und erklärt dessen zentrale Bedeutung für wissenschaftliche Qualität, Transparenz und Reproduzierbarkeit mit Bezug zu Gesundheits- und Versorgungsforschung. Es beschreibt grundlegende Konzepte wie die Definition von Forschungsdaten, verschiedene Datenarten, den Forschungsdatenlebenszyklus sowie typische Vor- und Nachteile von FDM. Zudem werden konkrete Maßnahmen für gutes Datenmanagement in allen Phasen des Forschungsdatenlebenszyklus aufgezeigt, von der Planung über Erhebung und Analyse bis hin zu Archivierung und Datenpublikation. Durch Beispiele und Quizfragen wird das Verständnis praxisnah vertieft.</w:t>
      </w:r>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Schlagwörter</w:t>
      </w:r>
    </w:p>
    <w:p w:rsidR="00B22E05" w:rsidRPr="009B6B0E" w:rsidRDefault="00DB796A" w:rsidP="00DB796A">
      <w:pPr>
        <w:spacing w:line="288" w:lineRule="auto"/>
        <w:rPr>
          <w:rFonts w:eastAsia="Calibri" w:cstheme="minorHAnsi"/>
          <w:i/>
        </w:rPr>
      </w:pPr>
      <w:r w:rsidRPr="009B6B0E">
        <w:rPr>
          <w:rFonts w:eastAsia="Calibri" w:cstheme="minorHAnsi"/>
          <w:i/>
        </w:rPr>
        <w:t>Forschungsdatenmanagement (FDM), Forschungsdatenlebenszyklus (FDL), Versorgungsforschung, Gesundheitsforschung, Datenqualität, Transparenz und Reproduzierbarkeit, Datenschutz und Ethik, Primär- und Sekundärdaten, quantitative und qualitative Daten, Archivierung, Datenaufbereitung, Datenanalyse, Data Sharing</w:t>
      </w:r>
    </w:p>
    <w:p w:rsidR="00DB796A" w:rsidRPr="0020076A" w:rsidRDefault="00DB796A" w:rsidP="00DB796A">
      <w:pPr>
        <w:spacing w:line="288" w:lineRule="auto"/>
        <w:rPr>
          <w:rFonts w:eastAsia="Calibri" w:cstheme="minorHAnsi"/>
          <w:color w:val="000000"/>
          <w:sz w:val="20"/>
          <w:szCs w:val="20"/>
        </w:rPr>
      </w:pPr>
    </w:p>
    <w:p w:rsidR="00B22E05" w:rsidRPr="0020076A" w:rsidRDefault="001C51DC" w:rsidP="001C51DC">
      <w:pPr>
        <w:keepNext/>
        <w:keepLines/>
        <w:spacing w:before="80" w:line="288" w:lineRule="auto"/>
        <w:outlineLvl w:val="3"/>
        <w:rPr>
          <w:rFonts w:eastAsia="Calibri" w:cstheme="minorHAnsi"/>
          <w:color w:val="595959"/>
          <w:sz w:val="20"/>
        </w:rPr>
      </w:pPr>
      <w:bookmarkStart w:id="6" w:name="_Toc168829962"/>
      <w:r w:rsidRPr="0020076A">
        <w:rPr>
          <w:rFonts w:eastAsia="Times New Roman" w:cstheme="minorHAnsi"/>
          <w:b/>
          <w:bCs/>
          <w:color w:val="2E74B5"/>
          <w:sz w:val="26"/>
          <w:szCs w:val="26"/>
        </w:rPr>
        <w:t>Datenmanagementpläne (DMPs)</w:t>
      </w:r>
      <w:bookmarkEnd w:id="6"/>
      <w:r w:rsidRPr="0020076A">
        <w:rPr>
          <w:rFonts w:eastAsia="Calibri" w:cstheme="minorHAnsi"/>
          <w:color w:val="595959"/>
          <w:sz w:val="20"/>
        </w:rPr>
        <w:t xml:space="preserve"> </w:t>
      </w:r>
    </w:p>
    <w:p w:rsidR="00DB796A"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Dateiname</w:t>
      </w:r>
    </w:p>
    <w:p w:rsidR="00DB796A" w:rsidRPr="0051047B" w:rsidRDefault="00DB796A" w:rsidP="00B22E05">
      <w:pPr>
        <w:keepNext/>
        <w:keepLines/>
        <w:spacing w:before="120" w:after="80" w:line="288" w:lineRule="auto"/>
        <w:outlineLvl w:val="4"/>
        <w:rPr>
          <w:rFonts w:eastAsia="Times New Roman" w:cstheme="minorHAnsi"/>
          <w:i/>
          <w:color w:val="2E74B5"/>
        </w:rPr>
      </w:pPr>
      <w:r w:rsidRPr="0051047B">
        <w:rPr>
          <w:rFonts w:eastAsia="Times New Roman" w:cstheme="minorHAnsi"/>
        </w:rPr>
        <w:t>Datenmanagementpläne (</w:t>
      </w:r>
      <w:r w:rsidR="00D43C7A">
        <w:rPr>
          <w:rFonts w:eastAsia="Times New Roman" w:cstheme="minorHAnsi"/>
        </w:rPr>
        <w:t>DMPs)_</w:t>
      </w:r>
      <w:r w:rsidR="00F709B8" w:rsidRPr="00F709B8">
        <w:rPr>
          <w:sz w:val="24"/>
          <w:szCs w:val="24"/>
        </w:rPr>
        <w:t xml:space="preserve"> </w:t>
      </w:r>
      <w:r w:rsidR="00F709B8" w:rsidRPr="00F709B8">
        <w:rPr>
          <w:rFonts w:eastAsia="Times New Roman" w:cstheme="minorHAnsi"/>
        </w:rPr>
        <w:t>Lernziele_Texte_Quizze</w:t>
      </w:r>
      <w:r w:rsidR="0051067A">
        <w:rPr>
          <w:rFonts w:eastAsia="Times New Roman" w:cstheme="minorHAnsi"/>
        </w:rPr>
        <w:t>.docx</w:t>
      </w:r>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Beschreibung</w:t>
      </w:r>
    </w:p>
    <w:p w:rsidR="00DB796A" w:rsidRPr="009B6B0E" w:rsidRDefault="00DB796A" w:rsidP="00DB796A">
      <w:pPr>
        <w:spacing w:line="288" w:lineRule="auto"/>
        <w:rPr>
          <w:rFonts w:eastAsia="Calibri" w:cstheme="minorHAnsi"/>
        </w:rPr>
      </w:pPr>
      <w:r w:rsidRPr="009B6B0E">
        <w:rPr>
          <w:rFonts w:eastAsia="Calibri" w:cstheme="minorHAnsi"/>
        </w:rPr>
        <w:t xml:space="preserve">Das Modul vermittelt grundlegende Kenntnisse und praktische Fertigkeiten im Umgang mit Datenmanagementplänen (DMPs), einem zentralen Instrument des Forschungsdatenmanagements. Es wird gezeigt, wie DMPs aufgebaut sind, welche inhaltlichen Komponenten sie enthalten und wie sie im Forschungsworkflow integriert werden. Es stellt gängige Checklisten sowie spezialisierte digitale Werkzeuge wie </w:t>
      </w:r>
      <w:r w:rsidRPr="009B6B0E">
        <w:rPr>
          <w:rFonts w:eastAsia="Calibri" w:cstheme="minorHAnsi"/>
          <w:bCs/>
        </w:rPr>
        <w:t>RDMO</w:t>
      </w:r>
      <w:r w:rsidRPr="009B6B0E">
        <w:rPr>
          <w:rFonts w:eastAsia="Calibri" w:cstheme="minorHAnsi"/>
        </w:rPr>
        <w:t xml:space="preserve"> oder </w:t>
      </w:r>
      <w:proofErr w:type="spellStart"/>
      <w:r w:rsidRPr="009B6B0E">
        <w:rPr>
          <w:rFonts w:eastAsia="Calibri" w:cstheme="minorHAnsi"/>
          <w:bCs/>
        </w:rPr>
        <w:t>DMPonline</w:t>
      </w:r>
      <w:proofErr w:type="spellEnd"/>
      <w:r w:rsidRPr="009B6B0E">
        <w:rPr>
          <w:rFonts w:eastAsia="Calibri" w:cstheme="minorHAnsi"/>
        </w:rPr>
        <w:t xml:space="preserve"> vor, die Forschende bei der Erstellung, Verwaltung und Qualitätssicherung ihrer Datenmanagementpläne unterstützen. Durch praxisnahe Beispiele werden die Bedeutung, der Nutzen und der strategische Mehrwert von DMPs für die wissenschaftliche Arbeit verdeutlicht.</w:t>
      </w:r>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lastRenderedPageBreak/>
        <w:t>Schlagwörter</w:t>
      </w:r>
    </w:p>
    <w:p w:rsidR="008F2CAB" w:rsidRPr="009B6B0E" w:rsidRDefault="00DB796A" w:rsidP="00B22E05">
      <w:pPr>
        <w:keepNext/>
        <w:keepLines/>
        <w:spacing w:before="80" w:line="288" w:lineRule="auto"/>
        <w:outlineLvl w:val="3"/>
        <w:rPr>
          <w:rFonts w:eastAsia="Calibri" w:cstheme="minorHAnsi"/>
          <w:i/>
        </w:rPr>
      </w:pPr>
      <w:bookmarkStart w:id="7" w:name="_Toc168829964"/>
      <w:r w:rsidRPr="009B6B0E">
        <w:rPr>
          <w:rFonts w:eastAsia="Calibri" w:cstheme="minorHAnsi"/>
          <w:i/>
        </w:rPr>
        <w:t xml:space="preserve">Datenmanagementplan (DMP), Forschungsdatenmanagement, Datenlebenszyklus, Datenorganisation, Dokumentation, Datenqualität, Datenarchivierung, Nachnutzung, Datenstrukturierung, Metadaten, Zugriffsrechte, Datenschutz, Ethik, Datenformate, Qualitätssicherung, Verantwortlichkeiten, Datenflüsse, DMP-Tools, RDMO, </w:t>
      </w:r>
      <w:proofErr w:type="spellStart"/>
      <w:r w:rsidRPr="009B6B0E">
        <w:rPr>
          <w:rFonts w:eastAsia="Calibri" w:cstheme="minorHAnsi"/>
          <w:i/>
        </w:rPr>
        <w:t>DMPonline</w:t>
      </w:r>
      <w:proofErr w:type="spellEnd"/>
      <w:r w:rsidRPr="009B6B0E">
        <w:rPr>
          <w:rFonts w:eastAsia="Calibri" w:cstheme="minorHAnsi"/>
          <w:i/>
        </w:rPr>
        <w:t>, Projektplanung, Risikominimierung, Transparenz, Reproduzierbarkeit</w:t>
      </w:r>
    </w:p>
    <w:p w:rsidR="00DB796A" w:rsidRPr="0020076A" w:rsidRDefault="00DB796A" w:rsidP="00B22E05">
      <w:pPr>
        <w:keepNext/>
        <w:keepLines/>
        <w:spacing w:before="80" w:line="288" w:lineRule="auto"/>
        <w:outlineLvl w:val="3"/>
        <w:rPr>
          <w:rFonts w:eastAsia="Calibri" w:cstheme="minorHAnsi"/>
          <w:color w:val="595959"/>
          <w:sz w:val="20"/>
        </w:rPr>
      </w:pPr>
    </w:p>
    <w:p w:rsidR="00B22E05" w:rsidRPr="0020076A" w:rsidRDefault="001C51DC" w:rsidP="00B22E05">
      <w:pPr>
        <w:keepNext/>
        <w:keepLines/>
        <w:spacing w:before="80" w:line="288" w:lineRule="auto"/>
        <w:outlineLvl w:val="3"/>
        <w:rPr>
          <w:rFonts w:eastAsia="Times New Roman" w:cstheme="minorHAnsi"/>
          <w:iCs/>
          <w:color w:val="2E74B5"/>
          <w:sz w:val="20"/>
        </w:rPr>
      </w:pPr>
      <w:proofErr w:type="spellStart"/>
      <w:r w:rsidRPr="0020076A">
        <w:rPr>
          <w:rFonts w:eastAsia="Times New Roman" w:cstheme="minorHAnsi"/>
          <w:b/>
          <w:bCs/>
          <w:color w:val="2E74B5"/>
          <w:sz w:val="26"/>
          <w:szCs w:val="26"/>
        </w:rPr>
        <w:t>Forschungsdatenpolicies</w:t>
      </w:r>
      <w:proofErr w:type="spellEnd"/>
      <w:r w:rsidRPr="0020076A">
        <w:rPr>
          <w:rFonts w:eastAsia="Times New Roman" w:cstheme="minorHAnsi"/>
          <w:b/>
          <w:iCs/>
          <w:color w:val="2E74B5"/>
          <w:sz w:val="26"/>
          <w:szCs w:val="26"/>
        </w:rPr>
        <w:t xml:space="preserve"> </w:t>
      </w:r>
      <w:bookmarkEnd w:id="7"/>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Dateiname</w:t>
      </w:r>
    </w:p>
    <w:p w:rsidR="00525DE3" w:rsidRPr="0051047B" w:rsidRDefault="00525DE3" w:rsidP="00B22E05">
      <w:pPr>
        <w:keepNext/>
        <w:keepLines/>
        <w:spacing w:before="120" w:after="80" w:line="288" w:lineRule="auto"/>
        <w:outlineLvl w:val="4"/>
        <w:rPr>
          <w:rFonts w:eastAsia="Times New Roman" w:cstheme="minorHAnsi"/>
        </w:rPr>
      </w:pPr>
      <w:r w:rsidRPr="0051047B">
        <w:rPr>
          <w:rFonts w:eastAsia="Times New Roman" w:cstheme="minorHAnsi"/>
        </w:rPr>
        <w:t>Forschungsdaten-Pol</w:t>
      </w:r>
      <w:r w:rsidR="00D43C7A">
        <w:rPr>
          <w:rFonts w:eastAsia="Times New Roman" w:cstheme="minorHAnsi"/>
        </w:rPr>
        <w:t>icies_</w:t>
      </w:r>
      <w:r w:rsidR="00F709B8" w:rsidRPr="00F709B8">
        <w:rPr>
          <w:rFonts w:eastAsia="Times New Roman" w:cstheme="minorHAnsi"/>
        </w:rPr>
        <w:t>Lernziele_Texte_Quizze</w:t>
      </w:r>
      <w:r w:rsidR="00196286">
        <w:rPr>
          <w:rFonts w:eastAsia="Times New Roman" w:cstheme="minorHAnsi"/>
        </w:rPr>
        <w:t>.docx</w:t>
      </w:r>
    </w:p>
    <w:p w:rsidR="00525DE3"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Beschreibung</w:t>
      </w:r>
    </w:p>
    <w:p w:rsidR="00525DE3" w:rsidRPr="0051047B" w:rsidRDefault="00525DE3" w:rsidP="00525DE3">
      <w:pPr>
        <w:keepNext/>
        <w:keepLines/>
        <w:spacing w:before="120" w:after="80" w:line="288" w:lineRule="auto"/>
        <w:outlineLvl w:val="4"/>
        <w:rPr>
          <w:rFonts w:eastAsia="Times New Roman" w:cstheme="minorHAnsi"/>
        </w:rPr>
      </w:pPr>
      <w:r w:rsidRPr="0051047B">
        <w:rPr>
          <w:rFonts w:eastAsia="Times New Roman" w:cstheme="minorHAnsi"/>
        </w:rPr>
        <w:t>Das Modul vermittelt grundlegende Kenntnisse über Forschungsdaten-</w:t>
      </w:r>
      <w:proofErr w:type="spellStart"/>
      <w:r w:rsidRPr="0051047B">
        <w:rPr>
          <w:rFonts w:eastAsia="Times New Roman" w:cstheme="minorHAnsi"/>
        </w:rPr>
        <w:t>Policies</w:t>
      </w:r>
      <w:proofErr w:type="spellEnd"/>
      <w:r w:rsidRPr="0051047B">
        <w:rPr>
          <w:rFonts w:eastAsia="Times New Roman" w:cstheme="minorHAnsi"/>
        </w:rPr>
        <w:t xml:space="preserve"> als strategische und operative Instrumente im F</w:t>
      </w:r>
      <w:r w:rsidR="00C13255" w:rsidRPr="0051047B">
        <w:rPr>
          <w:rFonts w:eastAsia="Times New Roman" w:cstheme="minorHAnsi"/>
        </w:rPr>
        <w:t>orschungsdatenmanagement (FDM). Es wird erläutert</w:t>
      </w:r>
      <w:r w:rsidRPr="0051047B">
        <w:rPr>
          <w:rFonts w:eastAsia="Times New Roman" w:cstheme="minorHAnsi"/>
        </w:rPr>
        <w:t>, welche Ziele und Funktionen Forschungsdaten-</w:t>
      </w:r>
      <w:proofErr w:type="spellStart"/>
      <w:r w:rsidRPr="0051047B">
        <w:rPr>
          <w:rFonts w:eastAsia="Times New Roman" w:cstheme="minorHAnsi"/>
        </w:rPr>
        <w:t>Policies</w:t>
      </w:r>
      <w:proofErr w:type="spellEnd"/>
      <w:r w:rsidRPr="0051047B">
        <w:rPr>
          <w:rFonts w:eastAsia="Times New Roman" w:cstheme="minorHAnsi"/>
        </w:rPr>
        <w:t xml:space="preserve"> erfüllen, wie sie Transparenz, Qualität, Integrität und Reproduzierbarkeit von Forschungsergebnissen fördern und wie sie zur Umsetzung der FAIR-Prinzipien beitragen. Darüber hinaus wird der Unterschied zwischen institutionellen und disziplinären </w:t>
      </w:r>
      <w:proofErr w:type="spellStart"/>
      <w:r w:rsidRPr="0051047B">
        <w:rPr>
          <w:rFonts w:eastAsia="Times New Roman" w:cstheme="minorHAnsi"/>
        </w:rPr>
        <w:t>Policies</w:t>
      </w:r>
      <w:proofErr w:type="spellEnd"/>
      <w:r w:rsidRPr="0051047B">
        <w:rPr>
          <w:rFonts w:eastAsia="Times New Roman" w:cstheme="minorHAnsi"/>
        </w:rPr>
        <w:t xml:space="preserve"> verständlich erläutert und anhand von Beispielen veranschaulicht.</w:t>
      </w:r>
      <w:r w:rsidR="00C13255" w:rsidRPr="0051047B">
        <w:rPr>
          <w:rFonts w:eastAsia="Times New Roman" w:cstheme="minorHAnsi"/>
        </w:rPr>
        <w:t xml:space="preserve"> </w:t>
      </w:r>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Schlagwörter</w:t>
      </w:r>
    </w:p>
    <w:p w:rsidR="00B22E05" w:rsidRPr="009B6B0E" w:rsidRDefault="008F2CAB" w:rsidP="00B22E05">
      <w:pPr>
        <w:spacing w:line="288" w:lineRule="auto"/>
        <w:rPr>
          <w:rFonts w:eastAsia="Calibri" w:cstheme="minorHAnsi"/>
          <w:i/>
        </w:rPr>
      </w:pPr>
      <w:proofErr w:type="spellStart"/>
      <w:r w:rsidRPr="009B6B0E">
        <w:rPr>
          <w:rFonts w:eastAsia="Calibri" w:cstheme="minorHAnsi"/>
          <w:i/>
        </w:rPr>
        <w:t>Forschungsdatenpolicies</w:t>
      </w:r>
      <w:proofErr w:type="spellEnd"/>
      <w:r w:rsidR="00B22E05" w:rsidRPr="009B6B0E">
        <w:rPr>
          <w:rFonts w:eastAsia="Calibri" w:cstheme="minorHAnsi"/>
          <w:i/>
        </w:rPr>
        <w:t xml:space="preserve"> </w:t>
      </w:r>
      <w:r w:rsidR="00C13255" w:rsidRPr="009B6B0E">
        <w:rPr>
          <w:rFonts w:eastAsia="Calibri" w:cstheme="minorHAnsi"/>
          <w:i/>
        </w:rPr>
        <w:t xml:space="preserve">Forschungsdatenrichtlinie, Forschungsdatenmanagement (FDM), Datenlebenszyklus, Datenqualität, Datenintegrität, Reproduzierbarkeit, Transparenz, Metadaten, Datenformate, Langzeitarchivierung, Datenschutz (DSGVO), Ethik, Rechte &amp; Lizenzen (z. B. CC-Lizenzen), Zugriffskontrolle, Datenfreigabe / Open Data, institutionelle </w:t>
      </w:r>
      <w:proofErr w:type="spellStart"/>
      <w:r w:rsidR="00C13255" w:rsidRPr="009B6B0E">
        <w:rPr>
          <w:rFonts w:eastAsia="Calibri" w:cstheme="minorHAnsi"/>
          <w:i/>
        </w:rPr>
        <w:t>Policies</w:t>
      </w:r>
      <w:proofErr w:type="spellEnd"/>
      <w:r w:rsidR="00C13255" w:rsidRPr="009B6B0E">
        <w:rPr>
          <w:rFonts w:eastAsia="Calibri" w:cstheme="minorHAnsi"/>
          <w:i/>
        </w:rPr>
        <w:t xml:space="preserve">, disziplinäre </w:t>
      </w:r>
      <w:proofErr w:type="spellStart"/>
      <w:r w:rsidR="00C13255" w:rsidRPr="009B6B0E">
        <w:rPr>
          <w:rFonts w:eastAsia="Calibri" w:cstheme="minorHAnsi"/>
          <w:i/>
        </w:rPr>
        <w:t>Policies</w:t>
      </w:r>
      <w:proofErr w:type="spellEnd"/>
      <w:r w:rsidR="00C13255" w:rsidRPr="009B6B0E">
        <w:rPr>
          <w:rFonts w:eastAsia="Calibri" w:cstheme="minorHAnsi"/>
          <w:i/>
        </w:rPr>
        <w:t>, Compliance, Verantwortlichkeiten, Infrastruktur (Repositorien, Speichersysteme)</w:t>
      </w:r>
    </w:p>
    <w:p w:rsidR="00C13255" w:rsidRPr="0051047B" w:rsidRDefault="00C13255" w:rsidP="00B22E05">
      <w:pPr>
        <w:spacing w:line="288" w:lineRule="auto"/>
        <w:rPr>
          <w:rFonts w:eastAsia="Calibri" w:cstheme="minorHAnsi"/>
          <w:i/>
          <w:color w:val="595959"/>
        </w:rPr>
      </w:pPr>
    </w:p>
    <w:p w:rsidR="00B22E05" w:rsidRPr="0020076A" w:rsidRDefault="001C51DC" w:rsidP="001C51DC">
      <w:pPr>
        <w:keepNext/>
        <w:keepLines/>
        <w:spacing w:before="80" w:line="288" w:lineRule="auto"/>
        <w:outlineLvl w:val="3"/>
        <w:rPr>
          <w:rFonts w:eastAsia="Calibri" w:cstheme="minorHAnsi"/>
          <w:color w:val="595959"/>
          <w:sz w:val="20"/>
        </w:rPr>
      </w:pPr>
      <w:bookmarkStart w:id="8" w:name="_Toc168829966"/>
      <w:r w:rsidRPr="0020076A">
        <w:rPr>
          <w:rFonts w:eastAsia="Times New Roman" w:cstheme="minorHAnsi"/>
          <w:b/>
          <w:bCs/>
          <w:color w:val="2E74B5"/>
          <w:sz w:val="26"/>
          <w:szCs w:val="26"/>
        </w:rPr>
        <w:lastRenderedPageBreak/>
        <w:t>FAIR-Prinzipien</w:t>
      </w:r>
      <w:r w:rsidRPr="0020076A">
        <w:rPr>
          <w:rFonts w:eastAsia="Times New Roman" w:cstheme="minorHAnsi"/>
          <w:b/>
          <w:iCs/>
          <w:color w:val="2E74B5"/>
          <w:sz w:val="26"/>
          <w:szCs w:val="26"/>
        </w:rPr>
        <w:t xml:space="preserve"> </w:t>
      </w:r>
      <w:bookmarkEnd w:id="8"/>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Dateiname</w:t>
      </w:r>
    </w:p>
    <w:p w:rsidR="0051047B" w:rsidRPr="0051047B" w:rsidRDefault="0051047B" w:rsidP="00B22E05">
      <w:pPr>
        <w:keepNext/>
        <w:keepLines/>
        <w:spacing w:before="120" w:after="80" w:line="288" w:lineRule="auto"/>
        <w:outlineLvl w:val="4"/>
        <w:rPr>
          <w:rFonts w:eastAsia="Times New Roman" w:cstheme="minorHAnsi"/>
        </w:rPr>
      </w:pPr>
      <w:r w:rsidRPr="0051047B">
        <w:rPr>
          <w:rFonts w:eastAsia="Times New Roman" w:cstheme="minorHAnsi"/>
        </w:rPr>
        <w:t>FAIR-Pri</w:t>
      </w:r>
      <w:r w:rsidR="00D43C7A">
        <w:rPr>
          <w:rFonts w:eastAsia="Times New Roman" w:cstheme="minorHAnsi"/>
        </w:rPr>
        <w:t>nzipien_</w:t>
      </w:r>
      <w:r w:rsidR="00F709B8" w:rsidRPr="00F709B8">
        <w:rPr>
          <w:sz w:val="24"/>
          <w:szCs w:val="24"/>
        </w:rPr>
        <w:t xml:space="preserve"> </w:t>
      </w:r>
      <w:r w:rsidR="00F709B8" w:rsidRPr="00F709B8">
        <w:rPr>
          <w:rFonts w:eastAsia="Times New Roman" w:cstheme="minorHAnsi"/>
        </w:rPr>
        <w:t>Lernziele_Texte_Quizze</w:t>
      </w:r>
      <w:r w:rsidR="0051067A">
        <w:rPr>
          <w:rFonts w:eastAsia="Times New Roman" w:cstheme="minorHAnsi"/>
        </w:rPr>
        <w:t>.docx</w:t>
      </w:r>
    </w:p>
    <w:p w:rsidR="0051047B" w:rsidRPr="0051047B" w:rsidRDefault="00B22E05" w:rsidP="008F2CAB">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Beschreibung</w:t>
      </w:r>
    </w:p>
    <w:p w:rsidR="0051047B" w:rsidRPr="0051047B" w:rsidRDefault="0051047B" w:rsidP="008F2CAB">
      <w:pPr>
        <w:keepNext/>
        <w:keepLines/>
        <w:spacing w:before="120" w:after="80" w:line="288" w:lineRule="auto"/>
        <w:outlineLvl w:val="4"/>
        <w:rPr>
          <w:rFonts w:eastAsia="Times New Roman" w:cstheme="minorHAnsi"/>
        </w:rPr>
      </w:pPr>
      <w:r w:rsidRPr="0051047B">
        <w:rPr>
          <w:rFonts w:eastAsia="Times New Roman" w:cstheme="minorHAnsi"/>
        </w:rPr>
        <w:t>Das Lernmodul führt in die FAIR-Prinzipien und zeigt, wie Daten so aufbereitet werden können, dass sie auffindbar (</w:t>
      </w:r>
      <w:proofErr w:type="spellStart"/>
      <w:r w:rsidRPr="0051047B">
        <w:rPr>
          <w:rFonts w:eastAsia="Times New Roman" w:cstheme="minorHAnsi"/>
        </w:rPr>
        <w:t>Findable</w:t>
      </w:r>
      <w:proofErr w:type="spellEnd"/>
      <w:r w:rsidRPr="0051047B">
        <w:rPr>
          <w:rFonts w:eastAsia="Times New Roman" w:cstheme="minorHAnsi"/>
        </w:rPr>
        <w:t>), zugänglich (</w:t>
      </w:r>
      <w:proofErr w:type="spellStart"/>
      <w:r w:rsidRPr="0051047B">
        <w:rPr>
          <w:rFonts w:eastAsia="Times New Roman" w:cstheme="minorHAnsi"/>
        </w:rPr>
        <w:t>Accessible</w:t>
      </w:r>
      <w:proofErr w:type="spellEnd"/>
      <w:r w:rsidRPr="0051047B">
        <w:rPr>
          <w:rFonts w:eastAsia="Times New Roman" w:cstheme="minorHAnsi"/>
        </w:rPr>
        <w:t>), interoperabel (Interoperable) und wiederverwendbar (</w:t>
      </w:r>
      <w:proofErr w:type="spellStart"/>
      <w:r w:rsidRPr="0051047B">
        <w:rPr>
          <w:rFonts w:eastAsia="Times New Roman" w:cstheme="minorHAnsi"/>
        </w:rPr>
        <w:t>Reusable</w:t>
      </w:r>
      <w:proofErr w:type="spellEnd"/>
      <w:r w:rsidRPr="0051047B">
        <w:rPr>
          <w:rFonts w:eastAsia="Times New Roman" w:cstheme="minorHAnsi"/>
        </w:rPr>
        <w:t>) werden. Das Modul vermittelt Grundlagen, erläutert die zentrale Vorteile, die potenzielle Herausforderungen und praktische Schritte, um die FAIR-Prinzipien in eigenen Projekten umzusetzen.</w:t>
      </w:r>
    </w:p>
    <w:p w:rsidR="00B22E05" w:rsidRPr="0051047B" w:rsidRDefault="00B22E05" w:rsidP="00B22E05">
      <w:pPr>
        <w:keepNext/>
        <w:keepLines/>
        <w:spacing w:before="120" w:after="80" w:line="288" w:lineRule="auto"/>
        <w:outlineLvl w:val="4"/>
        <w:rPr>
          <w:rFonts w:eastAsia="Times New Roman" w:cstheme="minorHAnsi"/>
          <w:i/>
          <w:color w:val="2E74B5"/>
        </w:rPr>
      </w:pPr>
      <w:r w:rsidRPr="0051047B">
        <w:rPr>
          <w:rFonts w:eastAsia="Times New Roman" w:cstheme="minorHAnsi"/>
          <w:i/>
          <w:color w:val="2E74B5"/>
        </w:rPr>
        <w:t>Schlagwörter</w:t>
      </w:r>
    </w:p>
    <w:p w:rsidR="008F2CAB" w:rsidRPr="009B6B0E" w:rsidRDefault="0051047B" w:rsidP="00B22E05">
      <w:pPr>
        <w:keepNext/>
        <w:keepLines/>
        <w:spacing w:before="120" w:after="80" w:line="288" w:lineRule="auto"/>
        <w:outlineLvl w:val="4"/>
        <w:rPr>
          <w:rFonts w:eastAsia="Calibri" w:cstheme="minorHAnsi"/>
          <w:i/>
        </w:rPr>
      </w:pPr>
      <w:r w:rsidRPr="009B6B0E">
        <w:rPr>
          <w:rFonts w:eastAsia="Calibri" w:cstheme="minorHAnsi"/>
          <w:i/>
        </w:rPr>
        <w:t xml:space="preserve">FAIR-Prinzipien, </w:t>
      </w:r>
      <w:proofErr w:type="spellStart"/>
      <w:r w:rsidRPr="009B6B0E">
        <w:rPr>
          <w:rFonts w:eastAsia="Calibri" w:cstheme="minorHAnsi"/>
          <w:i/>
        </w:rPr>
        <w:t>Findable</w:t>
      </w:r>
      <w:proofErr w:type="spellEnd"/>
      <w:r w:rsidRPr="009B6B0E">
        <w:rPr>
          <w:rFonts w:eastAsia="Calibri" w:cstheme="minorHAnsi"/>
          <w:i/>
        </w:rPr>
        <w:t xml:space="preserve">, </w:t>
      </w:r>
      <w:proofErr w:type="spellStart"/>
      <w:r w:rsidRPr="009B6B0E">
        <w:rPr>
          <w:rFonts w:eastAsia="Calibri" w:cstheme="minorHAnsi"/>
          <w:i/>
        </w:rPr>
        <w:t>Accessible</w:t>
      </w:r>
      <w:proofErr w:type="spellEnd"/>
      <w:r w:rsidRPr="009B6B0E">
        <w:rPr>
          <w:rFonts w:eastAsia="Calibri" w:cstheme="minorHAnsi"/>
          <w:i/>
        </w:rPr>
        <w:t xml:space="preserve">, Interoperable, </w:t>
      </w:r>
      <w:proofErr w:type="spellStart"/>
      <w:r w:rsidRPr="009B6B0E">
        <w:rPr>
          <w:rFonts w:eastAsia="Calibri" w:cstheme="minorHAnsi"/>
          <w:i/>
        </w:rPr>
        <w:t>Reusable</w:t>
      </w:r>
      <w:proofErr w:type="spellEnd"/>
      <w:r w:rsidRPr="009B6B0E">
        <w:rPr>
          <w:rFonts w:eastAsia="Calibri" w:cstheme="minorHAnsi"/>
          <w:i/>
        </w:rPr>
        <w:t xml:space="preserve">, Metadaten, Datenqualität, Datenstandards, Datenzugang, Wiederverwendbarkeit, Interoperabilität, Repositorien, </w:t>
      </w:r>
      <w:proofErr w:type="spellStart"/>
      <w:r w:rsidRPr="009B6B0E">
        <w:rPr>
          <w:rFonts w:eastAsia="Calibri" w:cstheme="minorHAnsi"/>
          <w:i/>
        </w:rPr>
        <w:t>Identifikatoren</w:t>
      </w:r>
      <w:proofErr w:type="spellEnd"/>
      <w:r w:rsidRPr="009B6B0E">
        <w:rPr>
          <w:rFonts w:eastAsia="Calibri" w:cstheme="minorHAnsi"/>
          <w:i/>
        </w:rPr>
        <w:t>, DOI, Datenlizenzierung, Transparenz, Datenlebenszyklus</w:t>
      </w:r>
    </w:p>
    <w:p w:rsidR="00B22E05" w:rsidRDefault="00B22E05" w:rsidP="00B22E05">
      <w:pPr>
        <w:spacing w:line="288" w:lineRule="auto"/>
        <w:rPr>
          <w:rFonts w:eastAsia="Calibri" w:cstheme="minorHAnsi"/>
          <w:color w:val="595959"/>
        </w:rPr>
      </w:pPr>
    </w:p>
    <w:p w:rsidR="000F47EB" w:rsidRPr="0051047B" w:rsidRDefault="000F47EB" w:rsidP="00B22E05">
      <w:pPr>
        <w:spacing w:line="288" w:lineRule="auto"/>
        <w:rPr>
          <w:rFonts w:eastAsia="Calibri" w:cstheme="minorHAnsi"/>
          <w:color w:val="595959"/>
        </w:rPr>
      </w:pPr>
    </w:p>
    <w:p w:rsidR="00B22E05" w:rsidRPr="0020076A" w:rsidRDefault="001C51DC" w:rsidP="001C51DC">
      <w:pPr>
        <w:keepNext/>
        <w:keepLines/>
        <w:spacing w:before="40" w:after="0" w:line="288" w:lineRule="auto"/>
        <w:outlineLvl w:val="1"/>
        <w:rPr>
          <w:rFonts w:eastAsia="Times New Roman" w:cstheme="minorHAnsi"/>
          <w:b/>
          <w:color w:val="2E74B5"/>
          <w:sz w:val="26"/>
          <w:szCs w:val="26"/>
        </w:rPr>
      </w:pPr>
      <w:bookmarkStart w:id="9" w:name="_Toc168489956"/>
      <w:bookmarkStart w:id="10" w:name="_Toc168829967"/>
      <w:r w:rsidRPr="0020076A">
        <w:rPr>
          <w:rFonts w:eastAsia="Times New Roman" w:cstheme="minorHAnsi"/>
          <w:b/>
          <w:bCs/>
          <w:color w:val="2E74B5"/>
          <w:sz w:val="26"/>
          <w:szCs w:val="26"/>
        </w:rPr>
        <w:t>Open X (Open Data, Open Source, Open Science)</w:t>
      </w:r>
      <w:r w:rsidR="00B22E05" w:rsidRPr="0020076A">
        <w:rPr>
          <w:rFonts w:eastAsia="Times New Roman" w:cstheme="minorHAnsi"/>
          <w:b/>
          <w:color w:val="2E74B5"/>
          <w:sz w:val="26"/>
          <w:szCs w:val="26"/>
        </w:rPr>
        <w:t xml:space="preserve">: </w:t>
      </w:r>
      <w:bookmarkEnd w:id="9"/>
      <w:bookmarkEnd w:id="10"/>
    </w:p>
    <w:p w:rsidR="00B22E05" w:rsidRPr="006C6BAF" w:rsidRDefault="00B22E05" w:rsidP="00B22E05">
      <w:pPr>
        <w:keepNext/>
        <w:keepLines/>
        <w:spacing w:before="120" w:after="80" w:line="288" w:lineRule="auto"/>
        <w:outlineLvl w:val="4"/>
        <w:rPr>
          <w:rFonts w:eastAsia="Times New Roman" w:cstheme="minorHAnsi"/>
          <w:i/>
          <w:color w:val="2E74B5"/>
        </w:rPr>
      </w:pPr>
      <w:r w:rsidRPr="006C6BAF">
        <w:rPr>
          <w:rFonts w:eastAsia="Times New Roman" w:cstheme="minorHAnsi"/>
          <w:i/>
          <w:color w:val="2E74B5"/>
        </w:rPr>
        <w:t>Dateiname</w:t>
      </w:r>
    </w:p>
    <w:p w:rsidR="0051047B" w:rsidRPr="006C6BAF" w:rsidRDefault="0051047B" w:rsidP="00B22E05">
      <w:pPr>
        <w:keepNext/>
        <w:keepLines/>
        <w:spacing w:before="120" w:after="80" w:line="288" w:lineRule="auto"/>
        <w:outlineLvl w:val="4"/>
        <w:rPr>
          <w:rFonts w:eastAsia="Times New Roman" w:cstheme="minorHAnsi"/>
        </w:rPr>
      </w:pPr>
      <w:r w:rsidRPr="006C6BAF">
        <w:rPr>
          <w:rFonts w:eastAsia="Times New Roman" w:cstheme="minorHAnsi"/>
        </w:rPr>
        <w:t>Open X (Open Data, Open Source, Open Science, …)</w:t>
      </w:r>
      <w:r w:rsidR="00D43C7A">
        <w:rPr>
          <w:rFonts w:eastAsia="Times New Roman" w:cstheme="minorHAnsi"/>
        </w:rPr>
        <w:t>_</w:t>
      </w:r>
      <w:r w:rsidR="00F709B8" w:rsidRPr="00F709B8">
        <w:rPr>
          <w:sz w:val="24"/>
          <w:szCs w:val="24"/>
        </w:rPr>
        <w:t xml:space="preserve"> </w:t>
      </w:r>
      <w:r w:rsidR="00F709B8" w:rsidRPr="00F709B8">
        <w:rPr>
          <w:rFonts w:eastAsia="Times New Roman" w:cstheme="minorHAnsi"/>
        </w:rPr>
        <w:t>Lernziele_Texte_Quizze</w:t>
      </w:r>
      <w:r w:rsidR="0051067A">
        <w:rPr>
          <w:rFonts w:eastAsia="Times New Roman" w:cstheme="minorHAnsi"/>
        </w:rPr>
        <w:t>.docx</w:t>
      </w:r>
    </w:p>
    <w:p w:rsidR="00B22E05" w:rsidRPr="006C6BAF" w:rsidRDefault="00B22E05" w:rsidP="00B22E05">
      <w:pPr>
        <w:keepNext/>
        <w:keepLines/>
        <w:spacing w:before="120" w:after="80" w:line="288" w:lineRule="auto"/>
        <w:outlineLvl w:val="4"/>
        <w:rPr>
          <w:rFonts w:eastAsia="Times New Roman" w:cstheme="minorHAnsi"/>
          <w:i/>
          <w:color w:val="2E74B5"/>
        </w:rPr>
      </w:pPr>
      <w:r w:rsidRPr="006C6BAF">
        <w:rPr>
          <w:rFonts w:eastAsia="Times New Roman" w:cstheme="minorHAnsi"/>
          <w:i/>
          <w:color w:val="2E74B5"/>
        </w:rPr>
        <w:t>Beschreibung</w:t>
      </w:r>
    </w:p>
    <w:p w:rsidR="0051047B" w:rsidRPr="0051047B" w:rsidRDefault="0051047B" w:rsidP="00B22E05">
      <w:pPr>
        <w:keepNext/>
        <w:keepLines/>
        <w:spacing w:before="120" w:after="80" w:line="288" w:lineRule="auto"/>
        <w:outlineLvl w:val="4"/>
        <w:rPr>
          <w:rFonts w:eastAsia="Times New Roman" w:cstheme="minorHAnsi"/>
          <w:color w:val="2E74B5"/>
          <w:sz w:val="20"/>
        </w:rPr>
      </w:pPr>
      <w:r>
        <w:t xml:space="preserve">Das Lernmodul führt in die zentralen Ideen </w:t>
      </w:r>
      <w:r w:rsidR="006C6BAF">
        <w:t>von Open Science ein</w:t>
      </w:r>
      <w:r>
        <w:t>. Da</w:t>
      </w:r>
      <w:r w:rsidR="006C6BAF">
        <w:t xml:space="preserve">bei werden die wichtigsten Bereiche </w:t>
      </w:r>
      <w:r>
        <w:t xml:space="preserve">– darunter </w:t>
      </w:r>
      <w:r w:rsidRPr="006C6BAF">
        <w:rPr>
          <w:rStyle w:val="Fett"/>
          <w:b w:val="0"/>
        </w:rPr>
        <w:t>Open Access</w:t>
      </w:r>
      <w:r w:rsidRPr="006C6BAF">
        <w:rPr>
          <w:b/>
        </w:rPr>
        <w:t xml:space="preserve">, </w:t>
      </w:r>
      <w:r w:rsidRPr="006C6BAF">
        <w:rPr>
          <w:rStyle w:val="Fett"/>
          <w:b w:val="0"/>
        </w:rPr>
        <w:t>Open Data</w:t>
      </w:r>
      <w:r w:rsidRPr="006C6BAF">
        <w:rPr>
          <w:b/>
        </w:rPr>
        <w:t xml:space="preserve"> </w:t>
      </w:r>
      <w:r w:rsidRPr="006C6BAF">
        <w:t xml:space="preserve">und </w:t>
      </w:r>
      <w:r w:rsidRPr="006C6BAF">
        <w:rPr>
          <w:rStyle w:val="Fett"/>
          <w:b w:val="0"/>
        </w:rPr>
        <w:t>Open Source</w:t>
      </w:r>
      <w:r w:rsidR="006C6BAF">
        <w:t xml:space="preserve"> – vorgestellt, wie d</w:t>
      </w:r>
      <w:r>
        <w:t>ie</w:t>
      </w:r>
      <w:r w:rsidR="006C6BAF">
        <w:t>se</w:t>
      </w:r>
      <w:r>
        <w:t xml:space="preserve"> zur Reproduzierbarkeit beitragen und wie sich ihre Potenziale verantwortungsvoll in Praxis und Gesundheitsforschung nutzen lassen.</w:t>
      </w:r>
    </w:p>
    <w:p w:rsidR="00B22E05" w:rsidRPr="006C6BAF" w:rsidRDefault="00B22E05" w:rsidP="00B22E05">
      <w:pPr>
        <w:keepNext/>
        <w:keepLines/>
        <w:spacing w:before="120" w:after="80" w:line="288" w:lineRule="auto"/>
        <w:outlineLvl w:val="4"/>
        <w:rPr>
          <w:rFonts w:eastAsia="Times New Roman" w:cstheme="minorHAnsi"/>
          <w:i/>
          <w:color w:val="2E74B5"/>
        </w:rPr>
      </w:pPr>
      <w:r w:rsidRPr="006C6BAF">
        <w:rPr>
          <w:rFonts w:eastAsia="Times New Roman" w:cstheme="minorHAnsi"/>
          <w:i/>
          <w:color w:val="2E74B5"/>
        </w:rPr>
        <w:t>Schlagwörter</w:t>
      </w:r>
    </w:p>
    <w:p w:rsidR="008F2CAB" w:rsidRPr="0020076A" w:rsidRDefault="006C6BAF" w:rsidP="00B22E05">
      <w:pPr>
        <w:keepNext/>
        <w:keepLines/>
        <w:spacing w:before="120" w:after="80" w:line="288" w:lineRule="auto"/>
        <w:outlineLvl w:val="4"/>
        <w:rPr>
          <w:rFonts w:eastAsia="Calibri" w:cstheme="minorHAnsi"/>
          <w:i/>
          <w:color w:val="595959"/>
          <w:sz w:val="20"/>
        </w:rPr>
      </w:pPr>
      <w:r w:rsidRPr="006C6BAF">
        <w:rPr>
          <w:rFonts w:eastAsia="Calibri" w:cstheme="minorHAnsi"/>
          <w:i/>
        </w:rPr>
        <w:t>Open Science, Open Data, Open Source, Open Access, Offenheit, Transparenz, Rep</w:t>
      </w:r>
      <w:r>
        <w:rPr>
          <w:rFonts w:eastAsia="Calibri" w:cstheme="minorHAnsi"/>
          <w:i/>
        </w:rPr>
        <w:t>roduzierbarkeit, Kollaboration</w:t>
      </w:r>
      <w:r w:rsidRPr="006C6BAF">
        <w:rPr>
          <w:rFonts w:eastAsia="Calibri" w:cstheme="minorHAnsi"/>
          <w:i/>
        </w:rPr>
        <w:t>, offene Methoden, offen</w:t>
      </w:r>
      <w:r>
        <w:rPr>
          <w:rFonts w:eastAsia="Calibri" w:cstheme="minorHAnsi"/>
          <w:i/>
        </w:rPr>
        <w:t>e Software, offene Daten</w:t>
      </w:r>
      <w:r w:rsidRPr="006C6BAF">
        <w:rPr>
          <w:rFonts w:eastAsia="Calibri" w:cstheme="minorHAnsi"/>
          <w:i/>
        </w:rPr>
        <w:t>, offen</w:t>
      </w:r>
      <w:r>
        <w:rPr>
          <w:rFonts w:eastAsia="Calibri" w:cstheme="minorHAnsi"/>
          <w:i/>
        </w:rPr>
        <w:t>e Wissenschaft</w:t>
      </w:r>
      <w:r w:rsidRPr="006C6BAF">
        <w:rPr>
          <w:rFonts w:eastAsia="Calibri" w:cstheme="minorHAnsi"/>
          <w:i/>
        </w:rPr>
        <w:t xml:space="preserve">, Lizenzen, Creative </w:t>
      </w:r>
      <w:proofErr w:type="spellStart"/>
      <w:r w:rsidRPr="006C6BAF">
        <w:rPr>
          <w:rFonts w:eastAsia="Calibri" w:cstheme="minorHAnsi"/>
          <w:i/>
        </w:rPr>
        <w:t>Commons</w:t>
      </w:r>
      <w:proofErr w:type="spellEnd"/>
      <w:r w:rsidRPr="006C6BAF">
        <w:rPr>
          <w:rFonts w:eastAsia="Calibri" w:cstheme="minorHAnsi"/>
          <w:i/>
        </w:rPr>
        <w:t>, FAIR</w:t>
      </w:r>
      <w:r>
        <w:rPr>
          <w:rFonts w:eastAsia="Calibri" w:cstheme="minorHAnsi"/>
          <w:i/>
        </w:rPr>
        <w:t>, Datenzugang</w:t>
      </w:r>
    </w:p>
    <w:p w:rsidR="00B22E05" w:rsidRPr="0020076A" w:rsidRDefault="00B22E05" w:rsidP="00B22E05">
      <w:pPr>
        <w:spacing w:line="288" w:lineRule="auto"/>
        <w:rPr>
          <w:rFonts w:eastAsia="Calibri" w:cstheme="minorHAnsi"/>
          <w:color w:val="595959"/>
          <w:sz w:val="20"/>
        </w:rPr>
      </w:pPr>
    </w:p>
    <w:p w:rsidR="00B22E05" w:rsidRPr="0020076A" w:rsidRDefault="00B22E05" w:rsidP="00B22E05">
      <w:pPr>
        <w:spacing w:line="288" w:lineRule="auto"/>
        <w:rPr>
          <w:rFonts w:eastAsia="Times New Roman" w:cstheme="minorHAnsi"/>
          <w:i/>
          <w:color w:val="2E74B5"/>
          <w:sz w:val="20"/>
        </w:rPr>
      </w:pPr>
    </w:p>
    <w:p w:rsidR="008F2CAB" w:rsidRPr="0020076A" w:rsidRDefault="008F2CAB" w:rsidP="00B22E05">
      <w:pPr>
        <w:spacing w:line="288" w:lineRule="auto"/>
        <w:rPr>
          <w:rFonts w:eastAsia="Times New Roman" w:cstheme="minorHAnsi"/>
          <w:i/>
          <w:color w:val="2E74B5"/>
          <w:sz w:val="20"/>
        </w:rPr>
      </w:pPr>
    </w:p>
    <w:p w:rsidR="008F2CAB" w:rsidRPr="0020076A" w:rsidRDefault="008F2CAB" w:rsidP="00B22E05">
      <w:pPr>
        <w:spacing w:line="288" w:lineRule="auto"/>
        <w:rPr>
          <w:rFonts w:eastAsia="Times New Roman" w:cstheme="minorHAnsi"/>
          <w:i/>
          <w:color w:val="2E74B5"/>
          <w:sz w:val="20"/>
        </w:rPr>
      </w:pPr>
    </w:p>
    <w:p w:rsidR="008F2CAB" w:rsidRPr="0020076A" w:rsidRDefault="008F2CAB" w:rsidP="00B22E05">
      <w:pPr>
        <w:spacing w:line="288" w:lineRule="auto"/>
        <w:rPr>
          <w:rFonts w:eastAsia="Times New Roman" w:cstheme="minorHAnsi"/>
          <w:i/>
          <w:color w:val="2E74B5"/>
          <w:sz w:val="20"/>
        </w:rPr>
      </w:pPr>
    </w:p>
    <w:p w:rsidR="008F2CAB" w:rsidRPr="0020076A" w:rsidRDefault="008F2CAB" w:rsidP="00B22E05">
      <w:pPr>
        <w:spacing w:line="288" w:lineRule="auto"/>
        <w:rPr>
          <w:rFonts w:eastAsia="Times New Roman" w:cstheme="minorHAnsi"/>
          <w:i/>
          <w:color w:val="2E74B5"/>
          <w:sz w:val="20"/>
        </w:rPr>
      </w:pPr>
    </w:p>
    <w:p w:rsidR="008F2CAB" w:rsidRPr="0020076A" w:rsidRDefault="008F2CAB" w:rsidP="00B22E05">
      <w:pPr>
        <w:spacing w:line="288" w:lineRule="auto"/>
        <w:rPr>
          <w:rFonts w:eastAsia="Times New Roman" w:cstheme="minorHAnsi"/>
          <w:i/>
          <w:color w:val="2E74B5"/>
          <w:sz w:val="20"/>
        </w:rPr>
      </w:pPr>
    </w:p>
    <w:p w:rsidR="00B22E05" w:rsidRPr="0020076A" w:rsidRDefault="00B22E05" w:rsidP="00B22E05">
      <w:pPr>
        <w:rPr>
          <w:rFonts w:eastAsia="Calibri" w:cstheme="minorHAnsi"/>
          <w:color w:val="595959"/>
          <w:sz w:val="20"/>
        </w:rPr>
      </w:pPr>
    </w:p>
    <w:p w:rsidR="00B22E05" w:rsidRPr="0020076A" w:rsidRDefault="001C51DC" w:rsidP="008F2CAB">
      <w:pPr>
        <w:pStyle w:val="berschrift1"/>
        <w:rPr>
          <w:rFonts w:asciiTheme="minorHAnsi" w:eastAsia="Times New Roman" w:hAnsiTheme="minorHAnsi" w:cstheme="minorHAnsi"/>
        </w:rPr>
      </w:pPr>
      <w:r w:rsidRPr="0020076A">
        <w:rPr>
          <w:rFonts w:asciiTheme="minorHAnsi" w:eastAsia="Times New Roman" w:hAnsiTheme="minorHAnsi" w:cstheme="minorHAnsi"/>
        </w:rPr>
        <w:lastRenderedPageBreak/>
        <w:t xml:space="preserve">Überblick Lernmodule und Inhalte </w:t>
      </w:r>
    </w:p>
    <w:p w:rsidR="001C51DC" w:rsidRPr="000F47EB" w:rsidRDefault="001C51DC" w:rsidP="00B22E05">
      <w:pPr>
        <w:spacing w:line="288" w:lineRule="auto"/>
        <w:rPr>
          <w:rFonts w:eastAsia="Calibri" w:cstheme="minorHAnsi"/>
          <w:sz w:val="20"/>
        </w:rPr>
      </w:pPr>
    </w:p>
    <w:tbl>
      <w:tblPr>
        <w:tblStyle w:val="Tabellenraster"/>
        <w:tblW w:w="10060" w:type="dxa"/>
        <w:tblLayout w:type="fixed"/>
        <w:tblLook w:val="04A0" w:firstRow="1" w:lastRow="0" w:firstColumn="1" w:lastColumn="0" w:noHBand="0" w:noVBand="1"/>
      </w:tblPr>
      <w:tblGrid>
        <w:gridCol w:w="2830"/>
        <w:gridCol w:w="7230"/>
      </w:tblGrid>
      <w:tr w:rsidR="000F47EB" w:rsidRPr="000F47EB" w:rsidTr="000F47EB">
        <w:tc>
          <w:tcPr>
            <w:tcW w:w="2830" w:type="dxa"/>
            <w:shd w:val="clear" w:color="auto" w:fill="C5E0B3" w:themeFill="accent6" w:themeFillTint="66"/>
          </w:tcPr>
          <w:p w:rsidR="001C51DC" w:rsidRPr="009B6B0E" w:rsidRDefault="001C51DC" w:rsidP="001C51DC">
            <w:pPr>
              <w:spacing w:after="160" w:line="288" w:lineRule="auto"/>
              <w:rPr>
                <w:rFonts w:eastAsia="Calibri" w:cstheme="minorHAnsi"/>
                <w:b/>
              </w:rPr>
            </w:pPr>
            <w:r w:rsidRPr="009B6B0E">
              <w:rPr>
                <w:rFonts w:eastAsia="Calibri" w:cstheme="minorHAnsi"/>
                <w:b/>
              </w:rPr>
              <w:t>Titel</w:t>
            </w:r>
          </w:p>
        </w:tc>
        <w:tc>
          <w:tcPr>
            <w:tcW w:w="7230" w:type="dxa"/>
            <w:shd w:val="clear" w:color="auto" w:fill="C5E0B3" w:themeFill="accent6" w:themeFillTint="66"/>
          </w:tcPr>
          <w:p w:rsidR="001C51DC" w:rsidRPr="009B6B0E" w:rsidRDefault="001C51DC" w:rsidP="001C51DC">
            <w:pPr>
              <w:spacing w:after="160" w:line="288" w:lineRule="auto"/>
              <w:rPr>
                <w:rFonts w:eastAsia="Calibri" w:cstheme="minorHAnsi"/>
                <w:b/>
              </w:rPr>
            </w:pPr>
            <w:r w:rsidRPr="009B6B0E">
              <w:rPr>
                <w:rFonts w:eastAsia="Calibri" w:cstheme="minorHAnsi"/>
                <w:b/>
              </w:rPr>
              <w:t>Inhalte</w:t>
            </w:r>
            <w:r w:rsidR="000F47EB" w:rsidRPr="009B6B0E">
              <w:rPr>
                <w:rFonts w:eastAsia="Calibri" w:cstheme="minorHAnsi"/>
                <w:b/>
              </w:rPr>
              <w:t>/Lernziele</w:t>
            </w:r>
          </w:p>
        </w:tc>
      </w:tr>
      <w:tr w:rsidR="001C51DC" w:rsidRPr="009C0CC3" w:rsidTr="000F47EB">
        <w:tc>
          <w:tcPr>
            <w:tcW w:w="2830" w:type="dxa"/>
          </w:tcPr>
          <w:p w:rsidR="001C51DC" w:rsidRPr="009B6B0E" w:rsidRDefault="001C51DC" w:rsidP="001C51DC">
            <w:pPr>
              <w:spacing w:after="160" w:line="288" w:lineRule="auto"/>
              <w:rPr>
                <w:rFonts w:eastAsia="Calibri" w:cstheme="minorHAnsi"/>
                <w:b/>
              </w:rPr>
            </w:pPr>
            <w:r w:rsidRPr="009B6B0E">
              <w:rPr>
                <w:rFonts w:eastAsia="Calibri" w:cstheme="minorHAnsi"/>
                <w:b/>
              </w:rPr>
              <w:t>Grundlegendes Verständnis von Daten</w:t>
            </w:r>
          </w:p>
        </w:tc>
        <w:tc>
          <w:tcPr>
            <w:tcW w:w="7230" w:type="dxa"/>
            <w:shd w:val="clear" w:color="auto" w:fill="auto"/>
          </w:tcPr>
          <w:tbl>
            <w:tblPr>
              <w:tblW w:w="0" w:type="auto"/>
              <w:tblLayout w:type="fixed"/>
              <w:tblCellMar>
                <w:left w:w="70" w:type="dxa"/>
                <w:right w:w="70" w:type="dxa"/>
              </w:tblCellMar>
              <w:tblLook w:val="04A0" w:firstRow="1" w:lastRow="0" w:firstColumn="1" w:lastColumn="0" w:noHBand="0" w:noVBand="1"/>
            </w:tblPr>
            <w:tblGrid>
              <w:gridCol w:w="8347"/>
            </w:tblGrid>
            <w:tr w:rsidR="001C51DC" w:rsidRPr="009B6B0E" w:rsidTr="008F2CAB">
              <w:trPr>
                <w:trHeight w:val="298"/>
              </w:trPr>
              <w:tc>
                <w:tcPr>
                  <w:tcW w:w="8347"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Einfache Datentypen benennen [1]</w:t>
                  </w:r>
                </w:p>
              </w:tc>
            </w:tr>
            <w:tr w:rsidR="001C51DC" w:rsidRPr="009B6B0E" w:rsidTr="008F2CAB">
              <w:trPr>
                <w:trHeight w:val="298"/>
              </w:trPr>
              <w:tc>
                <w:tcPr>
                  <w:tcW w:w="8347" w:type="dxa"/>
                  <w:tcBorders>
                    <w:top w:val="nil"/>
                    <w:left w:val="nil"/>
                    <w:bottom w:val="nil"/>
                    <w:right w:val="nil"/>
                  </w:tcBorders>
                  <w:shd w:val="clear" w:color="auto" w:fill="auto"/>
                  <w:hideMark/>
                </w:tcPr>
                <w:p w:rsidR="00D43C7A" w:rsidRPr="009B6B0E" w:rsidRDefault="001C51DC" w:rsidP="009C0CC3">
                  <w:pPr>
                    <w:pStyle w:val="KeinLeerraum"/>
                  </w:pPr>
                  <w:r w:rsidRPr="009B6B0E">
                    <w:t>Unterschied zwischen quantitativen und qualitativen Daten beschreiben</w:t>
                  </w:r>
                </w:p>
                <w:p w:rsidR="001C51DC" w:rsidRPr="009B6B0E" w:rsidRDefault="001C51DC" w:rsidP="009C0CC3">
                  <w:pPr>
                    <w:pStyle w:val="KeinLeerraum"/>
                  </w:pPr>
                  <w:r w:rsidRPr="009B6B0E">
                    <w:t xml:space="preserve"> [1]</w:t>
                  </w:r>
                </w:p>
              </w:tc>
            </w:tr>
            <w:tr w:rsidR="001C51DC" w:rsidRPr="009B6B0E" w:rsidTr="008F2CAB">
              <w:trPr>
                <w:trHeight w:val="298"/>
              </w:trPr>
              <w:tc>
                <w:tcPr>
                  <w:tcW w:w="8347" w:type="dxa"/>
                  <w:tcBorders>
                    <w:top w:val="nil"/>
                    <w:left w:val="nil"/>
                    <w:bottom w:val="nil"/>
                    <w:right w:val="nil"/>
                  </w:tcBorders>
                  <w:shd w:val="clear" w:color="auto" w:fill="auto"/>
                  <w:noWrap/>
                  <w:vAlign w:val="bottom"/>
                  <w:hideMark/>
                </w:tcPr>
                <w:p w:rsidR="001C51DC" w:rsidRPr="009B6B0E" w:rsidRDefault="001C51DC" w:rsidP="009C0CC3">
                  <w:pPr>
                    <w:pStyle w:val="KeinLeerraum"/>
                  </w:pPr>
                  <w:r w:rsidRPr="009B6B0E">
                    <w:t>Erläutern was ein Datenstandard ist [2]</w:t>
                  </w:r>
                </w:p>
              </w:tc>
            </w:tr>
            <w:tr w:rsidR="001C51DC" w:rsidRPr="009B6B0E" w:rsidTr="008F2CAB">
              <w:trPr>
                <w:trHeight w:val="596"/>
              </w:trPr>
              <w:tc>
                <w:tcPr>
                  <w:tcW w:w="8347"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 xml:space="preserve">Eigene Daten </w:t>
                  </w:r>
                  <w:r w:rsidRPr="009B6B0E">
                    <w:rPr>
                      <w:i/>
                      <w:iCs/>
                    </w:rPr>
                    <w:t>unter Anleitung</w:t>
                  </w:r>
                  <w:r w:rsidRPr="009B6B0E">
                    <w:t xml:space="preserve"> in nachnutzbaren Formaten anlegen oder in entsprechende Formate umwandeln [2]</w:t>
                  </w:r>
                </w:p>
              </w:tc>
            </w:tr>
            <w:tr w:rsidR="001C51DC" w:rsidRPr="009B6B0E" w:rsidTr="008F2CAB">
              <w:trPr>
                <w:trHeight w:val="596"/>
              </w:trPr>
              <w:tc>
                <w:tcPr>
                  <w:tcW w:w="8347" w:type="dxa"/>
                  <w:tcBorders>
                    <w:top w:val="nil"/>
                    <w:left w:val="nil"/>
                    <w:bottom w:val="nil"/>
                    <w:right w:val="nil"/>
                  </w:tcBorders>
                  <w:shd w:val="clear" w:color="auto" w:fill="auto"/>
                  <w:vAlign w:val="bottom"/>
                  <w:hideMark/>
                </w:tcPr>
                <w:p w:rsidR="009C0CC3" w:rsidRPr="009B6B0E" w:rsidRDefault="001C51DC" w:rsidP="009C0CC3">
                  <w:pPr>
                    <w:pStyle w:val="KeinLeerraum"/>
                  </w:pPr>
                  <w:r w:rsidRPr="009B6B0E">
                    <w:rPr>
                      <w:i/>
                      <w:iCs/>
                    </w:rPr>
                    <w:t>Unter Anleitung</w:t>
                  </w:r>
                  <w:r w:rsidRPr="009B6B0E">
                    <w:t xml:space="preserve"> angemessene Verfahrensweisen für quantitative und </w:t>
                  </w:r>
                </w:p>
                <w:p w:rsidR="001C51DC" w:rsidRPr="009B6B0E" w:rsidRDefault="001C51DC" w:rsidP="009C0CC3">
                  <w:pPr>
                    <w:pStyle w:val="KeinLeerraum"/>
                  </w:pPr>
                  <w:r w:rsidRPr="009B6B0E">
                    <w:t>qualitative Daten zuordnen [2]</w:t>
                  </w:r>
                </w:p>
              </w:tc>
            </w:tr>
          </w:tbl>
          <w:p w:rsidR="001C51DC" w:rsidRPr="009B6B0E" w:rsidRDefault="001C51DC" w:rsidP="001C51DC">
            <w:pPr>
              <w:spacing w:after="160" w:line="288" w:lineRule="auto"/>
              <w:rPr>
                <w:rFonts w:eastAsia="Calibri" w:cstheme="minorHAnsi"/>
              </w:rPr>
            </w:pPr>
          </w:p>
        </w:tc>
      </w:tr>
      <w:tr w:rsidR="001C51DC" w:rsidRPr="009C0CC3" w:rsidTr="000F47EB">
        <w:tc>
          <w:tcPr>
            <w:tcW w:w="2830" w:type="dxa"/>
          </w:tcPr>
          <w:p w:rsidR="001C51DC" w:rsidRPr="009B6B0E" w:rsidRDefault="001C51DC" w:rsidP="001C51DC">
            <w:pPr>
              <w:spacing w:after="160" w:line="288" w:lineRule="auto"/>
              <w:rPr>
                <w:rFonts w:eastAsia="Calibri" w:cstheme="minorHAnsi"/>
                <w:b/>
              </w:rPr>
            </w:pPr>
            <w:r w:rsidRPr="009B6B0E">
              <w:rPr>
                <w:rFonts w:eastAsia="Calibri" w:cstheme="minorHAnsi"/>
                <w:b/>
              </w:rPr>
              <w:t>Allgemeine Prinzipien und Konzepte FDM</w:t>
            </w:r>
          </w:p>
        </w:tc>
        <w:tc>
          <w:tcPr>
            <w:tcW w:w="7230" w:type="dxa"/>
            <w:shd w:val="clear" w:color="auto" w:fill="auto"/>
          </w:tcPr>
          <w:tbl>
            <w:tblPr>
              <w:tblW w:w="0" w:type="auto"/>
              <w:tblLayout w:type="fixed"/>
              <w:tblCellMar>
                <w:left w:w="70" w:type="dxa"/>
                <w:right w:w="70" w:type="dxa"/>
              </w:tblCellMar>
              <w:tblLook w:val="04A0" w:firstRow="1" w:lastRow="0" w:firstColumn="1" w:lastColumn="0" w:noHBand="0" w:noVBand="1"/>
            </w:tblPr>
            <w:tblGrid>
              <w:gridCol w:w="8332"/>
            </w:tblGrid>
            <w:tr w:rsidR="001C51DC" w:rsidRPr="009B6B0E" w:rsidTr="008F2CAB">
              <w:trPr>
                <w:trHeight w:val="624"/>
              </w:trPr>
              <w:tc>
                <w:tcPr>
                  <w:tcW w:w="8332" w:type="dxa"/>
                  <w:tcBorders>
                    <w:top w:val="nil"/>
                    <w:left w:val="nil"/>
                    <w:bottom w:val="nil"/>
                    <w:right w:val="nil"/>
                  </w:tcBorders>
                  <w:shd w:val="clear" w:color="auto" w:fill="auto"/>
                  <w:vAlign w:val="bottom"/>
                  <w:hideMark/>
                </w:tcPr>
                <w:p w:rsidR="001C51DC" w:rsidRPr="009B6B0E" w:rsidRDefault="000F47EB" w:rsidP="009C0CC3">
                  <w:pPr>
                    <w:pStyle w:val="KeinLeerraum"/>
                  </w:pPr>
                  <w:r w:rsidRPr="009B6B0E">
                    <w:t>R</w:t>
                  </w:r>
                  <w:r w:rsidR="001C51DC" w:rsidRPr="009B6B0E">
                    <w:t>elevanz, Vor- und Nachteile von FDM für die Forschung</w:t>
                  </w:r>
                  <w:r w:rsidR="001C51DC" w:rsidRPr="009B6B0E">
                    <w:rPr>
                      <w:i/>
                      <w:iCs/>
                    </w:rPr>
                    <w:t xml:space="preserve"> beschreiben </w:t>
                  </w:r>
                  <w:r w:rsidR="001C51DC" w:rsidRPr="009B6B0E">
                    <w:t>[1]</w:t>
                  </w:r>
                </w:p>
              </w:tc>
            </w:tr>
            <w:tr w:rsidR="001C51DC" w:rsidRPr="009B6B0E" w:rsidTr="008F2CAB">
              <w:trPr>
                <w:trHeight w:val="624"/>
              </w:trPr>
              <w:tc>
                <w:tcPr>
                  <w:tcW w:w="8332" w:type="dxa"/>
                  <w:tcBorders>
                    <w:top w:val="nil"/>
                    <w:left w:val="nil"/>
                    <w:bottom w:val="nil"/>
                    <w:right w:val="nil"/>
                  </w:tcBorders>
                  <w:shd w:val="clear" w:color="auto" w:fill="auto"/>
                  <w:vAlign w:val="bottom"/>
                  <w:hideMark/>
                </w:tcPr>
                <w:p w:rsidR="009C0CC3" w:rsidRPr="009B6B0E" w:rsidRDefault="001C51DC" w:rsidP="009C0CC3">
                  <w:pPr>
                    <w:pStyle w:val="KeinLeerraum"/>
                  </w:pPr>
                  <w:r w:rsidRPr="009B6B0E">
                    <w:t>Definition von Forschungsdaten wiedergeben und verschiedene Formen</w:t>
                  </w:r>
                </w:p>
                <w:p w:rsidR="001C51DC" w:rsidRPr="009B6B0E" w:rsidRDefault="001C51DC" w:rsidP="009C0CC3">
                  <w:pPr>
                    <w:pStyle w:val="KeinLeerraum"/>
                  </w:pPr>
                  <w:r w:rsidRPr="009B6B0E">
                    <w:t>von Forschungsdaten benennen [1]</w:t>
                  </w:r>
                </w:p>
              </w:tc>
            </w:tr>
            <w:tr w:rsidR="001C51DC" w:rsidRPr="009B6B0E" w:rsidTr="008F2CAB">
              <w:trPr>
                <w:trHeight w:val="312"/>
              </w:trPr>
              <w:tc>
                <w:tcPr>
                  <w:tcW w:w="8332"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FDM-Zyklus beschreiben und dessen Stationen benennen [1]</w:t>
                  </w:r>
                </w:p>
              </w:tc>
            </w:tr>
            <w:tr w:rsidR="001C51DC" w:rsidRPr="009B6B0E" w:rsidTr="008F2CAB">
              <w:trPr>
                <w:trHeight w:val="312"/>
              </w:trPr>
              <w:tc>
                <w:tcPr>
                  <w:tcW w:w="8332"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Maßnahmen für gutes FDM in verschiedenen Stationen des FDL-Zyklus identifizieren[2]</w:t>
                  </w:r>
                </w:p>
              </w:tc>
            </w:tr>
            <w:tr w:rsidR="001C51DC" w:rsidRPr="009B6B0E" w:rsidTr="008F2CAB">
              <w:trPr>
                <w:trHeight w:val="312"/>
              </w:trPr>
              <w:tc>
                <w:tcPr>
                  <w:tcW w:w="8332"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 xml:space="preserve">Relevanz und Vor- und Nachteile von FDM </w:t>
                  </w:r>
                  <w:r w:rsidRPr="009B6B0E">
                    <w:rPr>
                      <w:i/>
                      <w:iCs/>
                    </w:rPr>
                    <w:t>erläutern</w:t>
                  </w:r>
                  <w:r w:rsidRPr="009B6B0E">
                    <w:t xml:space="preserve"> [2]</w:t>
                  </w:r>
                </w:p>
              </w:tc>
            </w:tr>
          </w:tbl>
          <w:p w:rsidR="001C51DC" w:rsidRPr="009B6B0E" w:rsidRDefault="001C51DC" w:rsidP="001C51DC">
            <w:pPr>
              <w:spacing w:after="160" w:line="288" w:lineRule="auto"/>
              <w:rPr>
                <w:rFonts w:eastAsia="Calibri" w:cstheme="minorHAnsi"/>
              </w:rPr>
            </w:pPr>
          </w:p>
        </w:tc>
      </w:tr>
      <w:tr w:rsidR="001C51DC" w:rsidRPr="009C0CC3" w:rsidTr="000F47EB">
        <w:tc>
          <w:tcPr>
            <w:tcW w:w="2830" w:type="dxa"/>
          </w:tcPr>
          <w:p w:rsidR="001C51DC" w:rsidRPr="009B6B0E" w:rsidRDefault="001C51DC" w:rsidP="001C51DC">
            <w:pPr>
              <w:spacing w:after="160" w:line="288" w:lineRule="auto"/>
              <w:rPr>
                <w:rFonts w:eastAsia="Calibri" w:cstheme="minorHAnsi"/>
                <w:b/>
              </w:rPr>
            </w:pPr>
            <w:r w:rsidRPr="009B6B0E">
              <w:rPr>
                <w:rFonts w:eastAsia="Calibri" w:cstheme="minorHAnsi"/>
                <w:b/>
              </w:rPr>
              <w:t>Datenmanagementpläne</w:t>
            </w:r>
          </w:p>
        </w:tc>
        <w:tc>
          <w:tcPr>
            <w:tcW w:w="7230" w:type="dxa"/>
            <w:shd w:val="clear" w:color="auto" w:fill="auto"/>
          </w:tcPr>
          <w:tbl>
            <w:tblPr>
              <w:tblW w:w="9260" w:type="dxa"/>
              <w:tblLayout w:type="fixed"/>
              <w:tblCellMar>
                <w:left w:w="70" w:type="dxa"/>
                <w:right w:w="70" w:type="dxa"/>
              </w:tblCellMar>
              <w:tblLook w:val="04A0" w:firstRow="1" w:lastRow="0" w:firstColumn="1" w:lastColumn="0" w:noHBand="0" w:noVBand="1"/>
            </w:tblPr>
            <w:tblGrid>
              <w:gridCol w:w="9260"/>
            </w:tblGrid>
            <w:tr w:rsidR="001C51DC" w:rsidRPr="009B6B0E" w:rsidTr="00C76F6C">
              <w:trPr>
                <w:trHeight w:val="300"/>
              </w:trPr>
              <w:tc>
                <w:tcPr>
                  <w:tcW w:w="9260"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Beschreiben, was ein Datenmanagementplan ist [1]</w:t>
                  </w:r>
                </w:p>
              </w:tc>
            </w:tr>
            <w:tr w:rsidR="001C51DC" w:rsidRPr="009B6B0E" w:rsidTr="00C76F6C">
              <w:trPr>
                <w:trHeight w:val="300"/>
              </w:trPr>
              <w:tc>
                <w:tcPr>
                  <w:tcW w:w="9260"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Komponenten eines DMP aufzählen [1]</w:t>
                  </w:r>
                </w:p>
              </w:tc>
            </w:tr>
            <w:tr w:rsidR="001C51DC" w:rsidRPr="009B6B0E" w:rsidTr="00C76F6C">
              <w:trPr>
                <w:trHeight w:val="300"/>
              </w:trPr>
              <w:tc>
                <w:tcPr>
                  <w:tcW w:w="9260"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Relevanz eines DMP als Planungsinstrument beschreiben [1]</w:t>
                  </w:r>
                </w:p>
              </w:tc>
            </w:tr>
            <w:tr w:rsidR="001C51DC" w:rsidRPr="009B6B0E" w:rsidTr="00C76F6C">
              <w:trPr>
                <w:trHeight w:val="300"/>
              </w:trPr>
              <w:tc>
                <w:tcPr>
                  <w:tcW w:w="9260"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Unter Anleitung einfache DMPs für eigene Projekt erstellen  [2]</w:t>
                  </w:r>
                </w:p>
              </w:tc>
            </w:tr>
          </w:tbl>
          <w:p w:rsidR="001C51DC" w:rsidRPr="009B6B0E" w:rsidRDefault="001C51DC" w:rsidP="001C51DC">
            <w:pPr>
              <w:spacing w:after="160" w:line="288" w:lineRule="auto"/>
              <w:rPr>
                <w:rFonts w:eastAsia="Calibri" w:cstheme="minorHAnsi"/>
              </w:rPr>
            </w:pPr>
          </w:p>
        </w:tc>
      </w:tr>
      <w:tr w:rsidR="001C51DC" w:rsidRPr="009C0CC3" w:rsidTr="000F47EB">
        <w:tc>
          <w:tcPr>
            <w:tcW w:w="2830" w:type="dxa"/>
          </w:tcPr>
          <w:p w:rsidR="001C51DC" w:rsidRPr="009B6B0E" w:rsidRDefault="001C51DC" w:rsidP="001C51DC">
            <w:pPr>
              <w:spacing w:after="160" w:line="288" w:lineRule="auto"/>
              <w:rPr>
                <w:rFonts w:eastAsia="Calibri" w:cstheme="minorHAnsi"/>
                <w:b/>
              </w:rPr>
            </w:pPr>
            <w:proofErr w:type="spellStart"/>
            <w:r w:rsidRPr="009B6B0E">
              <w:rPr>
                <w:rFonts w:eastAsia="Calibri" w:cstheme="minorHAnsi"/>
                <w:b/>
              </w:rPr>
              <w:t>Forschungsdatenpolicies</w:t>
            </w:r>
            <w:proofErr w:type="spellEnd"/>
          </w:p>
        </w:tc>
        <w:tc>
          <w:tcPr>
            <w:tcW w:w="7230" w:type="dxa"/>
            <w:shd w:val="clear" w:color="auto" w:fill="auto"/>
          </w:tcPr>
          <w:tbl>
            <w:tblPr>
              <w:tblW w:w="0" w:type="auto"/>
              <w:tblLayout w:type="fixed"/>
              <w:tblCellMar>
                <w:left w:w="70" w:type="dxa"/>
                <w:right w:w="70" w:type="dxa"/>
              </w:tblCellMar>
              <w:tblLook w:val="04A0" w:firstRow="1" w:lastRow="0" w:firstColumn="1" w:lastColumn="0" w:noHBand="0" w:noVBand="1"/>
            </w:tblPr>
            <w:tblGrid>
              <w:gridCol w:w="7956"/>
            </w:tblGrid>
            <w:tr w:rsidR="001C51DC" w:rsidRPr="009B6B0E" w:rsidTr="008F2CAB">
              <w:trPr>
                <w:trHeight w:val="309"/>
              </w:trPr>
              <w:tc>
                <w:tcPr>
                  <w:tcW w:w="7956" w:type="dxa"/>
                  <w:tcBorders>
                    <w:top w:val="nil"/>
                    <w:left w:val="nil"/>
                    <w:bottom w:val="nil"/>
                    <w:right w:val="nil"/>
                  </w:tcBorders>
                  <w:shd w:val="clear" w:color="auto" w:fill="auto"/>
                  <w:noWrap/>
                  <w:vAlign w:val="bottom"/>
                  <w:hideMark/>
                </w:tcPr>
                <w:p w:rsidR="001C51DC" w:rsidRPr="009B6B0E" w:rsidRDefault="001C51DC" w:rsidP="009C0CC3">
                  <w:pPr>
                    <w:pStyle w:val="KeinLeerraum"/>
                  </w:pPr>
                  <w:r w:rsidRPr="009B6B0E">
                    <w:t>Beschreiben, was eine Forschungsdaten-</w:t>
                  </w:r>
                  <w:proofErr w:type="spellStart"/>
                  <w:r w:rsidRPr="009B6B0E">
                    <w:t>Policy</w:t>
                  </w:r>
                  <w:proofErr w:type="spellEnd"/>
                  <w:r w:rsidRPr="009B6B0E">
                    <w:t xml:space="preserve"> ist [1]</w:t>
                  </w:r>
                </w:p>
              </w:tc>
            </w:tr>
            <w:tr w:rsidR="001C51DC" w:rsidRPr="009B6B0E" w:rsidTr="008F2CAB">
              <w:trPr>
                <w:trHeight w:val="309"/>
              </w:trPr>
              <w:tc>
                <w:tcPr>
                  <w:tcW w:w="7956" w:type="dxa"/>
                  <w:tcBorders>
                    <w:top w:val="nil"/>
                    <w:left w:val="nil"/>
                    <w:bottom w:val="nil"/>
                    <w:right w:val="nil"/>
                  </w:tcBorders>
                  <w:shd w:val="clear" w:color="auto" w:fill="auto"/>
                  <w:noWrap/>
                  <w:vAlign w:val="bottom"/>
                  <w:hideMark/>
                </w:tcPr>
                <w:p w:rsidR="001C51DC" w:rsidRPr="009B6B0E" w:rsidRDefault="001C51DC" w:rsidP="009C0CC3">
                  <w:pPr>
                    <w:pStyle w:val="KeinLeerraum"/>
                  </w:pPr>
                  <w:r w:rsidRPr="009B6B0E">
                    <w:t>Die Funktion einer Forschungsdaten-</w:t>
                  </w:r>
                  <w:proofErr w:type="spellStart"/>
                  <w:r w:rsidRPr="009B6B0E">
                    <w:t>Policy</w:t>
                  </w:r>
                  <w:proofErr w:type="spellEnd"/>
                  <w:r w:rsidRPr="009B6B0E">
                    <w:t xml:space="preserve"> beschreiben [1]</w:t>
                  </w:r>
                </w:p>
              </w:tc>
            </w:tr>
            <w:tr w:rsidR="001C51DC" w:rsidRPr="009B6B0E" w:rsidTr="008F2CAB">
              <w:trPr>
                <w:trHeight w:val="309"/>
              </w:trPr>
              <w:tc>
                <w:tcPr>
                  <w:tcW w:w="7956" w:type="dxa"/>
                  <w:tcBorders>
                    <w:top w:val="nil"/>
                    <w:left w:val="nil"/>
                    <w:bottom w:val="nil"/>
                    <w:right w:val="nil"/>
                  </w:tcBorders>
                  <w:shd w:val="clear" w:color="auto" w:fill="auto"/>
                  <w:vAlign w:val="bottom"/>
                  <w:hideMark/>
                </w:tcPr>
                <w:p w:rsidR="000F47EB" w:rsidRPr="009B6B0E" w:rsidRDefault="001C51DC" w:rsidP="009C0CC3">
                  <w:pPr>
                    <w:pStyle w:val="KeinLeerraum"/>
                  </w:pPr>
                  <w:r w:rsidRPr="009B6B0E">
                    <w:t xml:space="preserve">Unterschied zwischen disziplinären und institutionellen </w:t>
                  </w:r>
                </w:p>
                <w:p w:rsidR="001C51DC" w:rsidRPr="009B6B0E" w:rsidRDefault="001C51DC" w:rsidP="009C0CC3">
                  <w:pPr>
                    <w:pStyle w:val="KeinLeerraum"/>
                  </w:pPr>
                  <w:r w:rsidRPr="009B6B0E">
                    <w:t>Forschungsdaten-</w:t>
                  </w:r>
                  <w:proofErr w:type="spellStart"/>
                  <w:r w:rsidRPr="009B6B0E">
                    <w:t>Policies</w:t>
                  </w:r>
                  <w:proofErr w:type="spellEnd"/>
                  <w:r w:rsidRPr="009B6B0E">
                    <w:t xml:space="preserve"> erläutern [2]</w:t>
                  </w:r>
                </w:p>
              </w:tc>
            </w:tr>
            <w:tr w:rsidR="001C51DC" w:rsidRPr="009B6B0E" w:rsidTr="008F2CAB">
              <w:trPr>
                <w:trHeight w:val="80"/>
              </w:trPr>
              <w:tc>
                <w:tcPr>
                  <w:tcW w:w="7956" w:type="dxa"/>
                  <w:tcBorders>
                    <w:top w:val="nil"/>
                    <w:left w:val="nil"/>
                    <w:bottom w:val="nil"/>
                    <w:right w:val="nil"/>
                  </w:tcBorders>
                  <w:shd w:val="clear" w:color="auto" w:fill="auto"/>
                  <w:vAlign w:val="bottom"/>
                  <w:hideMark/>
                </w:tcPr>
                <w:p w:rsidR="001C51DC" w:rsidRPr="009B6B0E" w:rsidRDefault="001C51DC" w:rsidP="001C51DC">
                  <w:pPr>
                    <w:spacing w:line="288" w:lineRule="auto"/>
                    <w:rPr>
                      <w:rFonts w:eastAsia="Calibri" w:cstheme="minorHAnsi"/>
                    </w:rPr>
                  </w:pPr>
                </w:p>
              </w:tc>
            </w:tr>
          </w:tbl>
          <w:p w:rsidR="001C51DC" w:rsidRPr="009B6B0E" w:rsidRDefault="001C51DC" w:rsidP="001C51DC">
            <w:pPr>
              <w:spacing w:after="160" w:line="288" w:lineRule="auto"/>
              <w:rPr>
                <w:rFonts w:eastAsia="Calibri" w:cstheme="minorHAnsi"/>
              </w:rPr>
            </w:pPr>
          </w:p>
        </w:tc>
      </w:tr>
      <w:tr w:rsidR="001C51DC" w:rsidRPr="009C0CC3" w:rsidTr="000F47EB">
        <w:tc>
          <w:tcPr>
            <w:tcW w:w="2830" w:type="dxa"/>
          </w:tcPr>
          <w:p w:rsidR="001C51DC" w:rsidRPr="009B6B0E" w:rsidRDefault="001C51DC" w:rsidP="001C51DC">
            <w:pPr>
              <w:spacing w:after="160" w:line="288" w:lineRule="auto"/>
              <w:rPr>
                <w:rFonts w:eastAsia="Calibri" w:cstheme="minorHAnsi"/>
                <w:b/>
              </w:rPr>
            </w:pPr>
            <w:r w:rsidRPr="009B6B0E">
              <w:rPr>
                <w:rFonts w:eastAsia="Calibri" w:cstheme="minorHAnsi"/>
                <w:b/>
              </w:rPr>
              <w:t>FAIR Prinzipien</w:t>
            </w:r>
          </w:p>
        </w:tc>
        <w:tc>
          <w:tcPr>
            <w:tcW w:w="7230" w:type="dxa"/>
            <w:shd w:val="clear" w:color="auto" w:fill="auto"/>
          </w:tcPr>
          <w:tbl>
            <w:tblPr>
              <w:tblW w:w="0" w:type="auto"/>
              <w:tblLayout w:type="fixed"/>
              <w:tblCellMar>
                <w:left w:w="70" w:type="dxa"/>
                <w:right w:w="70" w:type="dxa"/>
              </w:tblCellMar>
              <w:tblLook w:val="04A0" w:firstRow="1" w:lastRow="0" w:firstColumn="1" w:lastColumn="0" w:noHBand="0" w:noVBand="1"/>
            </w:tblPr>
            <w:tblGrid>
              <w:gridCol w:w="8422"/>
            </w:tblGrid>
            <w:tr w:rsidR="001C51DC" w:rsidRPr="009B6B0E" w:rsidTr="008F2CAB">
              <w:trPr>
                <w:trHeight w:val="297"/>
              </w:trPr>
              <w:tc>
                <w:tcPr>
                  <w:tcW w:w="8422"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FAIR-Prinzipien benennen [1]</w:t>
                  </w:r>
                </w:p>
              </w:tc>
            </w:tr>
            <w:tr w:rsidR="001C51DC" w:rsidRPr="009B6B0E" w:rsidTr="008F2CAB">
              <w:trPr>
                <w:trHeight w:val="297"/>
              </w:trPr>
              <w:tc>
                <w:tcPr>
                  <w:tcW w:w="8422"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Einzelne Aspekte von FAIR beschreiben [1]</w:t>
                  </w:r>
                </w:p>
              </w:tc>
            </w:tr>
            <w:tr w:rsidR="001C51DC" w:rsidRPr="009B6B0E" w:rsidTr="008F2CAB">
              <w:trPr>
                <w:trHeight w:val="297"/>
              </w:trPr>
              <w:tc>
                <w:tcPr>
                  <w:tcW w:w="8422" w:type="dxa"/>
                  <w:tcBorders>
                    <w:top w:val="nil"/>
                    <w:left w:val="nil"/>
                    <w:bottom w:val="nil"/>
                    <w:right w:val="nil"/>
                  </w:tcBorders>
                  <w:shd w:val="clear" w:color="auto" w:fill="auto"/>
                  <w:vAlign w:val="bottom"/>
                  <w:hideMark/>
                </w:tcPr>
                <w:p w:rsidR="001C51DC" w:rsidRPr="009B6B0E" w:rsidRDefault="001C51DC" w:rsidP="009C0CC3">
                  <w:pPr>
                    <w:pStyle w:val="KeinLeerraum"/>
                  </w:pPr>
                  <w:r w:rsidRPr="009B6B0E">
                    <w:t xml:space="preserve">Vor- und Nachteile von </w:t>
                  </w:r>
                  <w:proofErr w:type="spellStart"/>
                  <w:r w:rsidRPr="009B6B0E">
                    <w:t>FAIRen</w:t>
                  </w:r>
                  <w:proofErr w:type="spellEnd"/>
                  <w:r w:rsidRPr="009B6B0E">
                    <w:t xml:space="preserve"> Daten wiedergeben [2]</w:t>
                  </w:r>
                </w:p>
              </w:tc>
            </w:tr>
            <w:tr w:rsidR="001C51DC" w:rsidRPr="009B6B0E" w:rsidTr="008F2CAB">
              <w:trPr>
                <w:trHeight w:val="297"/>
              </w:trPr>
              <w:tc>
                <w:tcPr>
                  <w:tcW w:w="8422" w:type="dxa"/>
                  <w:tcBorders>
                    <w:top w:val="nil"/>
                    <w:left w:val="nil"/>
                    <w:bottom w:val="nil"/>
                    <w:right w:val="nil"/>
                  </w:tcBorders>
                  <w:shd w:val="clear" w:color="auto" w:fill="auto"/>
                  <w:vAlign w:val="bottom"/>
                  <w:hideMark/>
                </w:tcPr>
                <w:p w:rsidR="001C51DC" w:rsidRPr="009B6B0E" w:rsidRDefault="001C51DC" w:rsidP="009C0CC3">
                  <w:pPr>
                    <w:pStyle w:val="KeinLeerraum"/>
                  </w:pPr>
                  <w:proofErr w:type="spellStart"/>
                  <w:r w:rsidRPr="009B6B0E">
                    <w:t>FAIRness</w:t>
                  </w:r>
                  <w:proofErr w:type="spellEnd"/>
                  <w:r w:rsidRPr="009B6B0E">
                    <w:t xml:space="preserve"> von Daten einschätzen [2]</w:t>
                  </w:r>
                </w:p>
              </w:tc>
            </w:tr>
            <w:tr w:rsidR="001C51DC" w:rsidRPr="009B6B0E" w:rsidTr="008F2CAB">
              <w:trPr>
                <w:trHeight w:val="595"/>
              </w:trPr>
              <w:tc>
                <w:tcPr>
                  <w:tcW w:w="8422" w:type="dxa"/>
                  <w:tcBorders>
                    <w:top w:val="nil"/>
                    <w:left w:val="nil"/>
                    <w:bottom w:val="nil"/>
                    <w:right w:val="nil"/>
                  </w:tcBorders>
                  <w:shd w:val="clear" w:color="auto" w:fill="auto"/>
                  <w:vAlign w:val="bottom"/>
                  <w:hideMark/>
                </w:tcPr>
                <w:p w:rsidR="000F47EB" w:rsidRPr="009B6B0E" w:rsidRDefault="001C51DC" w:rsidP="009C0CC3">
                  <w:pPr>
                    <w:pStyle w:val="KeinLeerraum"/>
                  </w:pPr>
                  <w:r w:rsidRPr="009B6B0E">
                    <w:t xml:space="preserve">FAIR-Prinzipien unter Anleitung in eigene Forschungsarbeiten </w:t>
                  </w:r>
                </w:p>
                <w:p w:rsidR="001C51DC" w:rsidRPr="009B6B0E" w:rsidRDefault="001C51DC" w:rsidP="009C0CC3">
                  <w:pPr>
                    <w:pStyle w:val="KeinLeerraum"/>
                  </w:pPr>
                  <w:r w:rsidRPr="009B6B0E">
                    <w:t>anwendungsbezogen integrieren [2]</w:t>
                  </w:r>
                </w:p>
              </w:tc>
            </w:tr>
          </w:tbl>
          <w:p w:rsidR="001C51DC" w:rsidRPr="009B6B0E" w:rsidRDefault="001C51DC" w:rsidP="001C51DC">
            <w:pPr>
              <w:spacing w:after="160" w:line="288" w:lineRule="auto"/>
              <w:rPr>
                <w:rFonts w:eastAsia="Calibri" w:cstheme="minorHAnsi"/>
              </w:rPr>
            </w:pPr>
          </w:p>
        </w:tc>
      </w:tr>
      <w:tr w:rsidR="001C51DC" w:rsidRPr="009C0CC3" w:rsidTr="000F47EB">
        <w:tc>
          <w:tcPr>
            <w:tcW w:w="2830" w:type="dxa"/>
          </w:tcPr>
          <w:p w:rsidR="001C51DC" w:rsidRPr="009B6B0E" w:rsidRDefault="001C51DC" w:rsidP="001C51DC">
            <w:pPr>
              <w:spacing w:after="160" w:line="288" w:lineRule="auto"/>
              <w:rPr>
                <w:rFonts w:eastAsia="Calibri" w:cstheme="minorHAnsi"/>
                <w:b/>
              </w:rPr>
            </w:pPr>
            <w:r w:rsidRPr="009B6B0E">
              <w:rPr>
                <w:rFonts w:eastAsia="Calibri" w:cstheme="minorHAnsi"/>
                <w:b/>
              </w:rPr>
              <w:t xml:space="preserve">Open X (Open Data, Open Source, Open Science </w:t>
            </w:r>
            <w:proofErr w:type="spellStart"/>
            <w:r w:rsidRPr="009B6B0E">
              <w:rPr>
                <w:rFonts w:eastAsia="Calibri" w:cstheme="minorHAnsi"/>
                <w:b/>
              </w:rPr>
              <w:t>etc</w:t>
            </w:r>
            <w:proofErr w:type="spellEnd"/>
            <w:r w:rsidRPr="009B6B0E">
              <w:rPr>
                <w:rFonts w:eastAsia="Calibri" w:cstheme="minorHAnsi"/>
                <w:b/>
              </w:rPr>
              <w:t>)</w:t>
            </w:r>
          </w:p>
        </w:tc>
        <w:tc>
          <w:tcPr>
            <w:tcW w:w="7230" w:type="dxa"/>
          </w:tcPr>
          <w:p w:rsidR="001C51DC" w:rsidRPr="009B6B0E" w:rsidRDefault="000F47EB" w:rsidP="009C0CC3">
            <w:pPr>
              <w:pStyle w:val="KeinLeerraum"/>
            </w:pPr>
            <w:r w:rsidRPr="009B6B0E">
              <w:t>D</w:t>
            </w:r>
            <w:r w:rsidR="001C51DC" w:rsidRPr="009B6B0E">
              <w:t>as Konzept "Open Science" definieren [1]</w:t>
            </w:r>
          </w:p>
          <w:p w:rsidR="001C51DC" w:rsidRPr="009B6B0E" w:rsidRDefault="001C51DC" w:rsidP="009C0CC3">
            <w:pPr>
              <w:pStyle w:val="KeinLeerraum"/>
            </w:pPr>
            <w:r w:rsidRPr="009B6B0E">
              <w:t>Begriffe Open Access, Open Data, Open Source als Bereiche bzw. Praktiken der Open Science im Hinblick auf ihre Reproduzierbarkeit definieren [1]</w:t>
            </w:r>
          </w:p>
          <w:p w:rsidR="001C51DC" w:rsidRPr="009B6B0E" w:rsidRDefault="001C51DC" w:rsidP="009C0CC3">
            <w:pPr>
              <w:pStyle w:val="KeinLeerraum"/>
            </w:pPr>
            <w:r w:rsidRPr="009B6B0E">
              <w:t>Vor- und Nachteile von Open Science und zugehöriger Praktiken benennen [1]</w:t>
            </w:r>
          </w:p>
          <w:p w:rsidR="001C51DC" w:rsidRPr="009B6B0E" w:rsidRDefault="000F47EB" w:rsidP="009C0CC3">
            <w:pPr>
              <w:pStyle w:val="KeinLeerraum"/>
            </w:pPr>
            <w:r w:rsidRPr="009B6B0E">
              <w:t>Z</w:t>
            </w:r>
            <w:r w:rsidR="001C51DC" w:rsidRPr="009B6B0E">
              <w:t>wischen den Konzepten "FAIR" und "Open" unterscheiden [2]</w:t>
            </w:r>
          </w:p>
          <w:p w:rsidR="001C51DC" w:rsidRPr="009B6B0E" w:rsidRDefault="001C51DC" w:rsidP="009C0CC3">
            <w:pPr>
              <w:pStyle w:val="KeinLeerraum"/>
            </w:pPr>
            <w:r w:rsidRPr="009B6B0E">
              <w:t>unter Anleitung beurteilen, ob eine Veröffentlichung frei zugänglich ist [2]</w:t>
            </w:r>
          </w:p>
          <w:p w:rsidR="001C51DC" w:rsidRPr="009B6B0E" w:rsidRDefault="000F47EB" w:rsidP="009C0CC3">
            <w:pPr>
              <w:pStyle w:val="KeinLeerraum"/>
            </w:pPr>
            <w:r w:rsidRPr="009B6B0E">
              <w:t>E</w:t>
            </w:r>
            <w:r w:rsidR="001C51DC" w:rsidRPr="009B6B0E">
              <w:t>inschätzen, was erforderlich ist, um Forschungsdaten offen zugänglich zu machen [2]</w:t>
            </w:r>
          </w:p>
          <w:p w:rsidR="001C51DC" w:rsidRPr="009B6B0E" w:rsidRDefault="000F47EB" w:rsidP="009C0CC3">
            <w:pPr>
              <w:pStyle w:val="KeinLeerraum"/>
            </w:pPr>
            <w:r w:rsidRPr="009B6B0E">
              <w:t>U</w:t>
            </w:r>
            <w:r w:rsidR="001C51DC" w:rsidRPr="009B6B0E">
              <w:t>nter Anleitung Plattformen für offene Daten finden [2]</w:t>
            </w:r>
          </w:p>
        </w:tc>
      </w:tr>
    </w:tbl>
    <w:p w:rsidR="00D65AF9" w:rsidRDefault="00D65AF9" w:rsidP="00B22E05">
      <w:pPr>
        <w:spacing w:line="288" w:lineRule="auto"/>
        <w:rPr>
          <w:rFonts w:eastAsia="Calibri" w:cstheme="minorHAnsi"/>
          <w:color w:val="595959"/>
          <w:sz w:val="20"/>
        </w:rPr>
      </w:pPr>
      <w:r>
        <w:rPr>
          <w:rFonts w:eastAsia="Calibri" w:cstheme="minorHAnsi"/>
          <w:color w:val="595959"/>
          <w:sz w:val="20"/>
        </w:rPr>
        <w:t xml:space="preserve">[1] Kompetenzstufe 1/ [2] Kompetenzstufe 2 nach </w:t>
      </w:r>
      <w:hyperlink r:id="rId6" w:history="1">
        <w:r>
          <w:rPr>
            <w:rStyle w:val="Hyperlink"/>
            <w:rFonts w:eastAsia="Calibri" w:cstheme="minorHAnsi"/>
            <w:sz w:val="20"/>
          </w:rPr>
          <w:t>Lernzielmatrix P</w:t>
        </w:r>
        <w:r w:rsidRPr="00D65AF9">
          <w:rPr>
            <w:rStyle w:val="Hyperlink"/>
            <w:rFonts w:eastAsia="Calibri" w:cstheme="minorHAnsi"/>
            <w:sz w:val="20"/>
          </w:rPr>
          <w:t>etersen et al</w:t>
        </w:r>
      </w:hyperlink>
    </w:p>
    <w:p w:rsidR="00D65AF9" w:rsidRPr="0020076A" w:rsidRDefault="00D65AF9" w:rsidP="00B22E05">
      <w:pPr>
        <w:spacing w:line="288" w:lineRule="auto"/>
        <w:rPr>
          <w:rFonts w:eastAsia="Calibri" w:cstheme="minorHAnsi"/>
          <w:color w:val="595959"/>
          <w:sz w:val="20"/>
        </w:rPr>
      </w:pPr>
    </w:p>
    <w:p w:rsidR="001C51DC" w:rsidRPr="0020076A" w:rsidRDefault="001C51DC" w:rsidP="00B22E05">
      <w:pPr>
        <w:spacing w:line="288" w:lineRule="auto"/>
        <w:rPr>
          <w:rFonts w:eastAsia="Calibri" w:cstheme="minorHAnsi"/>
          <w:color w:val="595959"/>
          <w:sz w:val="20"/>
        </w:rPr>
      </w:pPr>
    </w:p>
    <w:p w:rsidR="001C51DC" w:rsidRPr="0020076A" w:rsidRDefault="001C51DC" w:rsidP="00B22E05">
      <w:pPr>
        <w:spacing w:line="288" w:lineRule="auto"/>
        <w:rPr>
          <w:rFonts w:eastAsia="Calibri" w:cstheme="minorHAnsi"/>
          <w:color w:val="595959"/>
          <w:sz w:val="20"/>
        </w:rPr>
      </w:pPr>
    </w:p>
    <w:p w:rsidR="001C51DC" w:rsidRPr="0020076A" w:rsidRDefault="001C51DC" w:rsidP="00B22E05">
      <w:pPr>
        <w:spacing w:line="288" w:lineRule="auto"/>
        <w:rPr>
          <w:rFonts w:eastAsia="Calibri" w:cstheme="minorHAnsi"/>
          <w:color w:val="595959"/>
          <w:sz w:val="20"/>
        </w:rPr>
      </w:pPr>
    </w:p>
    <w:p w:rsidR="001C51DC" w:rsidRPr="0020076A" w:rsidRDefault="001C51DC" w:rsidP="00B22E05">
      <w:pPr>
        <w:spacing w:line="288" w:lineRule="auto"/>
        <w:rPr>
          <w:rFonts w:eastAsia="Calibri" w:cstheme="minorHAnsi"/>
          <w:color w:val="595959"/>
          <w:sz w:val="20"/>
        </w:rPr>
      </w:pPr>
    </w:p>
    <w:p w:rsidR="001C51DC" w:rsidRPr="0020076A" w:rsidRDefault="001C51DC" w:rsidP="00B22E05">
      <w:pPr>
        <w:spacing w:line="288" w:lineRule="auto"/>
        <w:rPr>
          <w:rFonts w:eastAsia="Calibri" w:cstheme="minorHAnsi"/>
          <w:color w:val="595959"/>
          <w:sz w:val="20"/>
        </w:rPr>
      </w:pPr>
    </w:p>
    <w:p w:rsidR="00B22E05" w:rsidRPr="0020076A" w:rsidRDefault="00B22E05" w:rsidP="00B22E05">
      <w:pPr>
        <w:spacing w:line="288" w:lineRule="auto"/>
        <w:rPr>
          <w:rFonts w:eastAsia="Calibri" w:cstheme="minorHAnsi"/>
          <w:color w:val="595959"/>
          <w:sz w:val="20"/>
        </w:rPr>
      </w:pPr>
    </w:p>
    <w:p w:rsidR="00B22E05" w:rsidRPr="0020076A" w:rsidRDefault="00B22E05" w:rsidP="00B22E05">
      <w:pPr>
        <w:rPr>
          <w:rFonts w:cstheme="minorHAnsi"/>
        </w:rPr>
      </w:pPr>
    </w:p>
    <w:sectPr w:rsidR="00B22E05" w:rsidRPr="002007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34BA0"/>
    <w:multiLevelType w:val="hybridMultilevel"/>
    <w:tmpl w:val="035C519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E8019C1"/>
    <w:multiLevelType w:val="multilevel"/>
    <w:tmpl w:val="492EB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1E8"/>
    <w:rsid w:val="000F47EB"/>
    <w:rsid w:val="00196286"/>
    <w:rsid w:val="001A1C52"/>
    <w:rsid w:val="001C51DC"/>
    <w:rsid w:val="0020076A"/>
    <w:rsid w:val="002772C3"/>
    <w:rsid w:val="0051047B"/>
    <w:rsid w:val="0051067A"/>
    <w:rsid w:val="005110AF"/>
    <w:rsid w:val="00515074"/>
    <w:rsid w:val="00525DE3"/>
    <w:rsid w:val="006564CE"/>
    <w:rsid w:val="006C6BAF"/>
    <w:rsid w:val="008F2CAB"/>
    <w:rsid w:val="009B6B0E"/>
    <w:rsid w:val="009C0CC3"/>
    <w:rsid w:val="00A62EE9"/>
    <w:rsid w:val="00B22E05"/>
    <w:rsid w:val="00C13255"/>
    <w:rsid w:val="00C17695"/>
    <w:rsid w:val="00C223B4"/>
    <w:rsid w:val="00C91B61"/>
    <w:rsid w:val="00D32C9D"/>
    <w:rsid w:val="00D43C7A"/>
    <w:rsid w:val="00D607FF"/>
    <w:rsid w:val="00D65AF9"/>
    <w:rsid w:val="00DB796A"/>
    <w:rsid w:val="00E83AEC"/>
    <w:rsid w:val="00EB11E8"/>
    <w:rsid w:val="00F709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E03AF-CB49-49FE-8191-0CC61C9A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C223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223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39"/>
    <w:rsid w:val="00B2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B2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17695"/>
    <w:rPr>
      <w:color w:val="0563C1" w:themeColor="hyperlink"/>
      <w:u w:val="single"/>
    </w:rPr>
  </w:style>
  <w:style w:type="character" w:customStyle="1" w:styleId="berschrift1Zchn">
    <w:name w:val="Überschrift 1 Zchn"/>
    <w:basedOn w:val="Absatz-Standardschriftart"/>
    <w:link w:val="berschrift1"/>
    <w:uiPriority w:val="9"/>
    <w:rsid w:val="00C223B4"/>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C223B4"/>
    <w:rPr>
      <w:rFonts w:asciiTheme="majorHAnsi" w:eastAsiaTheme="majorEastAsia" w:hAnsiTheme="majorHAnsi" w:cstheme="majorBidi"/>
      <w:color w:val="2E74B5" w:themeColor="accent1" w:themeShade="BF"/>
      <w:sz w:val="26"/>
      <w:szCs w:val="26"/>
    </w:rPr>
  </w:style>
  <w:style w:type="paragraph" w:styleId="StandardWeb">
    <w:name w:val="Normal (Web)"/>
    <w:basedOn w:val="Standard"/>
    <w:uiPriority w:val="99"/>
    <w:semiHidden/>
    <w:unhideWhenUsed/>
    <w:rsid w:val="00DB796A"/>
    <w:rPr>
      <w:rFonts w:ascii="Times New Roman" w:hAnsi="Times New Roman" w:cs="Times New Roman"/>
      <w:sz w:val="24"/>
      <w:szCs w:val="24"/>
    </w:rPr>
  </w:style>
  <w:style w:type="character" w:styleId="Hervorhebung">
    <w:name w:val="Emphasis"/>
    <w:basedOn w:val="Absatz-Standardschriftart"/>
    <w:uiPriority w:val="20"/>
    <w:qFormat/>
    <w:rsid w:val="0051047B"/>
    <w:rPr>
      <w:i/>
      <w:iCs/>
    </w:rPr>
  </w:style>
  <w:style w:type="character" w:styleId="Fett">
    <w:name w:val="Strong"/>
    <w:basedOn w:val="Absatz-Standardschriftart"/>
    <w:uiPriority w:val="22"/>
    <w:qFormat/>
    <w:rsid w:val="0051047B"/>
    <w:rPr>
      <w:b/>
      <w:bCs/>
    </w:rPr>
  </w:style>
  <w:style w:type="paragraph" w:styleId="KeinLeerraum">
    <w:name w:val="No Spacing"/>
    <w:uiPriority w:val="1"/>
    <w:qFormat/>
    <w:rsid w:val="009C0C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4572">
      <w:bodyDiv w:val="1"/>
      <w:marLeft w:val="0"/>
      <w:marRight w:val="0"/>
      <w:marTop w:val="0"/>
      <w:marBottom w:val="0"/>
      <w:divBdr>
        <w:top w:val="none" w:sz="0" w:space="0" w:color="auto"/>
        <w:left w:val="none" w:sz="0" w:space="0" w:color="auto"/>
        <w:bottom w:val="none" w:sz="0" w:space="0" w:color="auto"/>
        <w:right w:val="none" w:sz="0" w:space="0" w:color="auto"/>
      </w:divBdr>
    </w:div>
    <w:div w:id="93132601">
      <w:bodyDiv w:val="1"/>
      <w:marLeft w:val="0"/>
      <w:marRight w:val="0"/>
      <w:marTop w:val="0"/>
      <w:marBottom w:val="0"/>
      <w:divBdr>
        <w:top w:val="none" w:sz="0" w:space="0" w:color="auto"/>
        <w:left w:val="none" w:sz="0" w:space="0" w:color="auto"/>
        <w:bottom w:val="none" w:sz="0" w:space="0" w:color="auto"/>
        <w:right w:val="none" w:sz="0" w:space="0" w:color="auto"/>
      </w:divBdr>
    </w:div>
    <w:div w:id="381637244">
      <w:bodyDiv w:val="1"/>
      <w:marLeft w:val="0"/>
      <w:marRight w:val="0"/>
      <w:marTop w:val="0"/>
      <w:marBottom w:val="0"/>
      <w:divBdr>
        <w:top w:val="none" w:sz="0" w:space="0" w:color="auto"/>
        <w:left w:val="none" w:sz="0" w:space="0" w:color="auto"/>
        <w:bottom w:val="none" w:sz="0" w:space="0" w:color="auto"/>
        <w:right w:val="none" w:sz="0" w:space="0" w:color="auto"/>
      </w:divBdr>
    </w:div>
    <w:div w:id="1860925126">
      <w:bodyDiv w:val="1"/>
      <w:marLeft w:val="0"/>
      <w:marRight w:val="0"/>
      <w:marTop w:val="0"/>
      <w:marBottom w:val="0"/>
      <w:divBdr>
        <w:top w:val="none" w:sz="0" w:space="0" w:color="auto"/>
        <w:left w:val="none" w:sz="0" w:space="0" w:color="auto"/>
        <w:bottom w:val="none" w:sz="0" w:space="0" w:color="auto"/>
        <w:right w:val="none" w:sz="0" w:space="0" w:color="auto"/>
      </w:divBdr>
      <w:divsChild>
        <w:div w:id="2059350756">
          <w:marLeft w:val="0"/>
          <w:marRight w:val="0"/>
          <w:marTop w:val="0"/>
          <w:marBottom w:val="0"/>
          <w:divBdr>
            <w:top w:val="none" w:sz="0" w:space="0" w:color="auto"/>
            <w:left w:val="none" w:sz="0" w:space="0" w:color="auto"/>
            <w:bottom w:val="none" w:sz="0" w:space="0" w:color="auto"/>
            <w:right w:val="none" w:sz="0" w:space="0" w:color="auto"/>
          </w:divBdr>
          <w:divsChild>
            <w:div w:id="714356236">
              <w:marLeft w:val="0"/>
              <w:marRight w:val="0"/>
              <w:marTop w:val="0"/>
              <w:marBottom w:val="0"/>
              <w:divBdr>
                <w:top w:val="none" w:sz="0" w:space="0" w:color="auto"/>
                <w:left w:val="none" w:sz="0" w:space="0" w:color="auto"/>
                <w:bottom w:val="none" w:sz="0" w:space="0" w:color="auto"/>
                <w:right w:val="none" w:sz="0" w:space="0" w:color="auto"/>
              </w:divBdr>
              <w:divsChild>
                <w:div w:id="1053385012">
                  <w:marLeft w:val="0"/>
                  <w:marRight w:val="0"/>
                  <w:marTop w:val="0"/>
                  <w:marBottom w:val="0"/>
                  <w:divBdr>
                    <w:top w:val="none" w:sz="0" w:space="0" w:color="auto"/>
                    <w:left w:val="none" w:sz="0" w:space="0" w:color="auto"/>
                    <w:bottom w:val="none" w:sz="0" w:space="0" w:color="auto"/>
                    <w:right w:val="none" w:sz="0" w:space="0" w:color="auto"/>
                  </w:divBdr>
                  <w:divsChild>
                    <w:div w:id="263928534">
                      <w:marLeft w:val="0"/>
                      <w:marRight w:val="0"/>
                      <w:marTop w:val="0"/>
                      <w:marBottom w:val="0"/>
                      <w:divBdr>
                        <w:top w:val="none" w:sz="0" w:space="0" w:color="auto"/>
                        <w:left w:val="none" w:sz="0" w:space="0" w:color="auto"/>
                        <w:bottom w:val="none" w:sz="0" w:space="0" w:color="auto"/>
                        <w:right w:val="none" w:sz="0" w:space="0" w:color="auto"/>
                      </w:divBdr>
                      <w:divsChild>
                        <w:div w:id="398594473">
                          <w:marLeft w:val="0"/>
                          <w:marRight w:val="0"/>
                          <w:marTop w:val="0"/>
                          <w:marBottom w:val="0"/>
                          <w:divBdr>
                            <w:top w:val="none" w:sz="0" w:space="0" w:color="auto"/>
                            <w:left w:val="none" w:sz="0" w:space="0" w:color="auto"/>
                            <w:bottom w:val="none" w:sz="0" w:space="0" w:color="auto"/>
                            <w:right w:val="none" w:sz="0" w:space="0" w:color="auto"/>
                          </w:divBdr>
                          <w:divsChild>
                            <w:div w:id="316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schungsdaten.org/index.php/Lernzielmatrix" TargetMode="External"/><Relationship Id="rId5" Type="http://schemas.openxmlformats.org/officeDocument/2006/relationships/hyperlink" Target="https://www.dim.ru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1530</Words>
  <Characters>9641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ZB MED</Company>
  <LinksUpToDate>false</LinksUpToDate>
  <CharactersWithSpaces>11149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Grummich, Kathrin</dc:creator>
  <cp:keywords/>
  <dc:description/>
  <cp:lastModifiedBy>Grummich, Kathrin</cp:lastModifiedBy>
  <cp:revision>20</cp:revision>
  <dcterms:created xsi:type="dcterms:W3CDTF">2025-12-04T10:35:00Z</dcterms:created>
  <dcterms:modified xsi:type="dcterms:W3CDTF">2025-12-19T14:19:00Z</dcterms:modified>
</cp:coreProperties>
</file>