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Titel"/>
      </w:pPr>
      <w:r>
        <w:t>6.1 Publikation</w:t>
      </w:r>
    </w:p>
    <w:p>
      <w:pPr>
        <w:pStyle w:val="Untertitel"/>
      </w:pPr>
      <w:r>
        <w:t>Daten managen – 6 Publikationswege</w:t>
      </w:r>
    </w:p>
    <w:p>
      <w:pPr>
        <w:spacing w:before="100" w:beforeAutospacing="1" w:after="100" w:afterAutospacing="1" w:line="240" w:lineRule="auto"/>
        <w:jc w:val="both"/>
        <w:rPr>
          <w:rFonts w:eastAsia="Times New Roman" w:cs="Arial"/>
          <w:szCs w:val="24"/>
          <w:lang w:eastAsia="de-DE"/>
        </w:rPr>
      </w:pPr>
      <w:r>
        <w:rPr>
          <w:rFonts w:eastAsia="Times New Roman" w:cs="Arial"/>
          <w:szCs w:val="24"/>
          <w:lang w:eastAsia="de-DE"/>
        </w:rPr>
        <w:t xml:space="preserve">Unsere Versorgungsforscherin arbeitet jetzt schon seit Jahren in der Forschung: Sie hat unzählige Datensätze gesammelt, ausgewertet und analysiert. Ihre Ergebnisse zeigen, wie kleine organisatorische Änderungen große Auswirkungen haben können. Lange zögert sie, ihre Daten zu veröffentlichen. Zu komplex erschienen ihr die Zusammenhänge, zu sensibel manche Informationen. Doch bei einer Fachkonferenz hört sie, wie </w:t>
      </w:r>
      <w:proofErr w:type="spellStart"/>
      <w:proofErr w:type="gramStart"/>
      <w:r>
        <w:rPr>
          <w:rFonts w:eastAsia="Times New Roman" w:cs="Arial"/>
          <w:szCs w:val="24"/>
          <w:lang w:eastAsia="de-DE"/>
        </w:rPr>
        <w:t>Kolleg:innen</w:t>
      </w:r>
      <w:proofErr w:type="spellEnd"/>
      <w:proofErr w:type="gramEnd"/>
      <w:r>
        <w:rPr>
          <w:rFonts w:eastAsia="Times New Roman" w:cs="Arial"/>
          <w:szCs w:val="24"/>
          <w:lang w:eastAsia="de-DE"/>
        </w:rPr>
        <w:t xml:space="preserve"> über dieselben Probleme sprechen – ohne Zugang zu den Erkenntnissen, die sie längst gefunden hat. In diesem Moment wird ihr klar, dass ihre Daten weit wertvoller sind, als sie dachte. Wenn sie sie teilt, können andere Forschende daran anknüpfen, ihre Ergebnisse überprüfen, verbessern und gemeinsam die Versorgung weiterentwickeln. Deswegen entscheidet sie sich, ihre Daten offen zu publizieren – transparent, nachvollziehbar und frei zugänglich: Damit das Wissen, das anderen helfen kann, nicht in der Schublade bleibt.</w:t>
      </w:r>
    </w:p>
    <w:p>
      <w:pPr>
        <w:pStyle w:val="berschrift1"/>
      </w:pPr>
      <w:r>
        <w:t>Warum sollte ich meine Daten teilen?</w:t>
      </w:r>
    </w:p>
    <w:p>
      <w:r>
        <w:t>Es gibt diverse Gründe, die selbst erhobenen Daten mit der Forschungscommunity zu teilen:</w:t>
      </w:r>
    </w:p>
    <w:p>
      <w:pPr>
        <w:pStyle w:val="Listenabsatz"/>
        <w:numPr>
          <w:ilvl w:val="0"/>
          <w:numId w:val="22"/>
        </w:numPr>
      </w:pPr>
      <w:r>
        <w:t>Transparenz der Forschungsergebnisse</w:t>
      </w:r>
    </w:p>
    <w:p>
      <w:pPr>
        <w:pStyle w:val="Listenabsatz"/>
        <w:numPr>
          <w:ilvl w:val="0"/>
          <w:numId w:val="22"/>
        </w:numPr>
      </w:pPr>
      <w:r>
        <w:t>Nachnutzbarkeit der Forschungsergebnisse</w:t>
      </w:r>
    </w:p>
    <w:p>
      <w:pPr>
        <w:pStyle w:val="Listenabsatz"/>
        <w:numPr>
          <w:ilvl w:val="0"/>
          <w:numId w:val="22"/>
        </w:numPr>
      </w:pPr>
      <w:r>
        <w:t>Reputation</w:t>
      </w:r>
    </w:p>
    <w:p>
      <w:pPr>
        <w:pStyle w:val="Listenabsatz"/>
        <w:numPr>
          <w:ilvl w:val="0"/>
          <w:numId w:val="22"/>
        </w:numPr>
      </w:pPr>
      <w:r>
        <w:t>Forderung der Fördermittelgeber</w:t>
      </w:r>
    </w:p>
    <w:p>
      <w:pPr>
        <w:pStyle w:val="Listenabsatz"/>
        <w:numPr>
          <w:ilvl w:val="0"/>
          <w:numId w:val="22"/>
        </w:numPr>
      </w:pPr>
      <w:r>
        <w:t>Forderungen von Verlagen</w:t>
      </w:r>
    </w:p>
    <w:p>
      <w:pPr>
        <w:pStyle w:val="berschrift1"/>
      </w:pPr>
      <w:r>
        <w:t>Daten teilen und Publikationswege</w:t>
      </w:r>
    </w:p>
    <w:p>
      <w:pPr>
        <w:rPr>
          <w:b/>
        </w:rPr>
      </w:pPr>
      <w:r>
        <w:rPr>
          <w:b/>
        </w:rPr>
        <w:t>Individuelle Anfragen</w:t>
      </w:r>
    </w:p>
    <w:p>
      <w:pPr>
        <w:jc w:val="both"/>
      </w:pPr>
      <w:r>
        <w:t>Nach der Veröffentlichung eines Papers oder im Rahmen eines Forschungsprojektes kann es passieren, dass andere Forschende oder Institutionen die erhobenen Daten für eigene Nutzung anfragen. Mittlerweile fordern viele Journals auch eine kurze Stellungnahme („</w:t>
      </w:r>
      <w:proofErr w:type="spellStart"/>
      <w:r>
        <w:t>data</w:t>
      </w:r>
      <w:proofErr w:type="spellEnd"/>
      <w:r>
        <w:t xml:space="preserve"> </w:t>
      </w:r>
      <w:proofErr w:type="spellStart"/>
      <w:r>
        <w:t>sharing</w:t>
      </w:r>
      <w:proofErr w:type="spellEnd"/>
      <w:r>
        <w:t xml:space="preserve"> </w:t>
      </w:r>
      <w:proofErr w:type="spellStart"/>
      <w:r>
        <w:t>statement</w:t>
      </w:r>
      <w:proofErr w:type="spellEnd"/>
      <w:r>
        <w:t>“/ „</w:t>
      </w:r>
      <w:proofErr w:type="spellStart"/>
      <w:r>
        <w:t>data</w:t>
      </w:r>
      <w:proofErr w:type="spellEnd"/>
      <w:r>
        <w:t xml:space="preserve"> </w:t>
      </w:r>
      <w:proofErr w:type="spellStart"/>
      <w:r>
        <w:t>availabiltiy</w:t>
      </w:r>
      <w:proofErr w:type="spellEnd"/>
      <w:r>
        <w:t xml:space="preserve"> </w:t>
      </w:r>
      <w:proofErr w:type="spellStart"/>
      <w:r>
        <w:t>statement</w:t>
      </w:r>
      <w:proofErr w:type="spellEnd"/>
      <w:r>
        <w:t>“), wie auf die Daten zugegriffen werden kann. Ein Forschungsteam, das die Daten über individuelle Anfragen teilen möchte, könnte folgendes Statement formulieren:</w:t>
      </w:r>
      <w:r>
        <w:rPr>
          <w:rFonts w:ascii="GuardianSans-Semibold" w:cs="GuardianSans-Semibold"/>
        </w:rPr>
        <w:t xml:space="preserve"> </w:t>
      </w:r>
      <w:r>
        <w:rPr>
          <w:rFonts w:ascii="GuardianSans-Semibold" w:cs="GuardianSans-Semibold"/>
        </w:rPr>
        <w:t>“</w:t>
      </w:r>
      <w:r>
        <w:t xml:space="preserve">All </w:t>
      </w:r>
      <w:proofErr w:type="spellStart"/>
      <w:r>
        <w:t>data</w:t>
      </w:r>
      <w:proofErr w:type="spellEnd"/>
      <w:r>
        <w:t xml:space="preserve"> </w:t>
      </w:r>
      <w:proofErr w:type="spellStart"/>
      <w:r>
        <w:t>generated</w:t>
      </w:r>
      <w:proofErr w:type="spellEnd"/>
      <w:r>
        <w:t xml:space="preserve"> </w:t>
      </w:r>
      <w:proofErr w:type="spellStart"/>
      <w:r>
        <w:t>during</w:t>
      </w:r>
      <w:proofErr w:type="spellEnd"/>
      <w:r>
        <w:t xml:space="preserve"> </w:t>
      </w:r>
      <w:proofErr w:type="spellStart"/>
      <w:r>
        <w:t>this</w:t>
      </w:r>
      <w:proofErr w:type="spellEnd"/>
      <w:r>
        <w:t xml:space="preserve"> </w:t>
      </w:r>
      <w:proofErr w:type="spellStart"/>
      <w:r>
        <w:t>study</w:t>
      </w:r>
      <w:proofErr w:type="spellEnd"/>
      <w:r>
        <w:t xml:space="preserve"> (</w:t>
      </w:r>
      <w:proofErr w:type="spellStart"/>
      <w:r>
        <w:t>anonymized</w:t>
      </w:r>
      <w:proofErr w:type="spellEnd"/>
      <w:r>
        <w:t xml:space="preserve"> </w:t>
      </w:r>
      <w:proofErr w:type="spellStart"/>
      <w:r>
        <w:t>where</w:t>
      </w:r>
      <w:proofErr w:type="spellEnd"/>
      <w:r>
        <w:t xml:space="preserve"> </w:t>
      </w:r>
      <w:proofErr w:type="spellStart"/>
      <w:r>
        <w:t>necessary</w:t>
      </w:r>
      <w:proofErr w:type="spellEnd"/>
      <w:r>
        <w:t xml:space="preserve">) </w:t>
      </w:r>
      <w:proofErr w:type="spellStart"/>
      <w:r>
        <w:t>are</w:t>
      </w:r>
      <w:proofErr w:type="spellEnd"/>
      <w:r>
        <w:t xml:space="preserve"> </w:t>
      </w:r>
      <w:proofErr w:type="spellStart"/>
      <w:r>
        <w:t>available</w:t>
      </w:r>
      <w:proofErr w:type="spellEnd"/>
      <w:r>
        <w:t xml:space="preserve"> upon </w:t>
      </w:r>
      <w:proofErr w:type="spellStart"/>
      <w:r>
        <w:t>request</w:t>
      </w:r>
      <w:proofErr w:type="spellEnd"/>
      <w:r>
        <w:t xml:space="preserve"> </w:t>
      </w:r>
      <w:proofErr w:type="spellStart"/>
      <w:r>
        <w:t>to</w:t>
      </w:r>
      <w:proofErr w:type="spellEnd"/>
      <w:r>
        <w:t xml:space="preserve"> </w:t>
      </w:r>
      <w:proofErr w:type="spellStart"/>
      <w:r>
        <w:t>the</w:t>
      </w:r>
      <w:proofErr w:type="spellEnd"/>
      <w:r>
        <w:t xml:space="preserve"> </w:t>
      </w:r>
      <w:proofErr w:type="spellStart"/>
      <w:r>
        <w:t>research</w:t>
      </w:r>
      <w:proofErr w:type="spellEnd"/>
      <w:r>
        <w:t xml:space="preserve"> </w:t>
      </w:r>
      <w:proofErr w:type="spellStart"/>
      <w:r>
        <w:t>team</w:t>
      </w:r>
      <w:proofErr w:type="spellEnd"/>
      <w:r>
        <w:t xml:space="preserve">.” Interessierte können dann das Forschenden-Team (meist den </w:t>
      </w:r>
      <w:proofErr w:type="spellStart"/>
      <w:r>
        <w:t>corresponding</w:t>
      </w:r>
      <w:proofErr w:type="spellEnd"/>
      <w:r>
        <w:t xml:space="preserve"> </w:t>
      </w:r>
      <w:proofErr w:type="spellStart"/>
      <w:r>
        <w:t>author</w:t>
      </w:r>
      <w:proofErr w:type="spellEnd"/>
      <w:r>
        <w:t>) per Mail kontaktieren und erhalten die Daten dann über den persönlichen Kontakt.</w:t>
      </w:r>
    </w:p>
    <w:tbl>
      <w:tblPr>
        <w:tblStyle w:val="Tabellenraster1"/>
        <w:tblW w:w="9067"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2F2F2" w:themeFill="background1" w:themeFillShade="F2"/>
        <w:tblLayout w:type="fixed"/>
        <w:tblLook w:val="04A0" w:firstRow="1" w:lastRow="0" w:firstColumn="1" w:lastColumn="0" w:noHBand="0" w:noVBand="1"/>
      </w:tblPr>
      <w:tblGrid>
        <w:gridCol w:w="4533"/>
        <w:gridCol w:w="4534"/>
      </w:tblGrid>
      <w:tr>
        <w:trPr>
          <w:trHeight w:val="378"/>
        </w:trPr>
        <w:tc>
          <w:tcPr>
            <w:tcW w:w="4533" w:type="dxa"/>
            <w:shd w:val="clear" w:color="auto" w:fill="D9D9D9" w:themeFill="background1" w:themeFillShade="D9"/>
          </w:tcPr>
          <w:p>
            <w:pPr>
              <w:jc w:val="center"/>
              <w:rPr>
                <w:b/>
              </w:rPr>
            </w:pPr>
            <w:r>
              <w:rPr>
                <w:b/>
              </w:rPr>
              <w:t>Vorteile</w:t>
            </w:r>
          </w:p>
        </w:tc>
        <w:tc>
          <w:tcPr>
            <w:tcW w:w="4534" w:type="dxa"/>
            <w:shd w:val="clear" w:color="auto" w:fill="D9D9D9" w:themeFill="background1" w:themeFillShade="D9"/>
          </w:tcPr>
          <w:p>
            <w:pPr>
              <w:jc w:val="center"/>
              <w:rPr>
                <w:b/>
              </w:rPr>
            </w:pPr>
            <w:r>
              <w:rPr>
                <w:b/>
              </w:rPr>
              <w:t>Nachteile</w:t>
            </w:r>
          </w:p>
        </w:tc>
      </w:tr>
      <w:tr>
        <w:trPr>
          <w:trHeight w:val="215"/>
        </w:trPr>
        <w:tc>
          <w:tcPr>
            <w:tcW w:w="4533" w:type="dxa"/>
            <w:shd w:val="clear" w:color="auto" w:fill="F2F2F2" w:themeFill="background1" w:themeFillShade="F2"/>
          </w:tcPr>
          <w:p>
            <w:pPr>
              <w:pStyle w:val="Listenabsatz"/>
              <w:numPr>
                <w:ilvl w:val="0"/>
                <w:numId w:val="25"/>
              </w:numPr>
            </w:pPr>
            <w:r>
              <w:t>Wenig bis gar keine Vorarbeit notwendig</w:t>
            </w:r>
          </w:p>
          <w:p>
            <w:pPr>
              <w:pStyle w:val="Listenabsatz"/>
              <w:numPr>
                <w:ilvl w:val="0"/>
                <w:numId w:val="25"/>
              </w:numPr>
            </w:pPr>
            <w:r>
              <w:t>Hohe Kontrolle über die Daten zur Bewahrung des Datenschutzes</w:t>
            </w:r>
          </w:p>
        </w:tc>
        <w:tc>
          <w:tcPr>
            <w:tcW w:w="4534" w:type="dxa"/>
            <w:shd w:val="clear" w:color="auto" w:fill="F2F2F2" w:themeFill="background1" w:themeFillShade="F2"/>
          </w:tcPr>
          <w:p>
            <w:pPr>
              <w:pStyle w:val="Listenabsatz"/>
              <w:numPr>
                <w:ilvl w:val="0"/>
                <w:numId w:val="25"/>
              </w:numPr>
            </w:pPr>
            <w:r>
              <w:t xml:space="preserve">Daten sind für Nachnutzende schwer zu finden </w:t>
            </w:r>
          </w:p>
          <w:p>
            <w:pPr>
              <w:pStyle w:val="Listenabsatz"/>
              <w:numPr>
                <w:ilvl w:val="0"/>
                <w:numId w:val="25"/>
              </w:numPr>
            </w:pPr>
            <w:r>
              <w:t>Der Zugang ist für Nachnutzende durch den Kommunikationsaufwand weder schnell noch einfach</w:t>
            </w:r>
          </w:p>
          <w:p>
            <w:pPr>
              <w:pStyle w:val="Listenabsatz"/>
              <w:numPr>
                <w:ilvl w:val="0"/>
                <w:numId w:val="25"/>
              </w:numPr>
            </w:pPr>
            <w:r>
              <w:t>Verteilung der Daten ist für das Forschungsteam zusätzliche Arbeit</w:t>
            </w:r>
          </w:p>
          <w:p>
            <w:pPr>
              <w:pStyle w:val="Listenabsatz"/>
              <w:numPr>
                <w:ilvl w:val="0"/>
                <w:numId w:val="25"/>
              </w:numPr>
            </w:pPr>
            <w:r>
              <w:t xml:space="preserve">Risiko von Datenverlust (Wo sind die Daten gespeichert? Ist der/die </w:t>
            </w:r>
            <w:proofErr w:type="spellStart"/>
            <w:r>
              <w:t>Ansprechpartner:in</w:t>
            </w:r>
            <w:proofErr w:type="spellEnd"/>
            <w:r>
              <w:t xml:space="preserve"> langfristig verfügbar?)</w:t>
            </w:r>
          </w:p>
        </w:tc>
      </w:tr>
    </w:tbl>
    <w:p>
      <w:pPr>
        <w:jc w:val="both"/>
      </w:pPr>
    </w:p>
    <w:p>
      <w:pPr>
        <w:rPr>
          <w:b/>
        </w:rPr>
      </w:pPr>
      <w:r>
        <w:rPr>
          <w:b/>
        </w:rPr>
        <w:lastRenderedPageBreak/>
        <w:t>Persönliche Website</w:t>
      </w:r>
    </w:p>
    <w:p>
      <w:r>
        <w:t>Das Forschungsteam kann sich auch entscheiden, die Daten auf einer persönlichen Website zu veröffentlichen. Das kann eine Projektwebsite sein oder auch Webseiten der individuellen, forschenden Personen.</w:t>
      </w:r>
    </w:p>
    <w:tbl>
      <w:tblPr>
        <w:tblStyle w:val="Tabellenraster11"/>
        <w:tblW w:w="9067"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2F2F2" w:themeFill="background1" w:themeFillShade="F2"/>
        <w:tblLayout w:type="fixed"/>
        <w:tblLook w:val="04A0" w:firstRow="1" w:lastRow="0" w:firstColumn="1" w:lastColumn="0" w:noHBand="0" w:noVBand="1"/>
      </w:tblPr>
      <w:tblGrid>
        <w:gridCol w:w="4533"/>
        <w:gridCol w:w="4534"/>
      </w:tblGrid>
      <w:tr>
        <w:trPr>
          <w:trHeight w:val="378"/>
        </w:trPr>
        <w:tc>
          <w:tcPr>
            <w:tcW w:w="4533" w:type="dxa"/>
            <w:shd w:val="clear" w:color="auto" w:fill="D9D9D9" w:themeFill="background1" w:themeFillShade="D9"/>
          </w:tcPr>
          <w:p>
            <w:pPr>
              <w:jc w:val="center"/>
              <w:rPr>
                <w:b/>
              </w:rPr>
            </w:pPr>
            <w:r>
              <w:rPr>
                <w:b/>
              </w:rPr>
              <w:t>Vorteile</w:t>
            </w:r>
          </w:p>
        </w:tc>
        <w:tc>
          <w:tcPr>
            <w:tcW w:w="4534" w:type="dxa"/>
            <w:shd w:val="clear" w:color="auto" w:fill="D9D9D9" w:themeFill="background1" w:themeFillShade="D9"/>
          </w:tcPr>
          <w:p>
            <w:pPr>
              <w:jc w:val="center"/>
              <w:rPr>
                <w:b/>
              </w:rPr>
            </w:pPr>
            <w:r>
              <w:rPr>
                <w:b/>
              </w:rPr>
              <w:t>Nachteile</w:t>
            </w:r>
          </w:p>
        </w:tc>
      </w:tr>
      <w:tr>
        <w:trPr>
          <w:trHeight w:val="215"/>
        </w:trPr>
        <w:tc>
          <w:tcPr>
            <w:tcW w:w="4533" w:type="dxa"/>
            <w:shd w:val="clear" w:color="auto" w:fill="F2F2F2" w:themeFill="background1" w:themeFillShade="F2"/>
          </w:tcPr>
          <w:p>
            <w:pPr>
              <w:pStyle w:val="Listenabsatz"/>
              <w:numPr>
                <w:ilvl w:val="0"/>
                <w:numId w:val="26"/>
              </w:numPr>
            </w:pPr>
            <w:r>
              <w:t>Veröffentlichung unter eigenen Bedingungen (z.B. keine Limitationen von Datengröße oder Dateiformaten)</w:t>
            </w:r>
          </w:p>
          <w:p>
            <w:pPr>
              <w:pStyle w:val="Listenabsatz"/>
              <w:numPr>
                <w:ilvl w:val="0"/>
                <w:numId w:val="26"/>
              </w:numPr>
            </w:pPr>
            <w:r>
              <w:t>Nach Bereitstellung kein Mehraufwand mehr</w:t>
            </w:r>
          </w:p>
        </w:tc>
        <w:tc>
          <w:tcPr>
            <w:tcW w:w="4534" w:type="dxa"/>
            <w:shd w:val="clear" w:color="auto" w:fill="F2F2F2" w:themeFill="background1" w:themeFillShade="F2"/>
          </w:tcPr>
          <w:p>
            <w:pPr>
              <w:pStyle w:val="Listenabsatz"/>
              <w:numPr>
                <w:ilvl w:val="0"/>
                <w:numId w:val="26"/>
              </w:numPr>
            </w:pPr>
            <w:r>
              <w:t>Daten sind für Nachnutzende schwer zu finden</w:t>
            </w:r>
          </w:p>
          <w:p>
            <w:pPr>
              <w:pStyle w:val="Listenabsatz"/>
              <w:numPr>
                <w:ilvl w:val="0"/>
                <w:numId w:val="26"/>
              </w:numPr>
            </w:pPr>
            <w:r>
              <w:t>Gegebenenfalls fallen Kosten an</w:t>
            </w:r>
          </w:p>
        </w:tc>
      </w:tr>
    </w:tbl>
    <w:p/>
    <w:p>
      <w:pPr>
        <w:rPr>
          <w:b/>
        </w:rPr>
      </w:pPr>
      <w:r>
        <w:rPr>
          <w:b/>
        </w:rPr>
        <w:t>Zusatzmaterial eines Papers</w:t>
      </w:r>
    </w:p>
    <w:p>
      <w:pPr>
        <w:jc w:val="both"/>
      </w:pPr>
      <w:r>
        <w:t>Daten können – je nach Journal und wenn die Datei nicht zu groß sind – auch als „</w:t>
      </w:r>
      <w:proofErr w:type="spellStart"/>
      <w:r>
        <w:t>supplementary</w:t>
      </w:r>
      <w:proofErr w:type="spellEnd"/>
      <w:r>
        <w:t xml:space="preserve"> material“ an die in Form eines Papers veröffentlichten Ergebnisse angehängt werden.</w:t>
      </w:r>
    </w:p>
    <w:tbl>
      <w:tblPr>
        <w:tblStyle w:val="Tabellenraster11"/>
        <w:tblW w:w="9067"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2F2F2" w:themeFill="background1" w:themeFillShade="F2"/>
        <w:tblLayout w:type="fixed"/>
        <w:tblLook w:val="04A0" w:firstRow="1" w:lastRow="0" w:firstColumn="1" w:lastColumn="0" w:noHBand="0" w:noVBand="1"/>
      </w:tblPr>
      <w:tblGrid>
        <w:gridCol w:w="4533"/>
        <w:gridCol w:w="4534"/>
      </w:tblGrid>
      <w:tr>
        <w:trPr>
          <w:trHeight w:val="378"/>
        </w:trPr>
        <w:tc>
          <w:tcPr>
            <w:tcW w:w="4533" w:type="dxa"/>
            <w:shd w:val="clear" w:color="auto" w:fill="D9D9D9" w:themeFill="background1" w:themeFillShade="D9"/>
          </w:tcPr>
          <w:p>
            <w:pPr>
              <w:jc w:val="center"/>
              <w:rPr>
                <w:b/>
              </w:rPr>
            </w:pPr>
            <w:r>
              <w:rPr>
                <w:b/>
              </w:rPr>
              <w:t>Vorteile</w:t>
            </w:r>
          </w:p>
        </w:tc>
        <w:tc>
          <w:tcPr>
            <w:tcW w:w="4534" w:type="dxa"/>
            <w:shd w:val="clear" w:color="auto" w:fill="D9D9D9" w:themeFill="background1" w:themeFillShade="D9"/>
          </w:tcPr>
          <w:p>
            <w:pPr>
              <w:jc w:val="center"/>
              <w:rPr>
                <w:b/>
              </w:rPr>
            </w:pPr>
            <w:r>
              <w:rPr>
                <w:b/>
              </w:rPr>
              <w:t>Nachteile</w:t>
            </w:r>
          </w:p>
        </w:tc>
      </w:tr>
      <w:tr>
        <w:trPr>
          <w:trHeight w:val="215"/>
        </w:trPr>
        <w:tc>
          <w:tcPr>
            <w:tcW w:w="4533" w:type="dxa"/>
            <w:shd w:val="clear" w:color="auto" w:fill="F2F2F2" w:themeFill="background1" w:themeFillShade="F2"/>
          </w:tcPr>
          <w:p>
            <w:pPr>
              <w:pStyle w:val="Listenabsatz"/>
              <w:numPr>
                <w:ilvl w:val="0"/>
                <w:numId w:val="27"/>
              </w:numPr>
            </w:pPr>
            <w:r>
              <w:t>Daten können direkt mit zugehöriger Studie und bestehender Datenanalyse in Verbindung gebracht werden</w:t>
            </w:r>
          </w:p>
          <w:p>
            <w:pPr>
              <w:pStyle w:val="Listenabsatz"/>
              <w:numPr>
                <w:ilvl w:val="0"/>
                <w:numId w:val="27"/>
              </w:numPr>
            </w:pPr>
            <w:r>
              <w:t>Daten können mit zitierbarer Quelle angegeben werden</w:t>
            </w:r>
          </w:p>
        </w:tc>
        <w:tc>
          <w:tcPr>
            <w:tcW w:w="4534" w:type="dxa"/>
            <w:shd w:val="clear" w:color="auto" w:fill="F2F2F2" w:themeFill="background1" w:themeFillShade="F2"/>
          </w:tcPr>
          <w:p>
            <w:pPr>
              <w:pStyle w:val="Listenabsatz"/>
              <w:numPr>
                <w:ilvl w:val="0"/>
                <w:numId w:val="27"/>
              </w:numPr>
            </w:pPr>
            <w:r>
              <w:t>Die Anzahl und Größe der Dateien ist limitiert</w:t>
            </w:r>
          </w:p>
          <w:p>
            <w:pPr>
              <w:pStyle w:val="Listenabsatz"/>
              <w:numPr>
                <w:ilvl w:val="0"/>
                <w:numId w:val="27"/>
              </w:numPr>
            </w:pPr>
            <w:r>
              <w:t>Metadaten sind nicht unbedingt verfügbar</w:t>
            </w:r>
          </w:p>
          <w:p>
            <w:pPr>
              <w:pStyle w:val="Listenabsatz"/>
              <w:numPr>
                <w:ilvl w:val="0"/>
                <w:numId w:val="27"/>
              </w:numPr>
            </w:pPr>
            <w:r>
              <w:t>mögliche Dateiformate sind eventuell limitiert</w:t>
            </w:r>
          </w:p>
          <w:p>
            <w:pPr>
              <w:pStyle w:val="Listenabsatz"/>
              <w:numPr>
                <w:ilvl w:val="0"/>
                <w:numId w:val="27"/>
              </w:numPr>
            </w:pPr>
            <w:r>
              <w:t>Keine optimale Aufbewahrungsstruktur für Daten, Paper sind für Texte optimiert</w:t>
            </w:r>
          </w:p>
        </w:tc>
      </w:tr>
    </w:tbl>
    <w:p/>
    <w:p>
      <w:pPr>
        <w:rPr>
          <w:b/>
        </w:rPr>
      </w:pPr>
      <w:r>
        <w:rPr>
          <w:b/>
        </w:rPr>
        <w:t>Repositorien</w:t>
      </w:r>
    </w:p>
    <w:p>
      <w:pPr>
        <w:jc w:val="both"/>
      </w:pPr>
      <w:r>
        <w:t xml:space="preserve">Ein Repositorium ist eine Dateninfrastruktur, um Daten für einen öffentlichen oder auch beschränkten Nutzendenkreis teilen zu können. Sie unterscheiden sich nach der Art der zu speichernden Objekten, der Domäne der Daten, dem Kreis der Nutzenden, der Speicherfrist und den </w:t>
      </w:r>
      <w:proofErr w:type="spellStart"/>
      <w:r>
        <w:t>Policies</w:t>
      </w:r>
      <w:proofErr w:type="spellEnd"/>
      <w:r>
        <w:t xml:space="preserve"> für die (Nach-)Nutzung der Daten. Um die Daten nachnutzbar und durchsuchbar zu machen, werden die Daten, die hochgeladen werden, mit Metadaten versehen (siehe für mehr Infos </w:t>
      </w:r>
      <w:r>
        <w:rPr>
          <w:b/>
        </w:rPr>
        <w:t>3 Metadaten</w:t>
      </w:r>
      <w:r>
        <w:t>).</w:t>
      </w:r>
    </w:p>
    <w:tbl>
      <w:tblPr>
        <w:tblStyle w:val="Tabellenraster11"/>
        <w:tblW w:w="9067"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2F2F2" w:themeFill="background1" w:themeFillShade="F2"/>
        <w:tblLayout w:type="fixed"/>
        <w:tblLook w:val="04A0" w:firstRow="1" w:lastRow="0" w:firstColumn="1" w:lastColumn="0" w:noHBand="0" w:noVBand="1"/>
      </w:tblPr>
      <w:tblGrid>
        <w:gridCol w:w="4533"/>
        <w:gridCol w:w="4534"/>
      </w:tblGrid>
      <w:tr>
        <w:trPr>
          <w:trHeight w:val="378"/>
        </w:trPr>
        <w:tc>
          <w:tcPr>
            <w:tcW w:w="4533" w:type="dxa"/>
            <w:shd w:val="clear" w:color="auto" w:fill="D9D9D9" w:themeFill="background1" w:themeFillShade="D9"/>
          </w:tcPr>
          <w:p>
            <w:pPr>
              <w:jc w:val="center"/>
              <w:rPr>
                <w:b/>
              </w:rPr>
            </w:pPr>
            <w:r>
              <w:rPr>
                <w:b/>
              </w:rPr>
              <w:t>Vorteile</w:t>
            </w:r>
          </w:p>
        </w:tc>
        <w:tc>
          <w:tcPr>
            <w:tcW w:w="4534" w:type="dxa"/>
            <w:shd w:val="clear" w:color="auto" w:fill="D9D9D9" w:themeFill="background1" w:themeFillShade="D9"/>
          </w:tcPr>
          <w:p>
            <w:pPr>
              <w:jc w:val="center"/>
              <w:rPr>
                <w:b/>
              </w:rPr>
            </w:pPr>
            <w:r>
              <w:rPr>
                <w:b/>
              </w:rPr>
              <w:t>Nachteile</w:t>
            </w:r>
          </w:p>
        </w:tc>
      </w:tr>
      <w:tr>
        <w:trPr>
          <w:trHeight w:val="215"/>
        </w:trPr>
        <w:tc>
          <w:tcPr>
            <w:tcW w:w="4533" w:type="dxa"/>
            <w:shd w:val="clear" w:color="auto" w:fill="F2F2F2" w:themeFill="background1" w:themeFillShade="F2"/>
          </w:tcPr>
          <w:p>
            <w:pPr>
              <w:pStyle w:val="Listenabsatz"/>
              <w:numPr>
                <w:ilvl w:val="0"/>
                <w:numId w:val="29"/>
              </w:numPr>
            </w:pPr>
            <w:r>
              <w:t>Metadaten können hinzugefügt werden</w:t>
            </w:r>
          </w:p>
          <w:p>
            <w:pPr>
              <w:pStyle w:val="Listenabsatz"/>
              <w:numPr>
                <w:ilvl w:val="0"/>
                <w:numId w:val="29"/>
              </w:numPr>
            </w:pPr>
            <w:r>
              <w:t>Repositorien sind häufig fachspezifisch und erleichtern Auffindbarkeit</w:t>
            </w:r>
          </w:p>
          <w:p>
            <w:pPr>
              <w:pStyle w:val="Listenabsatz"/>
              <w:numPr>
                <w:ilvl w:val="0"/>
                <w:numId w:val="29"/>
              </w:numPr>
            </w:pPr>
            <w:r>
              <w:t>Repositorien haben häufig Langzeitspeichersysteme</w:t>
            </w:r>
          </w:p>
        </w:tc>
        <w:tc>
          <w:tcPr>
            <w:tcW w:w="4534" w:type="dxa"/>
            <w:shd w:val="clear" w:color="auto" w:fill="F2F2F2" w:themeFill="background1" w:themeFillShade="F2"/>
          </w:tcPr>
          <w:p>
            <w:pPr>
              <w:pStyle w:val="Listenabsatz"/>
              <w:numPr>
                <w:ilvl w:val="0"/>
                <w:numId w:val="29"/>
              </w:numPr>
            </w:pPr>
            <w:r>
              <w:t>Daten auf Repositorien zu stellen ist zusätzliche Arbeit</w:t>
            </w:r>
          </w:p>
          <w:p>
            <w:pPr>
              <w:pStyle w:val="Listenabsatz"/>
              <w:numPr>
                <w:ilvl w:val="0"/>
                <w:numId w:val="29"/>
              </w:numPr>
            </w:pPr>
            <w:r>
              <w:t>Limitationen was bereitgestellt werden kann</w:t>
            </w:r>
          </w:p>
        </w:tc>
      </w:tr>
    </w:tbl>
    <w:p/>
    <w:p>
      <w:pPr>
        <w:rPr>
          <w:b/>
        </w:rPr>
      </w:pPr>
      <w:r>
        <w:rPr>
          <w:b/>
        </w:rPr>
        <w:t xml:space="preserve">Veröffentlichung eines Datenpapers </w:t>
      </w:r>
    </w:p>
    <w:p>
      <w:pPr>
        <w:jc w:val="both"/>
      </w:pPr>
      <w:r>
        <w:t xml:space="preserve">„Data </w:t>
      </w:r>
      <w:proofErr w:type="spellStart"/>
      <w:r>
        <w:t>papers</w:t>
      </w:r>
      <w:proofErr w:type="spellEnd"/>
      <w:r>
        <w:t xml:space="preserve">“ berichteten deskriptiv in einem Journal über die erhobenen Daten. Sie können einen oder mehrere Datensätze beschreiben und enthalten eine ausführliche Beschreibung der Daten und Angaben zur Erhebung, Qualität und Limitationen der Daten. Eine Grundbedingung für die Annahme eines Datenpapiers ist, dass die Daten auf einem geeigneten Datenrepositorium abgelegt worden sind. Beide </w:t>
      </w:r>
      <w:r>
        <w:lastRenderedPageBreak/>
        <w:t xml:space="preserve">Objekte werden dann mit einem persistenten Identifier (meist DOI) (siehe für mehr Informationen </w:t>
      </w:r>
      <w:r>
        <w:rPr>
          <w:b/>
        </w:rPr>
        <w:t>3 Metadaten)</w:t>
      </w:r>
      <w:r>
        <w:t xml:space="preserve">. Bekannte Vertreter sind unter anderem </w:t>
      </w:r>
      <w:hyperlink r:id="rId7" w:history="1">
        <w:r>
          <w:rPr>
            <w:rStyle w:val="Hyperlink"/>
          </w:rPr>
          <w:t>http://www.nature.com/sdata/about</w:t>
        </w:r>
      </w:hyperlink>
      <w:r>
        <w:t xml:space="preserve"> für Scientific Data und </w:t>
      </w:r>
      <w:hyperlink r:id="rId8" w:history="1">
        <w:r>
          <w:rPr>
            <w:rStyle w:val="Hyperlink"/>
          </w:rPr>
          <w:t>http://openhealthdata.metajnl.com/</w:t>
        </w:r>
      </w:hyperlink>
      <w:r>
        <w:t xml:space="preserve"> für Open Health Data.</w:t>
      </w:r>
    </w:p>
    <w:p>
      <w:pPr>
        <w:jc w:val="both"/>
      </w:pPr>
      <w:r>
        <w:t>Eine Guideline für die Zitierung von Daten ist beispielsweise die folgende „</w:t>
      </w:r>
      <w:hyperlink r:id="rId9" w:history="1">
        <w:r>
          <w:rPr>
            <w:rStyle w:val="Hyperlink"/>
          </w:rPr>
          <w:t xml:space="preserve">Joint </w:t>
        </w:r>
        <w:proofErr w:type="spellStart"/>
        <w:r>
          <w:rPr>
            <w:rStyle w:val="Hyperlink"/>
          </w:rPr>
          <w:t>Declaration</w:t>
        </w:r>
        <w:proofErr w:type="spellEnd"/>
        <w:r>
          <w:rPr>
            <w:rStyle w:val="Hyperlink"/>
          </w:rPr>
          <w:t xml:space="preserve"> </w:t>
        </w:r>
        <w:proofErr w:type="spellStart"/>
        <w:r>
          <w:rPr>
            <w:rStyle w:val="Hyperlink"/>
          </w:rPr>
          <w:t>of</w:t>
        </w:r>
        <w:proofErr w:type="spellEnd"/>
        <w:r>
          <w:rPr>
            <w:rStyle w:val="Hyperlink"/>
          </w:rPr>
          <w:t xml:space="preserve"> Data </w:t>
        </w:r>
        <w:proofErr w:type="spellStart"/>
        <w:r>
          <w:rPr>
            <w:rStyle w:val="Hyperlink"/>
          </w:rPr>
          <w:t>Citation</w:t>
        </w:r>
        <w:proofErr w:type="spellEnd"/>
        <w:r>
          <w:rPr>
            <w:rStyle w:val="Hyperlink"/>
          </w:rPr>
          <w:t xml:space="preserve"> </w:t>
        </w:r>
        <w:proofErr w:type="spellStart"/>
        <w:r>
          <w:rPr>
            <w:rStyle w:val="Hyperlink"/>
          </w:rPr>
          <w:t>Principles</w:t>
        </w:r>
        <w:proofErr w:type="spellEnd"/>
      </w:hyperlink>
      <w:r>
        <w:t xml:space="preserve">“ der Data </w:t>
      </w:r>
      <w:proofErr w:type="spellStart"/>
      <w:r>
        <w:t>Citation</w:t>
      </w:r>
      <w:proofErr w:type="spellEnd"/>
      <w:r>
        <w:t xml:space="preserve"> Synthesis Group.</w:t>
      </w:r>
    </w:p>
    <w:tbl>
      <w:tblPr>
        <w:tblStyle w:val="Tabellenraster11"/>
        <w:tblW w:w="9067"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2F2F2" w:themeFill="background1" w:themeFillShade="F2"/>
        <w:tblLayout w:type="fixed"/>
        <w:tblLook w:val="04A0" w:firstRow="1" w:lastRow="0" w:firstColumn="1" w:lastColumn="0" w:noHBand="0" w:noVBand="1"/>
      </w:tblPr>
      <w:tblGrid>
        <w:gridCol w:w="4533"/>
        <w:gridCol w:w="4534"/>
      </w:tblGrid>
      <w:tr>
        <w:trPr>
          <w:trHeight w:val="378"/>
        </w:trPr>
        <w:tc>
          <w:tcPr>
            <w:tcW w:w="4533" w:type="dxa"/>
            <w:shd w:val="clear" w:color="auto" w:fill="D9D9D9" w:themeFill="background1" w:themeFillShade="D9"/>
          </w:tcPr>
          <w:p>
            <w:pPr>
              <w:jc w:val="center"/>
              <w:rPr>
                <w:b/>
              </w:rPr>
            </w:pPr>
            <w:r>
              <w:rPr>
                <w:b/>
              </w:rPr>
              <w:t>Vorteile</w:t>
            </w:r>
          </w:p>
        </w:tc>
        <w:tc>
          <w:tcPr>
            <w:tcW w:w="4534" w:type="dxa"/>
            <w:shd w:val="clear" w:color="auto" w:fill="D9D9D9" w:themeFill="background1" w:themeFillShade="D9"/>
          </w:tcPr>
          <w:p>
            <w:pPr>
              <w:jc w:val="center"/>
              <w:rPr>
                <w:b/>
              </w:rPr>
            </w:pPr>
            <w:r>
              <w:rPr>
                <w:b/>
              </w:rPr>
              <w:t>Nachteile</w:t>
            </w:r>
          </w:p>
        </w:tc>
      </w:tr>
      <w:tr>
        <w:trPr>
          <w:trHeight w:val="215"/>
        </w:trPr>
        <w:tc>
          <w:tcPr>
            <w:tcW w:w="4533" w:type="dxa"/>
            <w:shd w:val="clear" w:color="auto" w:fill="F2F2F2" w:themeFill="background1" w:themeFillShade="F2"/>
          </w:tcPr>
          <w:p>
            <w:pPr>
              <w:pStyle w:val="Listenabsatz"/>
              <w:numPr>
                <w:ilvl w:val="0"/>
                <w:numId w:val="28"/>
              </w:numPr>
            </w:pPr>
            <w:r>
              <w:t>Es gibt ein Peer-Review</w:t>
            </w:r>
          </w:p>
          <w:p>
            <w:pPr>
              <w:pStyle w:val="Listenabsatz"/>
              <w:numPr>
                <w:ilvl w:val="0"/>
                <w:numId w:val="28"/>
              </w:numPr>
            </w:pPr>
            <w:r>
              <w:t>Daten haben eine eigene zitierbare ID</w:t>
            </w:r>
          </w:p>
          <w:p>
            <w:pPr>
              <w:pStyle w:val="Listenabsatz"/>
              <w:numPr>
                <w:ilvl w:val="0"/>
                <w:numId w:val="28"/>
              </w:numPr>
            </w:pPr>
            <w:r>
              <w:t xml:space="preserve">Zusätzliche Publikation für die </w:t>
            </w:r>
            <w:proofErr w:type="spellStart"/>
            <w:proofErr w:type="gramStart"/>
            <w:r>
              <w:t>Autor:innen</w:t>
            </w:r>
            <w:proofErr w:type="spellEnd"/>
            <w:proofErr w:type="gramEnd"/>
          </w:p>
          <w:p>
            <w:pPr>
              <w:pStyle w:val="Listenabsatz"/>
              <w:numPr>
                <w:ilvl w:val="0"/>
                <w:numId w:val="28"/>
              </w:numPr>
            </w:pPr>
            <w:r>
              <w:t>Datensätze mit einem Datenpaper werden häufiger zitiert</w:t>
            </w:r>
          </w:p>
        </w:tc>
        <w:tc>
          <w:tcPr>
            <w:tcW w:w="4534" w:type="dxa"/>
            <w:shd w:val="clear" w:color="auto" w:fill="F2F2F2" w:themeFill="background1" w:themeFillShade="F2"/>
          </w:tcPr>
          <w:p>
            <w:pPr>
              <w:pStyle w:val="Listenabsatz"/>
              <w:numPr>
                <w:ilvl w:val="0"/>
                <w:numId w:val="28"/>
              </w:numPr>
            </w:pPr>
            <w:r>
              <w:t>Veröffentlichung ist viel Zusatzarbeit</w:t>
            </w:r>
          </w:p>
          <w:p>
            <w:pPr>
              <w:pStyle w:val="Listenabsatz"/>
              <w:numPr>
                <w:ilvl w:val="0"/>
                <w:numId w:val="28"/>
              </w:numPr>
            </w:pPr>
            <w:r>
              <w:t>Datenpaper erhalten (aktuell noch) weniger Anerkennung als „normale“ Paper</w:t>
            </w:r>
          </w:p>
        </w:tc>
      </w:tr>
    </w:tbl>
    <w:p/>
    <w:p>
      <w:pPr>
        <w:pStyle w:val="berschrift1"/>
      </w:pPr>
      <w:r>
        <w:t>Kriterien eines guten Repositoriums</w:t>
      </w:r>
    </w:p>
    <w:p>
      <w:pPr>
        <w:jc w:val="both"/>
      </w:pPr>
      <w:r>
        <w:t>Folgende Kriterien sollten bei der Auswahl eines geeigneten Repositoriums für die eigenen Daten beachtet werden:</w:t>
      </w:r>
    </w:p>
    <w:p>
      <w:pPr>
        <w:pStyle w:val="Listenabsatz"/>
        <w:numPr>
          <w:ilvl w:val="0"/>
          <w:numId w:val="21"/>
        </w:numPr>
      </w:pPr>
      <w:r>
        <w:t>Passende technische Anforderungen</w:t>
      </w:r>
    </w:p>
    <w:p>
      <w:pPr>
        <w:pStyle w:val="Listenabsatz"/>
        <w:numPr>
          <w:ilvl w:val="0"/>
          <w:numId w:val="21"/>
        </w:numPr>
      </w:pPr>
      <w:r>
        <w:t>Open Access</w:t>
      </w:r>
    </w:p>
    <w:p>
      <w:pPr>
        <w:pStyle w:val="Listenabsatz"/>
        <w:numPr>
          <w:ilvl w:val="0"/>
          <w:numId w:val="21"/>
        </w:numPr>
      </w:pPr>
      <w:r>
        <w:t xml:space="preserve">Generiert einen persistenten </w:t>
      </w:r>
      <w:proofErr w:type="spellStart"/>
      <w:r>
        <w:t>Identifikator</w:t>
      </w:r>
      <w:proofErr w:type="spellEnd"/>
      <w:r>
        <w:t xml:space="preserve"> für die Daten und verwendet persistente </w:t>
      </w:r>
      <w:proofErr w:type="spellStart"/>
      <w:r>
        <w:t>Identifikatoren</w:t>
      </w:r>
      <w:proofErr w:type="spellEnd"/>
      <w:r>
        <w:t xml:space="preserve"> für die </w:t>
      </w:r>
      <w:proofErr w:type="spellStart"/>
      <w:proofErr w:type="gramStart"/>
      <w:r>
        <w:t>Autor:innen</w:t>
      </w:r>
      <w:proofErr w:type="spellEnd"/>
      <w:proofErr w:type="gramEnd"/>
      <w:r>
        <w:t xml:space="preserve"> (siehe für mehr Infos </w:t>
      </w:r>
      <w:r>
        <w:rPr>
          <w:b/>
        </w:rPr>
        <w:t>3 Metadaten</w:t>
      </w:r>
      <w:r>
        <w:t>)</w:t>
      </w:r>
    </w:p>
    <w:p>
      <w:pPr>
        <w:pStyle w:val="Listenabsatz"/>
        <w:numPr>
          <w:ilvl w:val="0"/>
          <w:numId w:val="21"/>
        </w:numPr>
      </w:pPr>
      <w:r>
        <w:t>Flexible Metadaten</w:t>
      </w:r>
    </w:p>
    <w:p>
      <w:pPr>
        <w:pStyle w:val="Listenabsatz"/>
        <w:numPr>
          <w:ilvl w:val="0"/>
          <w:numId w:val="21"/>
        </w:numPr>
      </w:pPr>
      <w:r>
        <w:t>Zertifizierung durch Siegel für vertrauenswürdige Archive</w:t>
      </w:r>
    </w:p>
    <w:p>
      <w:pPr>
        <w:pStyle w:val="Listenabsatz"/>
        <w:numPr>
          <w:ilvl w:val="0"/>
          <w:numId w:val="21"/>
        </w:numPr>
      </w:pPr>
      <w:r>
        <w:t>Kosten</w:t>
      </w:r>
    </w:p>
    <w:p>
      <w:pPr>
        <w:pStyle w:val="Listenabsatz"/>
        <w:numPr>
          <w:ilvl w:val="0"/>
          <w:numId w:val="21"/>
        </w:numPr>
      </w:pPr>
      <w:r>
        <w:t>Langlebigkeit des Dienstleisters</w:t>
      </w:r>
    </w:p>
    <w:p>
      <w:pPr>
        <w:pStyle w:val="Listenabsatz"/>
        <w:numPr>
          <w:ilvl w:val="0"/>
          <w:numId w:val="21"/>
        </w:numPr>
      </w:pPr>
      <w:r>
        <w:t>Auffindbarkeit durch Suchmaschinen</w:t>
      </w:r>
    </w:p>
    <w:p>
      <w:pPr>
        <w:pStyle w:val="Listenabsatz"/>
        <w:numPr>
          <w:ilvl w:val="0"/>
          <w:numId w:val="21"/>
        </w:numPr>
      </w:pPr>
      <w:r>
        <w:t>Zusätzliche Services wie Datenbereinigung, Format-Migration oder Normalisierung, Unterstützung bei Metadatenerstellung o.ä.</w:t>
      </w:r>
    </w:p>
    <w:p>
      <w:pPr>
        <w:pStyle w:val="berschrift2"/>
      </w:pPr>
      <w:r>
        <w:t>Zertifikate</w:t>
      </w:r>
    </w:p>
    <w:p>
      <w:pPr>
        <w:jc w:val="both"/>
      </w:pPr>
      <w:r>
        <w:t>Wenn Repositorien mit Qualitätssiegeln versehen sind, können Nutzende darauf vertrauen, dass die jeweils angesetzten Qualitätskriterien eingehalten wurden. Je nach Zertifikat werden andere Kriterien für die Vergabe festgelegt. Folgende Zertifikate werden für Repositorien vergeben:</w:t>
      </w:r>
    </w:p>
    <w:p>
      <w:pPr>
        <w:pStyle w:val="Listenabsatz"/>
        <w:numPr>
          <w:ilvl w:val="0"/>
          <w:numId w:val="23"/>
        </w:numPr>
      </w:pPr>
      <w:proofErr w:type="spellStart"/>
      <w:r>
        <w:t>CoreTrustSeal</w:t>
      </w:r>
      <w:proofErr w:type="spellEnd"/>
    </w:p>
    <w:p>
      <w:pPr>
        <w:pStyle w:val="Listenabsatz"/>
        <w:numPr>
          <w:ilvl w:val="0"/>
          <w:numId w:val="23"/>
        </w:numPr>
      </w:pPr>
      <w:r>
        <w:t>Nestor-Siegel</w:t>
      </w:r>
    </w:p>
    <w:p>
      <w:pPr>
        <w:pStyle w:val="berschrift1"/>
        <w:rPr>
          <w:lang w:val="en-US"/>
        </w:rPr>
      </w:pPr>
      <w:proofErr w:type="spellStart"/>
      <w:r>
        <w:rPr>
          <w:lang w:val="en-US"/>
        </w:rPr>
        <w:t>Auffinden</w:t>
      </w:r>
      <w:proofErr w:type="spellEnd"/>
      <w:r>
        <w:rPr>
          <w:lang w:val="en-US"/>
        </w:rPr>
        <w:t xml:space="preserve"> </w:t>
      </w:r>
      <w:proofErr w:type="spellStart"/>
      <w:r>
        <w:rPr>
          <w:lang w:val="en-US"/>
        </w:rPr>
        <w:t>geeigneter</w:t>
      </w:r>
      <w:proofErr w:type="spellEnd"/>
      <w:r>
        <w:rPr>
          <w:lang w:val="en-US"/>
        </w:rPr>
        <w:t xml:space="preserve"> </w:t>
      </w:r>
      <w:proofErr w:type="spellStart"/>
      <w:r>
        <w:rPr>
          <w:lang w:val="en-US"/>
        </w:rPr>
        <w:t>Repositorien</w:t>
      </w:r>
      <w:proofErr w:type="spellEnd"/>
    </w:p>
    <w:p>
      <w:pPr>
        <w:jc w:val="both"/>
      </w:pPr>
      <w:r>
        <w:t xml:space="preserve">Das „Registry </w:t>
      </w:r>
      <w:proofErr w:type="spellStart"/>
      <w:r>
        <w:t>of</w:t>
      </w:r>
      <w:proofErr w:type="spellEnd"/>
      <w:r>
        <w:t xml:space="preserve"> Research Data </w:t>
      </w:r>
      <w:proofErr w:type="spellStart"/>
      <w:r>
        <w:t>Repositories</w:t>
      </w:r>
      <w:proofErr w:type="spellEnd"/>
      <w:r>
        <w:t>“ (</w:t>
      </w:r>
      <w:hyperlink r:id="rId10" w:history="1">
        <w:r>
          <w:rPr>
            <w:rStyle w:val="Hyperlink"/>
          </w:rPr>
          <w:t>re3data</w:t>
        </w:r>
      </w:hyperlink>
      <w:r>
        <w:t xml:space="preserve">) ist ein Verzeichnis von über 3000 </w:t>
      </w:r>
      <w:proofErr w:type="spellStart"/>
      <w:r>
        <w:t>Repositoren</w:t>
      </w:r>
      <w:proofErr w:type="spellEnd"/>
      <w:r>
        <w:t xml:space="preserve">, die Anhand von einer Vielzahl an Filtern oder mit Suchbegriffen durchsucht werden kann. Die Website bietet Informationen über Name, URL, Themengebiete, Beschreibung, Kontakt, Sprache, Institution, rechtliche Bedingungen und Standards des jeweiligen Repositoriums. Weitere Verzeichnisse, die Repositorien auflisten und über Such- und Filterfunktionen verfügen, sind </w:t>
      </w:r>
      <w:hyperlink r:id="rId11" w:history="1">
        <w:r>
          <w:rPr>
            <w:rStyle w:val="Hyperlink"/>
          </w:rPr>
          <w:t>ROAR</w:t>
        </w:r>
      </w:hyperlink>
      <w:r>
        <w:t xml:space="preserve"> (Repository </w:t>
      </w:r>
      <w:proofErr w:type="spellStart"/>
      <w:r>
        <w:t>of</w:t>
      </w:r>
      <w:proofErr w:type="spellEnd"/>
      <w:r>
        <w:t xml:space="preserve"> Open Access </w:t>
      </w:r>
      <w:proofErr w:type="spellStart"/>
      <w:r>
        <w:t>Repositories</w:t>
      </w:r>
      <w:proofErr w:type="spellEnd"/>
      <w:r>
        <w:t xml:space="preserve">)und </w:t>
      </w:r>
      <w:hyperlink r:id="rId12" w:history="1">
        <w:proofErr w:type="spellStart"/>
        <w:r>
          <w:rPr>
            <w:rStyle w:val="Hyperlink"/>
          </w:rPr>
          <w:t>OpenDOAR</w:t>
        </w:r>
        <w:proofErr w:type="spellEnd"/>
      </w:hyperlink>
      <w:r>
        <w:t>.</w:t>
      </w:r>
    </w:p>
    <w:p>
      <w:pPr>
        <w:jc w:val="both"/>
      </w:pPr>
      <w:proofErr w:type="spellStart"/>
      <w:r>
        <w:lastRenderedPageBreak/>
        <w:t>Optimalerweise</w:t>
      </w:r>
      <w:proofErr w:type="spellEnd"/>
      <w:r>
        <w:t xml:space="preserve"> sollte ein Repositorium gewählt werden, dass der fachlichen Ausrichtung entspricht. Das Projekt </w:t>
      </w:r>
      <w:proofErr w:type="spellStart"/>
      <w:r>
        <w:t>GesundFDM</w:t>
      </w:r>
      <w:proofErr w:type="spellEnd"/>
      <w:r>
        <w:t xml:space="preserve"> hat beispielsweise </w:t>
      </w:r>
      <w:hyperlink r:id="rId13" w:history="1">
        <w:r>
          <w:rPr>
            <w:rStyle w:val="Hyperlink"/>
          </w:rPr>
          <w:t>hier</w:t>
        </w:r>
      </w:hyperlink>
      <w:r>
        <w:t xml:space="preserve"> eine Übersicht an Repositorien der Gesundheits- und Pflegewissenschaften zusammengetragen. Sollte ein solches nicht verfügbar sein, bieten sich institutionelle Repositorien an, die von Universitäten oder Forschungseinrichtungen angeboten werden oder generische Repositorien von zentralen Einrichtungen oder gemeinnützigen Organisationen.</w:t>
      </w:r>
    </w:p>
    <w:p>
      <w:pPr>
        <w:jc w:val="both"/>
      </w:pPr>
      <w:r>
        <w:t>Gerade bei sensiblen Daten kann es sich anbieten, keine vollständigen Datensäte in einem Repositorium abzulegen, sondern nur die Metadaten, um die erhobenen Daten trotzdem auffindbar und sichtbar zu machen. Im Rahmen der „Digital Health Factory Ruhr“, gefördert durch das Bundesministerium für Forschung, Technologie und Raumfahrt (BMFTR), ist deswegen beispielsweise das Projekt zur Entwicklung eines sozial-medizinischen Metadatenregisters für das Ruhrgebiet „</w:t>
      </w:r>
      <w:hyperlink r:id="rId14" w:history="1">
        <w:r>
          <w:rPr>
            <w:rStyle w:val="Hyperlink"/>
          </w:rPr>
          <w:t>Data4Health.Ruhr – Metadatenregister</w:t>
        </w:r>
      </w:hyperlink>
      <w:r>
        <w:t xml:space="preserve">“ entstanden. </w:t>
      </w:r>
    </w:p>
    <w:p>
      <w:pPr>
        <w:pStyle w:val="berschrift1"/>
      </w:pPr>
      <w:r>
        <w:t>Quellenverzeichnis</w:t>
      </w:r>
    </w:p>
    <w:p>
      <w:proofErr w:type="spellStart"/>
      <w:r>
        <w:t>Blümm</w:t>
      </w:r>
      <w:proofErr w:type="spellEnd"/>
      <w:r>
        <w:t xml:space="preserve">, M., Fritsch, K., Bock, S., </w:t>
      </w:r>
      <w:proofErr w:type="spellStart"/>
      <w:r>
        <w:t>Hackenbuchner</w:t>
      </w:r>
      <w:proofErr w:type="spellEnd"/>
      <w:r>
        <w:t xml:space="preserve">, J., </w:t>
      </w:r>
      <w:proofErr w:type="spellStart"/>
      <w:r>
        <w:t>Arning</w:t>
      </w:r>
      <w:proofErr w:type="spellEnd"/>
      <w:r>
        <w:t xml:space="preserve">, U., &amp; </w:t>
      </w:r>
      <w:proofErr w:type="spellStart"/>
      <w:r>
        <w:t>Förstner</w:t>
      </w:r>
      <w:proofErr w:type="spellEnd"/>
      <w:r>
        <w:t xml:space="preserve">, K. U. (2024). VL_09_Finden. </w:t>
      </w:r>
      <w:proofErr w:type="spellStart"/>
      <w:r>
        <w:t>FDM@Studium.nrw</w:t>
      </w:r>
      <w:proofErr w:type="spellEnd"/>
      <w:r>
        <w:t xml:space="preserve"> </w:t>
      </w:r>
      <w:proofErr w:type="spellStart"/>
      <w:r>
        <w:t>Blended</w:t>
      </w:r>
      <w:proofErr w:type="spellEnd"/>
      <w:r>
        <w:t xml:space="preserve">-Learning-Basiskurs „Forschungsdatenmanagement“ (Version 0.1). </w:t>
      </w:r>
      <w:hyperlink r:id="rId15" w:tgtFrame="_blank" w:history="1">
        <w:r>
          <w:rPr>
            <w:rStyle w:val="Hyperlink"/>
          </w:rPr>
          <w:t>https://landesinitiativefdmnrw.github.io/FDMatStudium/thk/texte/VL_09_Finden.html</w:t>
        </w:r>
      </w:hyperlink>
    </w:p>
    <w:p>
      <w:r>
        <w:t xml:space="preserve">Böker, E. (2024). Repositorien. forschungsdaten.info. Abgerufen: 30.09 2025, </w:t>
      </w:r>
      <w:r>
        <w:br/>
        <w:t xml:space="preserve">von </w:t>
      </w:r>
      <w:hyperlink r:id="rId16" w:history="1">
        <w:r>
          <w:rPr>
            <w:rStyle w:val="Hyperlink"/>
          </w:rPr>
          <w:t>https://forschungsdaten.info/themen/veroeffentlichen-u</w:t>
        </w:r>
        <w:r>
          <w:rPr>
            <w:rStyle w:val="Hyperlink"/>
          </w:rPr>
          <w:t>nd-archivieren/repositorien/</w:t>
        </w:r>
      </w:hyperlink>
      <w:r>
        <w:t xml:space="preserve"> </w:t>
      </w:r>
    </w:p>
    <w:p>
      <w:pPr>
        <w:rPr>
          <w:rStyle w:val="Hyperlink"/>
          <w:color w:val="auto"/>
          <w:u w:val="none"/>
        </w:rPr>
      </w:pPr>
      <w:r>
        <w:rPr>
          <w:rStyle w:val="Hyperlink"/>
          <w:color w:val="auto"/>
          <w:u w:val="none"/>
        </w:rPr>
        <w:t xml:space="preserve">Van </w:t>
      </w:r>
      <w:proofErr w:type="spellStart"/>
      <w:r>
        <w:rPr>
          <w:rStyle w:val="Hyperlink"/>
          <w:color w:val="auto"/>
          <w:u w:val="none"/>
        </w:rPr>
        <w:t>Edig</w:t>
      </w:r>
      <w:proofErr w:type="spellEnd"/>
      <w:r>
        <w:rPr>
          <w:rStyle w:val="Hyperlink"/>
          <w:color w:val="auto"/>
          <w:u w:val="none"/>
        </w:rPr>
        <w:t xml:space="preserve">, X., </w:t>
      </w:r>
      <w:proofErr w:type="spellStart"/>
      <w:r>
        <w:rPr>
          <w:rStyle w:val="Hyperlink"/>
          <w:color w:val="auto"/>
          <w:u w:val="none"/>
        </w:rPr>
        <w:t>Dellmann</w:t>
      </w:r>
      <w:proofErr w:type="spellEnd"/>
      <w:r>
        <w:rPr>
          <w:rStyle w:val="Hyperlink"/>
          <w:color w:val="auto"/>
          <w:u w:val="none"/>
        </w:rPr>
        <w:t xml:space="preserve">, S., </w:t>
      </w:r>
      <w:proofErr w:type="spellStart"/>
      <w:r>
        <w:rPr>
          <w:rStyle w:val="Hyperlink"/>
          <w:color w:val="auto"/>
          <w:u w:val="none"/>
        </w:rPr>
        <w:t>Renziehausen</w:t>
      </w:r>
      <w:proofErr w:type="spellEnd"/>
      <w:r>
        <w:rPr>
          <w:rStyle w:val="Hyperlink"/>
          <w:color w:val="auto"/>
          <w:u w:val="none"/>
        </w:rPr>
        <w:t xml:space="preserve">, A.-K., &amp; </w:t>
      </w:r>
      <w:proofErr w:type="spellStart"/>
      <w:r>
        <w:rPr>
          <w:rStyle w:val="Hyperlink"/>
          <w:color w:val="auto"/>
          <w:u w:val="none"/>
        </w:rPr>
        <w:t>Ziedorn</w:t>
      </w:r>
      <w:proofErr w:type="spellEnd"/>
      <w:r>
        <w:rPr>
          <w:rStyle w:val="Hyperlink"/>
          <w:color w:val="auto"/>
          <w:u w:val="none"/>
        </w:rPr>
        <w:t xml:space="preserve">, F. (2022). Data Papers – Eine Ode an die Daten. TIB Blog. Abgerufen am 30.09.2025, von </w:t>
      </w:r>
      <w:hyperlink r:id="rId17" w:history="1">
        <w:r>
          <w:rPr>
            <w:rStyle w:val="Hyperlink"/>
          </w:rPr>
          <w:t>https://blog.tib.eu/2022/02/15/data-papers-eine-ode-an-die-daten/</w:t>
        </w:r>
      </w:hyperlink>
      <w:r>
        <w:rPr>
          <w:rStyle w:val="Hyperlink"/>
          <w:color w:val="auto"/>
          <w:u w:val="none"/>
        </w:rPr>
        <w:t xml:space="preserve"> </w:t>
      </w:r>
    </w:p>
    <w:p>
      <w:pPr>
        <w:rPr>
          <w:rStyle w:val="Hyperlink"/>
        </w:rPr>
      </w:pPr>
      <w:r>
        <w:rPr>
          <w:rStyle w:val="Hyperlink"/>
          <w:color w:val="auto"/>
          <w:u w:val="none"/>
          <w:lang w:val="en-US"/>
        </w:rPr>
        <w:t xml:space="preserve">Lowe, D.B., White, D., &amp; Novak, E.R. (2022). Module 7: Repositories, Archiving &amp; Preservation. New England Collaborative Data Management Curriculum. </w:t>
      </w:r>
      <w:r>
        <w:rPr>
          <w:rStyle w:val="Hyperlink"/>
          <w:color w:val="auto"/>
          <w:u w:val="none"/>
        </w:rPr>
        <w:t xml:space="preserve">Abgerufen am 30.09.2025, von </w:t>
      </w:r>
      <w:r>
        <w:rPr>
          <w:rStyle w:val="Hyperlink"/>
        </w:rPr>
        <w:t>https://oercommons.org/courses/new-england-collaborative-data-management-curriculum)</w:t>
      </w:r>
    </w:p>
    <w:p>
      <w:pPr>
        <w:rPr>
          <w:rStyle w:val="Hyperlink"/>
        </w:rPr>
      </w:pPr>
      <w:r>
        <w:rPr>
          <w:lang w:val="en-US"/>
        </w:rPr>
        <w:t xml:space="preserve">MIT Libraries Data Management Group (2016). Research Data Management: Strategies for Data Sharing and Storage. </w:t>
      </w:r>
      <w:r>
        <w:t xml:space="preserve">Abgerufen am 30.09.2025, von </w:t>
      </w:r>
      <w:hyperlink r:id="rId18" w:history="1">
        <w:r>
          <w:rPr>
            <w:rStyle w:val="Hyperlink"/>
          </w:rPr>
          <w:t>https://www.twillo.de/edu-sharing/components/render/01887843-1814-42e6-9ad5-6941a88d5c5a</w:t>
        </w:r>
      </w:hyperlink>
      <w:r>
        <w:t xml:space="preserve"> </w:t>
      </w:r>
      <w:r>
        <w:rPr>
          <w:rStyle w:val="Hyperlink"/>
        </w:rPr>
        <w:t xml:space="preserve"> </w:t>
      </w:r>
    </w:p>
    <w:p>
      <w:proofErr w:type="spellStart"/>
      <w:r>
        <w:t>Mertzen</w:t>
      </w:r>
      <w:proofErr w:type="spellEnd"/>
      <w:r>
        <w:t xml:space="preserve">, D., </w:t>
      </w:r>
      <w:proofErr w:type="spellStart"/>
      <w:r>
        <w:t>Neuroth</w:t>
      </w:r>
      <w:proofErr w:type="spellEnd"/>
      <w:r>
        <w:t xml:space="preserve">, H., Schneemann, C., </w:t>
      </w:r>
      <w:proofErr w:type="spellStart"/>
      <w:r>
        <w:t>Woywod</w:t>
      </w:r>
      <w:proofErr w:type="spellEnd"/>
      <w:r>
        <w:t xml:space="preserve">, K., Haase, C., Jacob, B., </w:t>
      </w:r>
      <w:proofErr w:type="spellStart"/>
      <w:r>
        <w:t>Kroehling</w:t>
      </w:r>
      <w:proofErr w:type="spellEnd"/>
      <w:r>
        <w:t xml:space="preserve">, M., Mittelbach, J., </w:t>
      </w:r>
      <w:proofErr w:type="spellStart"/>
      <w:r>
        <w:t>Straka</w:t>
      </w:r>
      <w:proofErr w:type="spellEnd"/>
      <w:r>
        <w:t xml:space="preserve">, J., </w:t>
      </w:r>
      <w:proofErr w:type="spellStart"/>
      <w:r>
        <w:t>Szczukowski</w:t>
      </w:r>
      <w:proofErr w:type="spellEnd"/>
      <w:r>
        <w:t xml:space="preserve">, A., &amp; Weise, K. (2023, Mai 27). Zertifikatskurs "Forschungsdatenmanagement für Studierende": Spring School 2023 der Landesinitiative für Forschungsdatenmanagement in Brandenburg. </w:t>
      </w:r>
      <w:proofErr w:type="spellStart"/>
      <w:r>
        <w:t>Zenodo</w:t>
      </w:r>
      <w:proofErr w:type="spellEnd"/>
      <w:r>
        <w:t xml:space="preserve">. </w:t>
      </w:r>
      <w:hyperlink r:id="rId19" w:history="1">
        <w:r>
          <w:rPr>
            <w:rStyle w:val="Hyperlink"/>
          </w:rPr>
          <w:t>https://doi.org/10.5281/zeno</w:t>
        </w:r>
        <w:r>
          <w:rPr>
            <w:rStyle w:val="Hyperlink"/>
          </w:rPr>
          <w:t>do.7936966</w:t>
        </w:r>
      </w:hyperlink>
      <w:r>
        <w:t xml:space="preserve"> </w:t>
      </w:r>
    </w:p>
    <w:p>
      <w:proofErr w:type="spellStart"/>
      <w:r>
        <w:t>Schembera</w:t>
      </w:r>
      <w:proofErr w:type="spellEnd"/>
      <w:r>
        <w:t xml:space="preserve">, B. (2024). Schlüsselqualifikation Forschungsdatenmanagement 4/8 (SQ): Dateninfrastrukturen. Abgerufen am 30.09.2025, von </w:t>
      </w:r>
      <w:hyperlink r:id="rId20" w:history="1">
        <w:r>
          <w:rPr>
            <w:rStyle w:val="Hyperlink"/>
          </w:rPr>
          <w:t>https://www.zoerr.de/edu-sharing/components/render/7753ff28-917e-4f10-9d9b-34e392</w:t>
        </w:r>
        <w:r>
          <w:rPr>
            <w:rStyle w:val="Hyperlink"/>
          </w:rPr>
          <w:t>17cb93</w:t>
        </w:r>
      </w:hyperlink>
      <w:r>
        <w:t xml:space="preserve"> </w:t>
      </w:r>
      <w:bookmarkStart w:id="0" w:name="_GoBack"/>
      <w:bookmarkEnd w:id="0"/>
    </w:p>
    <w:p>
      <w:pPr>
        <w:pStyle w:val="berschrift1"/>
      </w:pPr>
      <w:r>
        <w:t>Weiterführende Info</w:t>
      </w:r>
    </w:p>
    <w:p>
      <w:pPr>
        <w:rPr>
          <w:lang w:val="en-US"/>
        </w:rPr>
      </w:pPr>
      <w:r>
        <w:t xml:space="preserve">Cramer, E., </w:t>
      </w:r>
      <w:proofErr w:type="spellStart"/>
      <w:r>
        <w:t>Krumreihn</w:t>
      </w:r>
      <w:proofErr w:type="spellEnd"/>
      <w:r>
        <w:t xml:space="preserve">, A., </w:t>
      </w:r>
      <w:proofErr w:type="spellStart"/>
      <w:r>
        <w:t>Schaffert</w:t>
      </w:r>
      <w:proofErr w:type="spellEnd"/>
      <w:r>
        <w:t xml:space="preserve">, C., &amp; </w:t>
      </w:r>
      <w:proofErr w:type="spellStart"/>
      <w:r>
        <w:t>Stiene</w:t>
      </w:r>
      <w:proofErr w:type="spellEnd"/>
      <w:r>
        <w:t xml:space="preserve">, M. (2024). Metadaten, Metadatenregister und Datenverknüpfungen im Gesundheitsbereich – eine Einordnung Forschung aktuell. </w:t>
      </w:r>
      <w:hyperlink r:id="rId21" w:history="1">
        <w:r>
          <w:rPr>
            <w:rStyle w:val="Hyperlink"/>
            <w:lang w:val="en-US"/>
          </w:rPr>
          <w:t>https://doi.org/10.53190/fa/202403</w:t>
        </w:r>
      </w:hyperlink>
      <w:r>
        <w:rPr>
          <w:lang w:val="en-US"/>
        </w:rPr>
        <w:t xml:space="preserve"> </w:t>
      </w:r>
    </w:p>
    <w:p>
      <w:pPr>
        <w:rPr>
          <w:lang w:val="en-US"/>
        </w:rPr>
      </w:pPr>
      <w:r>
        <w:rPr>
          <w:lang w:val="en-US"/>
        </w:rPr>
        <w:t xml:space="preserve">Data Citation Synthesis Group: Joint Declaration of Data Citation Principles. </w:t>
      </w:r>
      <w:proofErr w:type="spellStart"/>
      <w:r>
        <w:rPr>
          <w:lang w:val="en-US"/>
        </w:rPr>
        <w:t>Martone</w:t>
      </w:r>
      <w:proofErr w:type="spellEnd"/>
      <w:r>
        <w:rPr>
          <w:lang w:val="en-US"/>
        </w:rPr>
        <w:t xml:space="preserve"> M. (ed.) San Diego CA: FORCE11; 2014 </w:t>
      </w:r>
      <w:hyperlink r:id="rId22" w:history="1">
        <w:r>
          <w:rPr>
            <w:rStyle w:val="Hyperlink"/>
            <w:lang w:val="en-US"/>
          </w:rPr>
          <w:t>https://doi.org/10.25490/a97f-egyk</w:t>
        </w:r>
      </w:hyperlink>
      <w:r>
        <w:rPr>
          <w:lang w:val="en-US"/>
        </w:rPr>
        <w:t xml:space="preserve"> </w:t>
      </w:r>
      <w:r>
        <w:rPr>
          <w:lang w:val="en-US"/>
        </w:rPr>
        <w:br w:type="page"/>
      </w:r>
    </w:p>
    <w:p>
      <w:pPr>
        <w:tabs>
          <w:tab w:val="left" w:pos="1790"/>
        </w:tabs>
      </w:pPr>
      <w:r>
        <w:lastRenderedPageBreak/>
        <w:t>Das Material ist im Rahmen des Projekts „DIM.RUHR: Datenkompetenzzentrum für die interprofessionelle Nutzung von Gesundheitsdaten in der Metropole Ruhr“ (Förderkennzeichen: 16DKZ2008[A-F]) entstanden. Dementsprechend spiegelt das Material in Version 1.0 den Stand von 2025 wider.</w:t>
      </w:r>
    </w:p>
    <w:p>
      <w:r>
        <w:rPr>
          <w:b/>
          <w:bCs/>
        </w:rPr>
        <w:t xml:space="preserve">„Daten managen -  6 Publikationswege“ </w:t>
      </w:r>
      <w:r>
        <w:t>von Anne Mainz und Sven Meister.</w:t>
      </w:r>
    </w:p>
    <w:p>
      <w:r>
        <w:t>Dieses Werk und dessen Inhalt sind – sofern nicht anders angegeben – lizensiert unter CC BY 4.0. Ausgenommen aus der Lizenz sind die verwendeten Logos.</w:t>
      </w:r>
    </w:p>
    <w:p>
      <w:r>
        <w:rPr>
          <w:noProof/>
          <w:lang w:eastAsia="de-DE"/>
        </w:rPr>
        <w:drawing>
          <wp:inline distT="0" distB="0" distL="0" distR="0">
            <wp:extent cx="1143000" cy="400050"/>
            <wp:effectExtent l="0" t="0" r="0" b="0"/>
            <wp:docPr id="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7"/>
                    <pic:cNvPicPr>
                      <a:picLocks noChangeAspect="1"/>
                    </pic:cNvPicPr>
                  </pic:nvPicPr>
                  <pic:blipFill>
                    <a:blip r:embed="rId23"/>
                    <a:stretch>
                      <a:fillRect/>
                    </a:stretch>
                  </pic:blipFill>
                  <pic:spPr>
                    <a:xfrm>
                      <a:off x="0" y="0"/>
                      <a:ext cx="1143000" cy="400050"/>
                    </a:xfrm>
                    <a:prstGeom prst="rect">
                      <a:avLst/>
                    </a:prstGeom>
                  </pic:spPr>
                </pic:pic>
              </a:graphicData>
            </a:graphic>
          </wp:inline>
        </w:drawing>
      </w:r>
    </w:p>
    <w:p>
      <w:pPr>
        <w:pStyle w:val="berschrift1"/>
      </w:pPr>
      <w:r>
        <w:tab/>
      </w:r>
    </w:p>
    <w:p>
      <w:pPr>
        <w:tabs>
          <w:tab w:val="left" w:pos="1790"/>
        </w:tabs>
      </w:pPr>
    </w:p>
    <w:sectPr>
      <w:headerReference w:type="even" r:id="rId24"/>
      <w:headerReference w:type="default" r:id="rId25"/>
      <w:footerReference w:type="even" r:id="rId26"/>
      <w:footerReference w:type="default" r:id="rId27"/>
      <w:headerReference w:type="first" r:id="rId28"/>
      <w:footerReference w:type="first" r:id="rId29"/>
      <w:pgSz w:w="11906" w:h="16838"/>
      <w:pgMar w:top="1417" w:right="1417" w:bottom="1134"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uardianSans-Sem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4573125"/>
      <w:docPartObj>
        <w:docPartGallery w:val="Page Numbers (Bottom of Page)"/>
        <w:docPartUnique/>
      </w:docPartObj>
    </w:sdtPr>
    <w:sdtContent>
      <w:p>
        <w:pPr>
          <w:pStyle w:val="Fuzeile"/>
        </w:pPr>
        <w:r>
          <w:rPr>
            <w:noProof/>
            <w:lang w:eastAsia="de-DE"/>
          </w:rPr>
          <w:drawing>
            <wp:anchor distT="0" distB="0" distL="114300" distR="114300" simplePos="0" relativeHeight="251662336" behindDoc="0" locked="0" layoutInCell="1" allowOverlap="1">
              <wp:simplePos x="0" y="0"/>
              <wp:positionH relativeFrom="column">
                <wp:posOffset>3767455</wp:posOffset>
              </wp:positionH>
              <wp:positionV relativeFrom="paragraph">
                <wp:posOffset>-177165</wp:posOffset>
              </wp:positionV>
              <wp:extent cx="2832100" cy="994919"/>
              <wp:effectExtent l="0" t="0" r="6350" b="0"/>
              <wp:wrapThrough wrapText="bothSides">
                <wp:wrapPolygon edited="0">
                  <wp:start x="0" y="0"/>
                  <wp:lineTo x="0" y="21103"/>
                  <wp:lineTo x="21503" y="21103"/>
                  <wp:lineTo x="21503" y="0"/>
                  <wp:lineTo x="0" y="0"/>
                </wp:wrapPolygon>
              </wp:wrapThrough>
              <wp:docPr id="7" name="Grafik 7" descr="C:\Users\amainz\Desktop\BMFTR-E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ainz\Desktop\BMFTR-EU-Logo.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6283" t="13483" b="12903"/>
                      <a:stretch/>
                    </pic:blipFill>
                    <pic:spPr bwMode="auto">
                      <a:xfrm>
                        <a:off x="0" y="0"/>
                        <a:ext cx="2832100" cy="994919"/>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Pr>
            <w:noProof/>
          </w:rPr>
          <w:t>3</w:t>
        </w:r>
        <w:r>
          <w:fldChar w:fldCharType="end"/>
        </w:r>
      </w:p>
    </w:sdtContent>
  </w:sdt>
  <w:p>
    <w:pP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jc w:val="right"/>
    </w:pPr>
    <w:r>
      <w:rPr>
        <w:noProof/>
        <w:lang w:eastAsia="de-DE"/>
      </w:rPr>
      <w:drawing>
        <wp:anchor distT="0" distB="0" distL="114300" distR="114300" simplePos="0" relativeHeight="251661312" behindDoc="0" locked="0" layoutInCell="1" allowOverlap="1">
          <wp:simplePos x="0" y="0"/>
          <wp:positionH relativeFrom="column">
            <wp:posOffset>3907155</wp:posOffset>
          </wp:positionH>
          <wp:positionV relativeFrom="paragraph">
            <wp:posOffset>-382905</wp:posOffset>
          </wp:positionV>
          <wp:extent cx="2726297" cy="793750"/>
          <wp:effectExtent l="0" t="0" r="0" b="6350"/>
          <wp:wrapThrough wrapText="bothSides">
            <wp:wrapPolygon edited="0">
              <wp:start x="1811" y="0"/>
              <wp:lineTo x="0" y="4147"/>
              <wp:lineTo x="0" y="18662"/>
              <wp:lineTo x="1057" y="21254"/>
              <wp:lineTo x="1811" y="21254"/>
              <wp:lineTo x="4075" y="21254"/>
              <wp:lineTo x="4226" y="21254"/>
              <wp:lineTo x="5887" y="17107"/>
              <wp:lineTo x="21434" y="15034"/>
              <wp:lineTo x="21434" y="6739"/>
              <wp:lineTo x="3170" y="0"/>
              <wp:lineTo x="1811" y="0"/>
            </wp:wrapPolygon>
          </wp:wrapThrough>
          <wp:docPr id="6"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26297" cy="79375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571EB"/>
    <w:multiLevelType w:val="hybridMultilevel"/>
    <w:tmpl w:val="0E58BA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5A70662"/>
    <w:multiLevelType w:val="hybridMultilevel"/>
    <w:tmpl w:val="25CA44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686530"/>
    <w:multiLevelType w:val="hybridMultilevel"/>
    <w:tmpl w:val="83F853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3363D86"/>
    <w:multiLevelType w:val="hybridMultilevel"/>
    <w:tmpl w:val="FFDEB26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14CE6577"/>
    <w:multiLevelType w:val="hybridMultilevel"/>
    <w:tmpl w:val="4D0A109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4F94F04"/>
    <w:multiLevelType w:val="hybridMultilevel"/>
    <w:tmpl w:val="33E655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6D0549E"/>
    <w:multiLevelType w:val="hybridMultilevel"/>
    <w:tmpl w:val="DD2217F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16E21249"/>
    <w:multiLevelType w:val="hybridMultilevel"/>
    <w:tmpl w:val="67886B4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1A2373B3"/>
    <w:multiLevelType w:val="hybridMultilevel"/>
    <w:tmpl w:val="DEDC51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1F567FF"/>
    <w:multiLevelType w:val="hybridMultilevel"/>
    <w:tmpl w:val="EDBE591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256E28F2"/>
    <w:multiLevelType w:val="hybridMultilevel"/>
    <w:tmpl w:val="4D0A109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68508A0"/>
    <w:multiLevelType w:val="hybridMultilevel"/>
    <w:tmpl w:val="32CAC5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2C531B34"/>
    <w:multiLevelType w:val="hybridMultilevel"/>
    <w:tmpl w:val="7C2C421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CCB2ACA"/>
    <w:multiLevelType w:val="hybridMultilevel"/>
    <w:tmpl w:val="6A825BA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33893F58"/>
    <w:multiLevelType w:val="hybridMultilevel"/>
    <w:tmpl w:val="7EBA2046"/>
    <w:lvl w:ilvl="0" w:tplc="A078C1F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8C459C3"/>
    <w:multiLevelType w:val="hybridMultilevel"/>
    <w:tmpl w:val="82624D4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4945135E"/>
    <w:multiLevelType w:val="hybridMultilevel"/>
    <w:tmpl w:val="EACE9D6A"/>
    <w:lvl w:ilvl="0" w:tplc="A078C1F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FFC2F52"/>
    <w:multiLevelType w:val="hybridMultilevel"/>
    <w:tmpl w:val="37A64DD6"/>
    <w:lvl w:ilvl="0" w:tplc="A078C1F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5ED3BEE"/>
    <w:multiLevelType w:val="hybridMultilevel"/>
    <w:tmpl w:val="A184CE4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81A23DD"/>
    <w:multiLevelType w:val="hybridMultilevel"/>
    <w:tmpl w:val="2D0810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8F31D93"/>
    <w:multiLevelType w:val="hybridMultilevel"/>
    <w:tmpl w:val="B65C9E7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62C01FB7"/>
    <w:multiLevelType w:val="hybridMultilevel"/>
    <w:tmpl w:val="BF6408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D7154EB"/>
    <w:multiLevelType w:val="hybridMultilevel"/>
    <w:tmpl w:val="FCFE376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D954F4C"/>
    <w:multiLevelType w:val="hybridMultilevel"/>
    <w:tmpl w:val="C40CB092"/>
    <w:lvl w:ilvl="0" w:tplc="A078C1F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EFF7797"/>
    <w:multiLevelType w:val="hybridMultilevel"/>
    <w:tmpl w:val="7786DCD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6F317F9C"/>
    <w:multiLevelType w:val="hybridMultilevel"/>
    <w:tmpl w:val="C7A236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2950034"/>
    <w:multiLevelType w:val="hybridMultilevel"/>
    <w:tmpl w:val="F5D450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A042D74"/>
    <w:multiLevelType w:val="hybridMultilevel"/>
    <w:tmpl w:val="E4148D2C"/>
    <w:lvl w:ilvl="0" w:tplc="A078C1F6">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CAA4A77"/>
    <w:multiLevelType w:val="hybridMultilevel"/>
    <w:tmpl w:val="A13E7364"/>
    <w:lvl w:ilvl="0" w:tplc="37505F7C">
      <w:start w:val="5"/>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0"/>
  </w:num>
  <w:num w:numId="2">
    <w:abstractNumId w:val="28"/>
  </w:num>
  <w:num w:numId="3">
    <w:abstractNumId w:val="24"/>
  </w:num>
  <w:num w:numId="4">
    <w:abstractNumId w:val="22"/>
  </w:num>
  <w:num w:numId="5">
    <w:abstractNumId w:val="5"/>
  </w:num>
  <w:num w:numId="6">
    <w:abstractNumId w:val="12"/>
  </w:num>
  <w:num w:numId="7">
    <w:abstractNumId w:val="19"/>
  </w:num>
  <w:num w:numId="8">
    <w:abstractNumId w:val="26"/>
  </w:num>
  <w:num w:numId="9">
    <w:abstractNumId w:val="25"/>
  </w:num>
  <w:num w:numId="10">
    <w:abstractNumId w:val="21"/>
  </w:num>
  <w:num w:numId="11">
    <w:abstractNumId w:val="13"/>
  </w:num>
  <w:num w:numId="12">
    <w:abstractNumId w:val="0"/>
  </w:num>
  <w:num w:numId="13">
    <w:abstractNumId w:val="2"/>
  </w:num>
  <w:num w:numId="14">
    <w:abstractNumId w:val="8"/>
  </w:num>
  <w:num w:numId="15">
    <w:abstractNumId w:val="16"/>
  </w:num>
  <w:num w:numId="16">
    <w:abstractNumId w:val="10"/>
  </w:num>
  <w:num w:numId="17">
    <w:abstractNumId w:val="27"/>
  </w:num>
  <w:num w:numId="18">
    <w:abstractNumId w:val="14"/>
  </w:num>
  <w:num w:numId="19">
    <w:abstractNumId w:val="17"/>
  </w:num>
  <w:num w:numId="20">
    <w:abstractNumId w:val="23"/>
  </w:num>
  <w:num w:numId="21">
    <w:abstractNumId w:val="4"/>
  </w:num>
  <w:num w:numId="22">
    <w:abstractNumId w:val="18"/>
  </w:num>
  <w:num w:numId="23">
    <w:abstractNumId w:val="1"/>
  </w:num>
  <w:num w:numId="24">
    <w:abstractNumId w:val="15"/>
  </w:num>
  <w:num w:numId="25">
    <w:abstractNumId w:val="3"/>
  </w:num>
  <w:num w:numId="26">
    <w:abstractNumId w:val="11"/>
  </w:num>
  <w:num w:numId="27">
    <w:abstractNumId w:val="7"/>
  </w:num>
  <w:num w:numId="28">
    <w:abstractNumId w:val="9"/>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19C81A7-49D0-4F21-873B-0CFFB4013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rPr>
  </w:style>
  <w:style w:type="paragraph" w:styleId="berschrift1">
    <w:name w:val="heading 1"/>
    <w:basedOn w:val="Standard"/>
    <w:next w:val="Standard"/>
    <w:link w:val="berschrift1Zchn"/>
    <w:uiPriority w:val="9"/>
    <w:qFormat/>
    <w:pPr>
      <w:keepNext/>
      <w:keepLines/>
      <w:spacing w:before="240" w:after="0"/>
      <w:outlineLvl w:val="0"/>
    </w:pPr>
    <w:rPr>
      <w:rFonts w:eastAsiaTheme="majorEastAsia" w:cstheme="majorBidi"/>
      <w:b/>
      <w:sz w:val="32"/>
      <w:szCs w:val="32"/>
    </w:rPr>
  </w:style>
  <w:style w:type="paragraph" w:styleId="berschrift2">
    <w:name w:val="heading 2"/>
    <w:basedOn w:val="Standard"/>
    <w:next w:val="Standard"/>
    <w:link w:val="berschrift2Zchn"/>
    <w:uiPriority w:val="9"/>
    <w:unhideWhenUsed/>
    <w:qFormat/>
    <w:pPr>
      <w:keepNext/>
      <w:keepLines/>
      <w:spacing w:before="40" w:after="0"/>
      <w:outlineLvl w:val="1"/>
    </w:pPr>
    <w:rPr>
      <w:rFonts w:eastAsiaTheme="majorEastAsia" w:cstheme="majorBidi"/>
      <w:b/>
      <w:sz w:val="26"/>
      <w:szCs w:val="26"/>
    </w:rPr>
  </w:style>
  <w:style w:type="paragraph" w:styleId="berschrift3">
    <w:name w:val="heading 3"/>
    <w:basedOn w:val="Standard"/>
    <w:next w:val="Standard"/>
    <w:link w:val="berschrift3Zchn"/>
    <w:uiPriority w:val="9"/>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character" w:styleId="Hyperlink">
    <w:name w:val="Hyperlink"/>
    <w:basedOn w:val="Absatz-Standardschriftart"/>
    <w:uiPriority w:val="99"/>
    <w:unhideWhenUsed/>
    <w:rPr>
      <w:color w:val="0563C1" w:themeColor="hyperlink"/>
      <w:u w:val="single"/>
    </w:rPr>
  </w:style>
  <w:style w:type="paragraph" w:styleId="StandardWeb">
    <w:name w:val="Normal (Web)"/>
    <w:basedOn w:val="Standard"/>
    <w:uiPriority w:val="99"/>
    <w:semiHidden/>
    <w:unhideWhenUsed/>
    <w:pPr>
      <w:spacing w:before="100" w:beforeAutospacing="1" w:after="100" w:afterAutospacing="1" w:line="240" w:lineRule="auto"/>
    </w:pPr>
    <w:rPr>
      <w:rFonts w:ascii="Times New Roman" w:eastAsiaTheme="minorEastAsia" w:hAnsi="Times New Roman" w:cs="Times New Roman"/>
      <w:sz w:val="24"/>
      <w:szCs w:val="24"/>
      <w:lang w:eastAsia="de-DE"/>
    </w:rPr>
  </w:style>
  <w:style w:type="character" w:customStyle="1" w:styleId="berschrift1Zchn">
    <w:name w:val="Überschrift 1 Zchn"/>
    <w:basedOn w:val="Absatz-Standardschriftart"/>
    <w:link w:val="berschrift1"/>
    <w:uiPriority w:val="9"/>
    <w:rPr>
      <w:rFonts w:ascii="Arial" w:eastAsiaTheme="majorEastAsia" w:hAnsi="Arial" w:cstheme="majorBidi"/>
      <w:b/>
      <w:sz w:val="32"/>
      <w:szCs w:val="32"/>
    </w:rPr>
  </w:style>
  <w:style w:type="character" w:customStyle="1" w:styleId="berschrift2Zchn">
    <w:name w:val="Überschrift 2 Zchn"/>
    <w:basedOn w:val="Absatz-Standardschriftart"/>
    <w:link w:val="berschrift2"/>
    <w:uiPriority w:val="9"/>
    <w:rPr>
      <w:rFonts w:ascii="Arial" w:eastAsiaTheme="majorEastAsia" w:hAnsi="Arial" w:cstheme="majorBidi"/>
      <w:b/>
      <w:sz w:val="26"/>
      <w:szCs w:val="26"/>
    </w:rPr>
  </w:style>
  <w:style w:type="paragraph" w:styleId="Titel">
    <w:name w:val="Title"/>
    <w:basedOn w:val="Standard"/>
    <w:next w:val="Standard"/>
    <w:link w:val="TitelZchn"/>
    <w:uiPriority w:val="10"/>
    <w:qFormat/>
    <w:pPr>
      <w:spacing w:after="0" w:line="240" w:lineRule="auto"/>
      <w:contextualSpacing/>
      <w:jc w:val="center"/>
    </w:pPr>
    <w:rPr>
      <w:rFonts w:eastAsiaTheme="majorEastAsia" w:cstheme="majorBidi"/>
      <w:spacing w:val="-10"/>
      <w:kern w:val="28"/>
      <w:sz w:val="56"/>
      <w:szCs w:val="56"/>
    </w:rPr>
  </w:style>
  <w:style w:type="character" w:customStyle="1" w:styleId="TitelZchn">
    <w:name w:val="Titel Zchn"/>
    <w:basedOn w:val="Absatz-Standardschriftart"/>
    <w:link w:val="Titel"/>
    <w:uiPriority w:val="10"/>
    <w:rPr>
      <w:rFonts w:ascii="Arial" w:eastAsiaTheme="majorEastAsia" w:hAnsi="Arial" w:cstheme="majorBidi"/>
      <w:spacing w:val="-10"/>
      <w:kern w:val="28"/>
      <w:sz w:val="56"/>
      <w:szCs w:val="56"/>
    </w:rPr>
  </w:style>
  <w:style w:type="paragraph" w:styleId="Untertitel">
    <w:name w:val="Subtitle"/>
    <w:basedOn w:val="Standard"/>
    <w:next w:val="Standard"/>
    <w:link w:val="UntertitelZchn"/>
    <w:uiPriority w:val="11"/>
    <w:qFormat/>
    <w:pPr>
      <w:numPr>
        <w:ilvl w:val="1"/>
      </w:numPr>
      <w:jc w:val="center"/>
    </w:pPr>
    <w:rPr>
      <w:rFonts w:eastAsiaTheme="minorEastAsia"/>
      <w:i/>
      <w:spacing w:val="15"/>
    </w:rPr>
  </w:style>
  <w:style w:type="character" w:customStyle="1" w:styleId="UntertitelZchn">
    <w:name w:val="Untertitel Zchn"/>
    <w:basedOn w:val="Absatz-Standardschriftart"/>
    <w:link w:val="Untertitel"/>
    <w:uiPriority w:val="11"/>
    <w:rPr>
      <w:rFonts w:ascii="Arial" w:eastAsiaTheme="minorEastAsia" w:hAnsi="Arial"/>
      <w:i/>
      <w:spacing w:val="15"/>
    </w:rPr>
  </w:style>
  <w:style w:type="paragraph" w:styleId="KeinLeerraum">
    <w:name w:val="No Spacing"/>
    <w:uiPriority w:val="1"/>
    <w:qFormat/>
    <w:pPr>
      <w:spacing w:after="0" w:line="240" w:lineRule="auto"/>
    </w:pPr>
    <w:rPr>
      <w:rFonts w:ascii="Arial" w:hAnsi="Arial"/>
    </w:rPr>
  </w:style>
  <w:style w:type="character" w:styleId="SchwacheHervorhebung">
    <w:name w:val="Subtle Emphasis"/>
    <w:basedOn w:val="Absatz-Standardschriftart"/>
    <w:uiPriority w:val="19"/>
    <w:qFormat/>
    <w:rPr>
      <w:rFonts w:ascii="Arial" w:hAnsi="Arial"/>
      <w:i/>
      <w:iCs/>
      <w:color w:val="auto"/>
      <w:sz w:val="22"/>
    </w:rPr>
  </w:style>
  <w:style w:type="character" w:styleId="Hervorhebung">
    <w:name w:val="Emphasis"/>
    <w:basedOn w:val="Absatz-Standardschriftart"/>
    <w:uiPriority w:val="20"/>
    <w:qFormat/>
    <w:rPr>
      <w:rFonts w:ascii="Arial" w:hAnsi="Arial"/>
      <w:b/>
      <w:i/>
      <w:iCs/>
      <w:sz w:val="22"/>
    </w:rPr>
  </w:style>
  <w:style w:type="character" w:styleId="IntensiveHervorhebung">
    <w:name w:val="Intense Emphasis"/>
    <w:basedOn w:val="Absatz-Standardschriftart"/>
    <w:uiPriority w:val="21"/>
    <w:qFormat/>
    <w:rPr>
      <w:rFonts w:ascii="Arial" w:hAnsi="Arial"/>
      <w:b/>
      <w:i/>
      <w:iCs/>
      <w:color w:val="auto"/>
      <w:sz w:val="24"/>
    </w:rPr>
  </w:style>
  <w:style w:type="paragraph" w:styleId="Zitat">
    <w:name w:val="Quote"/>
    <w:basedOn w:val="Standard"/>
    <w:next w:val="Standard"/>
    <w:link w:val="ZitatZchn"/>
    <w:uiPriority w:val="29"/>
    <w:qFormat/>
    <w:pPr>
      <w:spacing w:before="200"/>
      <w:ind w:left="864" w:right="864"/>
      <w:jc w:val="center"/>
    </w:pPr>
    <w:rPr>
      <w:i/>
      <w:iCs/>
    </w:rPr>
  </w:style>
  <w:style w:type="character" w:customStyle="1" w:styleId="ZitatZchn">
    <w:name w:val="Zitat Zchn"/>
    <w:basedOn w:val="Absatz-Standardschriftart"/>
    <w:link w:val="Zitat"/>
    <w:uiPriority w:val="29"/>
    <w:rPr>
      <w:rFonts w:ascii="Arial" w:hAnsi="Arial"/>
      <w:i/>
      <w:iCs/>
    </w:rPr>
  </w:style>
  <w:style w:type="paragraph" w:styleId="IntensivesZitat">
    <w:name w:val="Intense Quote"/>
    <w:basedOn w:val="Standard"/>
    <w:next w:val="Standard"/>
    <w:link w:val="IntensivesZitatZchn"/>
    <w:uiPriority w:val="30"/>
    <w:qFormat/>
    <w:pPr>
      <w:pBdr>
        <w:top w:val="single" w:sz="4" w:space="10" w:color="000000" w:themeColor="text1"/>
        <w:bottom w:val="single" w:sz="4" w:space="10" w:color="000000" w:themeColor="text1"/>
      </w:pBdr>
      <w:spacing w:before="360" w:after="360"/>
      <w:ind w:left="864" w:right="864"/>
      <w:jc w:val="center"/>
    </w:pPr>
    <w:rPr>
      <w:i/>
      <w:iCs/>
    </w:rPr>
  </w:style>
  <w:style w:type="character" w:customStyle="1" w:styleId="IntensivesZitatZchn">
    <w:name w:val="Intensives Zitat Zchn"/>
    <w:basedOn w:val="Absatz-Standardschriftart"/>
    <w:link w:val="IntensivesZitat"/>
    <w:uiPriority w:val="30"/>
    <w:rPr>
      <w:rFonts w:ascii="Arial" w:hAnsi="Arial"/>
      <w:i/>
      <w:iCs/>
    </w:rPr>
  </w:style>
  <w:style w:type="character" w:styleId="SchwacherVerweis">
    <w:name w:val="Subtle Reference"/>
    <w:basedOn w:val="Absatz-Standardschriftart"/>
    <w:uiPriority w:val="31"/>
    <w:qFormat/>
    <w:rPr>
      <w:rFonts w:ascii="Arial" w:hAnsi="Arial"/>
      <w:smallCaps/>
      <w:color w:val="auto"/>
      <w:sz w:val="22"/>
    </w:rPr>
  </w:style>
  <w:style w:type="character" w:styleId="IntensiverVerweis">
    <w:name w:val="Intense Reference"/>
    <w:basedOn w:val="Absatz-Standardschriftart"/>
    <w:uiPriority w:val="32"/>
    <w:qFormat/>
    <w:rPr>
      <w:rFonts w:ascii="Arial" w:hAnsi="Arial"/>
      <w:b/>
      <w:bCs/>
      <w:smallCaps/>
      <w:color w:val="000000" w:themeColor="text1"/>
      <w:spacing w:val="5"/>
      <w:sz w:val="22"/>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rFonts w:ascii="Arial" w:hAnsi="Arial"/>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hAnsi="Arial"/>
      <w:b/>
      <w:bCs/>
      <w:sz w:val="20"/>
      <w:szCs w:val="20"/>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customStyle="1" w:styleId="berschrift3Zchn">
    <w:name w:val="Überschrift 3 Zchn"/>
    <w:basedOn w:val="Absatz-Standardschriftart"/>
    <w:link w:val="berschrift3"/>
    <w:uiPriority w:val="9"/>
    <w:rPr>
      <w:rFonts w:asciiTheme="majorHAnsi" w:eastAsiaTheme="majorEastAsia" w:hAnsiTheme="majorHAnsi" w:cstheme="majorBidi"/>
      <w:color w:val="1F4D78" w:themeColor="accent1" w:themeShade="7F"/>
      <w:sz w:val="24"/>
      <w:szCs w:val="24"/>
    </w:rPr>
  </w:style>
  <w:style w:type="paragraph" w:styleId="Listenabsatz">
    <w:name w:val="List Paragraph"/>
    <w:basedOn w:val="Standard"/>
    <w:uiPriority w:val="34"/>
    <w:qFormat/>
    <w:pPr>
      <w:ind w:left="720"/>
      <w:contextualSpacing/>
    </w:p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page-title-main">
    <w:name w:val="mw-page-title-main"/>
    <w:basedOn w:val="Absatz-Standardschriftart"/>
  </w:style>
  <w:style w:type="character" w:styleId="BesuchterLink">
    <w:name w:val="FollowedHyperlink"/>
    <w:basedOn w:val="Absatz-Standardschriftart"/>
    <w:uiPriority w:val="99"/>
    <w:semiHidden/>
    <w:unhideWhenUsed/>
    <w:rPr>
      <w:color w:val="954F72" w:themeColor="followedHyperlink"/>
      <w:u w:val="single"/>
    </w:rPr>
  </w:style>
  <w:style w:type="paragraph" w:customStyle="1" w:styleId="my-2">
    <w:name w:val="my-2"/>
    <w:basedOn w:val="Standard"/>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Pr>
      <w:b/>
      <w:bCs/>
    </w:rPr>
  </w:style>
  <w:style w:type="character" w:customStyle="1" w:styleId="attributecolor">
    <w:name w:val="attributecolor"/>
    <w:basedOn w:val="Absatz-Standardschriftart"/>
  </w:style>
  <w:style w:type="character" w:customStyle="1" w:styleId="attributevaluecolor">
    <w:name w:val="attributevaluecolor"/>
    <w:basedOn w:val="Absatz-Standardschriftart"/>
  </w:style>
  <w:style w:type="table" w:customStyle="1" w:styleId="Tabellenraster1">
    <w:name w:val="Tabellenraster1"/>
    <w:basedOn w:val="NormaleTabelle"/>
    <w:next w:val="Tabellenraster"/>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35213">
      <w:bodyDiv w:val="1"/>
      <w:marLeft w:val="0"/>
      <w:marRight w:val="0"/>
      <w:marTop w:val="0"/>
      <w:marBottom w:val="0"/>
      <w:divBdr>
        <w:top w:val="none" w:sz="0" w:space="0" w:color="auto"/>
        <w:left w:val="none" w:sz="0" w:space="0" w:color="auto"/>
        <w:bottom w:val="none" w:sz="0" w:space="0" w:color="auto"/>
        <w:right w:val="none" w:sz="0" w:space="0" w:color="auto"/>
      </w:divBdr>
    </w:div>
    <w:div w:id="116993923">
      <w:bodyDiv w:val="1"/>
      <w:marLeft w:val="0"/>
      <w:marRight w:val="0"/>
      <w:marTop w:val="0"/>
      <w:marBottom w:val="0"/>
      <w:divBdr>
        <w:top w:val="none" w:sz="0" w:space="0" w:color="auto"/>
        <w:left w:val="none" w:sz="0" w:space="0" w:color="auto"/>
        <w:bottom w:val="none" w:sz="0" w:space="0" w:color="auto"/>
        <w:right w:val="none" w:sz="0" w:space="0" w:color="auto"/>
      </w:divBdr>
    </w:div>
    <w:div w:id="580408486">
      <w:bodyDiv w:val="1"/>
      <w:marLeft w:val="0"/>
      <w:marRight w:val="0"/>
      <w:marTop w:val="0"/>
      <w:marBottom w:val="0"/>
      <w:divBdr>
        <w:top w:val="none" w:sz="0" w:space="0" w:color="auto"/>
        <w:left w:val="none" w:sz="0" w:space="0" w:color="auto"/>
        <w:bottom w:val="none" w:sz="0" w:space="0" w:color="auto"/>
        <w:right w:val="none" w:sz="0" w:space="0" w:color="auto"/>
      </w:divBdr>
    </w:div>
    <w:div w:id="607464619">
      <w:bodyDiv w:val="1"/>
      <w:marLeft w:val="0"/>
      <w:marRight w:val="0"/>
      <w:marTop w:val="0"/>
      <w:marBottom w:val="0"/>
      <w:divBdr>
        <w:top w:val="none" w:sz="0" w:space="0" w:color="auto"/>
        <w:left w:val="none" w:sz="0" w:space="0" w:color="auto"/>
        <w:bottom w:val="none" w:sz="0" w:space="0" w:color="auto"/>
        <w:right w:val="none" w:sz="0" w:space="0" w:color="auto"/>
      </w:divBdr>
    </w:div>
    <w:div w:id="932787213">
      <w:bodyDiv w:val="1"/>
      <w:marLeft w:val="0"/>
      <w:marRight w:val="0"/>
      <w:marTop w:val="0"/>
      <w:marBottom w:val="0"/>
      <w:divBdr>
        <w:top w:val="none" w:sz="0" w:space="0" w:color="auto"/>
        <w:left w:val="none" w:sz="0" w:space="0" w:color="auto"/>
        <w:bottom w:val="none" w:sz="0" w:space="0" w:color="auto"/>
        <w:right w:val="none" w:sz="0" w:space="0" w:color="auto"/>
      </w:divBdr>
      <w:divsChild>
        <w:div w:id="1612517015">
          <w:marLeft w:val="0"/>
          <w:marRight w:val="0"/>
          <w:marTop w:val="0"/>
          <w:marBottom w:val="0"/>
          <w:divBdr>
            <w:top w:val="none" w:sz="0" w:space="0" w:color="auto"/>
            <w:left w:val="none" w:sz="0" w:space="0" w:color="auto"/>
            <w:bottom w:val="none" w:sz="0" w:space="0" w:color="auto"/>
            <w:right w:val="none" w:sz="0" w:space="0" w:color="auto"/>
          </w:divBdr>
        </w:div>
      </w:divsChild>
    </w:div>
    <w:div w:id="1368217980">
      <w:bodyDiv w:val="1"/>
      <w:marLeft w:val="0"/>
      <w:marRight w:val="0"/>
      <w:marTop w:val="0"/>
      <w:marBottom w:val="0"/>
      <w:divBdr>
        <w:top w:val="none" w:sz="0" w:space="0" w:color="auto"/>
        <w:left w:val="none" w:sz="0" w:space="0" w:color="auto"/>
        <w:bottom w:val="none" w:sz="0" w:space="0" w:color="auto"/>
        <w:right w:val="none" w:sz="0" w:space="0" w:color="auto"/>
      </w:divBdr>
    </w:div>
    <w:div w:id="1374428008">
      <w:bodyDiv w:val="1"/>
      <w:marLeft w:val="0"/>
      <w:marRight w:val="0"/>
      <w:marTop w:val="0"/>
      <w:marBottom w:val="0"/>
      <w:divBdr>
        <w:top w:val="none" w:sz="0" w:space="0" w:color="auto"/>
        <w:left w:val="none" w:sz="0" w:space="0" w:color="auto"/>
        <w:bottom w:val="none" w:sz="0" w:space="0" w:color="auto"/>
        <w:right w:val="none" w:sz="0" w:space="0" w:color="auto"/>
      </w:divBdr>
    </w:div>
    <w:div w:id="1756172426">
      <w:bodyDiv w:val="1"/>
      <w:marLeft w:val="0"/>
      <w:marRight w:val="0"/>
      <w:marTop w:val="0"/>
      <w:marBottom w:val="0"/>
      <w:divBdr>
        <w:top w:val="none" w:sz="0" w:space="0" w:color="auto"/>
        <w:left w:val="none" w:sz="0" w:space="0" w:color="auto"/>
        <w:bottom w:val="none" w:sz="0" w:space="0" w:color="auto"/>
        <w:right w:val="none" w:sz="0" w:space="0" w:color="auto"/>
      </w:divBdr>
    </w:div>
    <w:div w:id="1894732725">
      <w:bodyDiv w:val="1"/>
      <w:marLeft w:val="0"/>
      <w:marRight w:val="0"/>
      <w:marTop w:val="0"/>
      <w:marBottom w:val="0"/>
      <w:divBdr>
        <w:top w:val="none" w:sz="0" w:space="0" w:color="auto"/>
        <w:left w:val="none" w:sz="0" w:space="0" w:color="auto"/>
        <w:bottom w:val="none" w:sz="0" w:space="0" w:color="auto"/>
        <w:right w:val="none" w:sz="0" w:space="0" w:color="auto"/>
      </w:divBdr>
      <w:divsChild>
        <w:div w:id="95445876">
          <w:marLeft w:val="0"/>
          <w:marRight w:val="0"/>
          <w:marTop w:val="0"/>
          <w:marBottom w:val="0"/>
          <w:divBdr>
            <w:top w:val="none" w:sz="0" w:space="0" w:color="auto"/>
            <w:left w:val="none" w:sz="0" w:space="0" w:color="auto"/>
            <w:bottom w:val="none" w:sz="0" w:space="0" w:color="auto"/>
            <w:right w:val="none" w:sz="0" w:space="0" w:color="auto"/>
          </w:divBdr>
        </w:div>
      </w:divsChild>
    </w:div>
    <w:div w:id="1996953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penhealthdata.metajnl.com/" TargetMode="External"/><Relationship Id="rId13" Type="http://schemas.openxmlformats.org/officeDocument/2006/relationships/hyperlink" Target="https://www.gesund-fdm.de/daten-nachnutzen-repositorien/" TargetMode="External"/><Relationship Id="rId18" Type="http://schemas.openxmlformats.org/officeDocument/2006/relationships/hyperlink" Target="https://www.twillo.de/edu-sharing/components/render/01887843-1814-42e6-9ad5-6941a88d5c5a"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doi.org/10.53190/fa/202403" TargetMode="External"/><Relationship Id="rId7" Type="http://schemas.openxmlformats.org/officeDocument/2006/relationships/hyperlink" Target="http://www.nature.com/sdata/about" TargetMode="External"/><Relationship Id="rId12" Type="http://schemas.openxmlformats.org/officeDocument/2006/relationships/hyperlink" Target="https://v2.sherpa.ac.uk/opendoar/" TargetMode="External"/><Relationship Id="rId17" Type="http://schemas.openxmlformats.org/officeDocument/2006/relationships/hyperlink" Target="https://blog.tib.eu/2022/02/15/data-papers-eine-ode-an-die-daten/"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forschungsdaten.info/themen/veroeffentlichen-und-archivieren/repositorien/" TargetMode="External"/><Relationship Id="rId20" Type="http://schemas.openxmlformats.org/officeDocument/2006/relationships/hyperlink" Target="https://www.zoerr.de/edu-sharing/components/render/7753ff28-917e-4f10-9d9b-34e39217cb93" TargetMode="External"/><Relationship Id="rId29"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oar.eprints.org/"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landesinitiativefdmnrw.github.io/FDMatStudium/thk/texte/VL_09_Finden.html" TargetMode="External"/><Relationship Id="rId23" Type="http://schemas.openxmlformats.org/officeDocument/2006/relationships/image" Target="media/image1.png"/><Relationship Id="rId28" Type="http://schemas.openxmlformats.org/officeDocument/2006/relationships/header" Target="header3.xml"/><Relationship Id="rId10" Type="http://schemas.openxmlformats.org/officeDocument/2006/relationships/hyperlink" Target="http://www.re3data.org/" TargetMode="External"/><Relationship Id="rId19" Type="http://schemas.openxmlformats.org/officeDocument/2006/relationships/hyperlink" Target="https://doi.org/10.5281/zenodo.7936966"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25490/a97f-egyk" TargetMode="External"/><Relationship Id="rId14" Type="http://schemas.openxmlformats.org/officeDocument/2006/relationships/hyperlink" Target="https://digital-health-factory.ruhr/projekte/sozialmedizinisches-metadatenregister/" TargetMode="External"/><Relationship Id="rId22" Type="http://schemas.openxmlformats.org/officeDocument/2006/relationships/hyperlink" Target="https://doi.org/10.25490/a97f-egyk" TargetMode="External"/><Relationship Id="rId27" Type="http://schemas.openxmlformats.org/officeDocument/2006/relationships/footer" Target="footer2.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1610</Words>
  <Characters>10147</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Company>Universität Witten/Herdecke</Company>
  <LinksUpToDate>false</LinksUpToDate>
  <CharactersWithSpaces>11734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Mainz, Anne</dc:creator>
  <cp:keywords/>
  <dc:description/>
  <cp:lastModifiedBy>Mainz, Anne</cp:lastModifiedBy>
  <cp:revision>9</cp:revision>
  <cp:lastPrinted>2025-10-20T08:18:00Z</cp:lastPrinted>
  <dcterms:created xsi:type="dcterms:W3CDTF">2025-10-07T15:57:00Z</dcterms:created>
  <dcterms:modified xsi:type="dcterms:W3CDTF">2025-10-20T09:21:00Z</dcterms:modified>
</cp:coreProperties>
</file>