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3.2 Metadatenstandards</w:t>
      </w:r>
    </w:p>
    <w:p>
      <w:pPr>
        <w:pStyle w:val="Untertitel"/>
      </w:pPr>
      <w:r>
        <w:t>Daten managen – 3 Metadaten</w:t>
      </w:r>
    </w:p>
    <w:p>
      <w:pPr>
        <w:pStyle w:val="my-2"/>
        <w:jc w:val="both"/>
        <w:rPr>
          <w:rFonts w:ascii="Arial" w:hAnsi="Arial" w:cs="Arial"/>
          <w:sz w:val="22"/>
        </w:rPr>
      </w:pPr>
      <w:r>
        <w:rPr>
          <w:rFonts w:ascii="Arial" w:hAnsi="Arial" w:cs="Arial"/>
          <w:sz w:val="22"/>
        </w:rPr>
        <w:t xml:space="preserve">Der Plan unserer Versorgungsforscherin ist klar: Metadaten müssen her! Aber welche? Sie stellt fest, dass es gar nicht so einfach ist, zu entscheiden welche Informationen wichtig sind, um die Daten passend zu beschreiben. Die </w:t>
      </w:r>
      <w:proofErr w:type="spellStart"/>
      <w:r>
        <w:rPr>
          <w:rFonts w:ascii="Arial" w:hAnsi="Arial" w:cs="Arial"/>
          <w:sz w:val="22"/>
        </w:rPr>
        <w:t>Befragungstranskripte</w:t>
      </w:r>
      <w:proofErr w:type="spellEnd"/>
      <w:r>
        <w:rPr>
          <w:rFonts w:ascii="Arial" w:hAnsi="Arial" w:cs="Arial"/>
          <w:sz w:val="22"/>
        </w:rPr>
        <w:t xml:space="preserve"> brauchen doch ganz andere Metadaten als die </w:t>
      </w:r>
      <w:proofErr w:type="spellStart"/>
      <w:proofErr w:type="gramStart"/>
      <w:r>
        <w:rPr>
          <w:rFonts w:ascii="Arial" w:hAnsi="Arial" w:cs="Arial"/>
          <w:sz w:val="22"/>
        </w:rPr>
        <w:t>Patient:innenakten</w:t>
      </w:r>
      <w:proofErr w:type="spellEnd"/>
      <w:proofErr w:type="gramEnd"/>
      <w:r>
        <w:rPr>
          <w:rFonts w:ascii="Arial" w:hAnsi="Arial" w:cs="Arial"/>
          <w:sz w:val="22"/>
        </w:rPr>
        <w:t>. Sie recherchiert nach Vorlagen für passende Metadaten und findet eine große Auswahl.</w:t>
      </w:r>
    </w:p>
    <w:p>
      <w:pPr>
        <w:pStyle w:val="my-2"/>
        <w:jc w:val="both"/>
        <w:rPr>
          <w:rFonts w:ascii="Arial" w:hAnsi="Arial" w:cs="Arial"/>
          <w:sz w:val="20"/>
          <w:szCs w:val="22"/>
        </w:rPr>
      </w:pPr>
      <w:r>
        <w:rPr>
          <w:rFonts w:ascii="Arial" w:hAnsi="Arial" w:cs="Arial"/>
          <w:sz w:val="22"/>
        </w:rPr>
        <w:t xml:space="preserve">Je nach Forschungsbereich und </w:t>
      </w:r>
      <w:proofErr w:type="spellStart"/>
      <w:r>
        <w:rPr>
          <w:rFonts w:ascii="Arial" w:hAnsi="Arial" w:cs="Arial"/>
          <w:sz w:val="22"/>
        </w:rPr>
        <w:t>Datenart</w:t>
      </w:r>
      <w:proofErr w:type="spellEnd"/>
      <w:r>
        <w:rPr>
          <w:rFonts w:ascii="Arial" w:hAnsi="Arial" w:cs="Arial"/>
          <w:sz w:val="22"/>
        </w:rPr>
        <w:t xml:space="preserve"> gibt es verschiedene passende Metadatenschemata. Diese liefern gebräuchliche Begriffe, Definitionen und Strukturen und sorgen dafür, dass vollständige und standardisierte Informationen über den Datensatz vorliegen. Zusätzlich kann so die Arbeit mit mehreren Datensätzen erleichtert werden</w:t>
      </w:r>
    </w:p>
    <w:p>
      <w:pPr>
        <w:pStyle w:val="berschrift1"/>
        <w:rPr>
          <w:rFonts w:ascii="Times New Roman" w:hAnsi="Times New Roman"/>
        </w:rPr>
      </w:pPr>
      <w:r>
        <w:t>Dublin Core™</w:t>
      </w:r>
    </w:p>
    <w:p>
      <w:pPr>
        <w:jc w:val="both"/>
      </w:pPr>
      <w:r>
        <w:t xml:space="preserve">Das DUBLIN Core </w:t>
      </w:r>
      <w:proofErr w:type="spellStart"/>
      <w:r>
        <w:t>Metadata</w:t>
      </w:r>
      <w:proofErr w:type="spellEnd"/>
      <w:r>
        <w:t xml:space="preserve"> Element Set (DCMES) stellt für die Beschreibung von elektronischen Ressourcen ein Set an Minimalstandards von 15 Metadaten-Elementen zusammen (</w:t>
      </w:r>
      <w:hyperlink r:id="rId7" w:history="1">
        <w:r>
          <w:rPr>
            <w:rStyle w:val="Hyperlink"/>
          </w:rPr>
          <w:t>http://dublincore.org/specifications/</w:t>
        </w:r>
      </w:hyperlink>
      <w:r>
        <w:t xml:space="preserve">). Das Schema ist für eine Vielzahl von Objekten geeignet von Dokumenten, Software und auch Datensätzen. Sie bildet den gemeinsamen Kern der meisten Standards und enthält als typische Elemente: </w:t>
      </w:r>
    </w:p>
    <w:tbl>
      <w:tblPr>
        <w:tblStyle w:val="Tabellenraster"/>
        <w:tblW w:w="9072"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1985"/>
        <w:gridCol w:w="7087"/>
      </w:tblGrid>
      <w:tr>
        <w:tc>
          <w:tcPr>
            <w:tcW w:w="1985" w:type="dxa"/>
            <w:shd w:val="clear" w:color="auto" w:fill="D9D9D9" w:themeFill="background1" w:themeFillShade="D9"/>
          </w:tcPr>
          <w:p>
            <w:pPr>
              <w:rPr>
                <w:b/>
              </w:rPr>
            </w:pPr>
            <w:r>
              <w:rPr>
                <w:b/>
              </w:rPr>
              <w:t>Element</w:t>
            </w:r>
          </w:p>
        </w:tc>
        <w:tc>
          <w:tcPr>
            <w:tcW w:w="7087" w:type="dxa"/>
            <w:shd w:val="clear" w:color="auto" w:fill="D9D9D9" w:themeFill="background1" w:themeFillShade="D9"/>
          </w:tcPr>
          <w:p>
            <w:pPr>
              <w:rPr>
                <w:b/>
              </w:rPr>
            </w:pPr>
            <w:r>
              <w:rPr>
                <w:b/>
              </w:rPr>
              <w:t>Beschreibung</w:t>
            </w:r>
          </w:p>
        </w:tc>
      </w:tr>
      <w:tr>
        <w:tc>
          <w:tcPr>
            <w:tcW w:w="1985" w:type="dxa"/>
            <w:shd w:val="clear" w:color="auto" w:fill="F2F2F2" w:themeFill="background1" w:themeFillShade="F2"/>
          </w:tcPr>
          <w:p>
            <w:proofErr w:type="spellStart"/>
            <w:r>
              <w:t>identifier</w:t>
            </w:r>
            <w:proofErr w:type="spellEnd"/>
          </w:p>
        </w:tc>
        <w:tc>
          <w:tcPr>
            <w:tcW w:w="7087" w:type="dxa"/>
            <w:shd w:val="clear" w:color="auto" w:fill="F2F2F2" w:themeFill="background1" w:themeFillShade="F2"/>
          </w:tcPr>
          <w:p>
            <w:r>
              <w:t>ein Kennzeichen, um auf das Objekt zuzugreifen</w:t>
            </w:r>
          </w:p>
        </w:tc>
      </w:tr>
      <w:tr>
        <w:tc>
          <w:tcPr>
            <w:tcW w:w="1985" w:type="dxa"/>
            <w:shd w:val="clear" w:color="auto" w:fill="F2F2F2" w:themeFill="background1" w:themeFillShade="F2"/>
          </w:tcPr>
          <w:p>
            <w:r>
              <w:t>title</w:t>
            </w:r>
          </w:p>
        </w:tc>
        <w:tc>
          <w:tcPr>
            <w:tcW w:w="7087" w:type="dxa"/>
            <w:shd w:val="clear" w:color="auto" w:fill="F2F2F2" w:themeFill="background1" w:themeFillShade="F2"/>
          </w:tcPr>
          <w:p>
            <w:r>
              <w:t>eine Bezeichnung mit dem das Objekt referenziert wird</w:t>
            </w:r>
          </w:p>
        </w:tc>
      </w:tr>
      <w:tr>
        <w:tc>
          <w:tcPr>
            <w:tcW w:w="1985" w:type="dxa"/>
            <w:shd w:val="clear" w:color="auto" w:fill="F2F2F2" w:themeFill="background1" w:themeFillShade="F2"/>
          </w:tcPr>
          <w:p>
            <w:proofErr w:type="spellStart"/>
            <w:r>
              <w:t>format</w:t>
            </w:r>
            <w:proofErr w:type="spellEnd"/>
          </w:p>
        </w:tc>
        <w:tc>
          <w:tcPr>
            <w:tcW w:w="7087" w:type="dxa"/>
            <w:shd w:val="clear" w:color="auto" w:fill="F2F2F2" w:themeFill="background1" w:themeFillShade="F2"/>
          </w:tcPr>
          <w:p>
            <w:r>
              <w:t>Dateiformat, meist als MIME-Type angegeben</w:t>
            </w:r>
          </w:p>
        </w:tc>
      </w:tr>
      <w:tr>
        <w:tc>
          <w:tcPr>
            <w:tcW w:w="1985" w:type="dxa"/>
            <w:shd w:val="clear" w:color="auto" w:fill="F2F2F2" w:themeFill="background1" w:themeFillShade="F2"/>
          </w:tcPr>
          <w:p>
            <w:r>
              <w:t>type</w:t>
            </w:r>
          </w:p>
        </w:tc>
        <w:tc>
          <w:tcPr>
            <w:tcW w:w="7087" w:type="dxa"/>
            <w:shd w:val="clear" w:color="auto" w:fill="F2F2F2" w:themeFill="background1" w:themeFillShade="F2"/>
          </w:tcPr>
          <w:p>
            <w:proofErr w:type="spellStart"/>
            <w:r>
              <w:t>Datenart</w:t>
            </w:r>
            <w:proofErr w:type="spellEnd"/>
            <w:r>
              <w:t xml:space="preserve"> oder Datenkategorie evtl. als Referenz auf eine Formatdatenbank z.B. DCMI Type </w:t>
            </w:r>
            <w:proofErr w:type="spellStart"/>
            <w:r>
              <w:t>Vocabulary</w:t>
            </w:r>
            <w:proofErr w:type="spellEnd"/>
          </w:p>
        </w:tc>
      </w:tr>
      <w:tr>
        <w:tc>
          <w:tcPr>
            <w:tcW w:w="1985" w:type="dxa"/>
            <w:shd w:val="clear" w:color="auto" w:fill="F2F2F2" w:themeFill="background1" w:themeFillShade="F2"/>
          </w:tcPr>
          <w:p>
            <w:proofErr w:type="spellStart"/>
            <w:r>
              <w:t>language</w:t>
            </w:r>
            <w:proofErr w:type="spellEnd"/>
          </w:p>
        </w:tc>
        <w:tc>
          <w:tcPr>
            <w:tcW w:w="7087" w:type="dxa"/>
            <w:shd w:val="clear" w:color="auto" w:fill="F2F2F2" w:themeFill="background1" w:themeFillShade="F2"/>
          </w:tcPr>
          <w:p>
            <w:r>
              <w:t>Sprache des Dokumenteninhalts, meist als Sprachkürzel nach ISO 639</w:t>
            </w:r>
          </w:p>
        </w:tc>
      </w:tr>
      <w:tr>
        <w:tc>
          <w:tcPr>
            <w:tcW w:w="1985" w:type="dxa"/>
            <w:shd w:val="clear" w:color="auto" w:fill="F2F2F2" w:themeFill="background1" w:themeFillShade="F2"/>
          </w:tcPr>
          <w:p>
            <w:proofErr w:type="spellStart"/>
            <w:r>
              <w:t>subject</w:t>
            </w:r>
            <w:proofErr w:type="spellEnd"/>
          </w:p>
        </w:tc>
        <w:tc>
          <w:tcPr>
            <w:tcW w:w="7087" w:type="dxa"/>
            <w:shd w:val="clear" w:color="auto" w:fill="F2F2F2" w:themeFill="background1" w:themeFillShade="F2"/>
          </w:tcPr>
          <w:p>
            <w:r>
              <w:t>Thema des Inhalts als Schlagwörter</w:t>
            </w:r>
          </w:p>
        </w:tc>
      </w:tr>
      <w:tr>
        <w:tc>
          <w:tcPr>
            <w:tcW w:w="1985" w:type="dxa"/>
            <w:shd w:val="clear" w:color="auto" w:fill="F2F2F2" w:themeFill="background1" w:themeFillShade="F2"/>
          </w:tcPr>
          <w:p>
            <w:proofErr w:type="spellStart"/>
            <w:r>
              <w:t>coverage</w:t>
            </w:r>
            <w:proofErr w:type="spellEnd"/>
          </w:p>
        </w:tc>
        <w:tc>
          <w:tcPr>
            <w:tcW w:w="7087" w:type="dxa"/>
            <w:shd w:val="clear" w:color="auto" w:fill="F2F2F2" w:themeFill="background1" w:themeFillShade="F2"/>
          </w:tcPr>
          <w:p>
            <w:r>
              <w:t>Eingrenzung des vom Dokument abgedeckten Bereichs allgemein, räumlich oder zeitlich</w:t>
            </w:r>
          </w:p>
        </w:tc>
      </w:tr>
      <w:tr>
        <w:tc>
          <w:tcPr>
            <w:tcW w:w="1985" w:type="dxa"/>
            <w:shd w:val="clear" w:color="auto" w:fill="F2F2F2" w:themeFill="background1" w:themeFillShade="F2"/>
          </w:tcPr>
          <w:p>
            <w:proofErr w:type="spellStart"/>
            <w:r>
              <w:t>description</w:t>
            </w:r>
            <w:proofErr w:type="spellEnd"/>
          </w:p>
        </w:tc>
        <w:tc>
          <w:tcPr>
            <w:tcW w:w="7087" w:type="dxa"/>
            <w:shd w:val="clear" w:color="auto" w:fill="F2F2F2" w:themeFill="background1" w:themeFillShade="F2"/>
          </w:tcPr>
          <w:p>
            <w:r>
              <w:t>Kurzzusammenfassung des Inhalts als Freitext</w:t>
            </w:r>
          </w:p>
        </w:tc>
      </w:tr>
      <w:tr>
        <w:tc>
          <w:tcPr>
            <w:tcW w:w="1985" w:type="dxa"/>
            <w:shd w:val="clear" w:color="auto" w:fill="F2F2F2" w:themeFill="background1" w:themeFillShade="F2"/>
          </w:tcPr>
          <w:p>
            <w:proofErr w:type="spellStart"/>
            <w:r>
              <w:t>creator</w:t>
            </w:r>
            <w:proofErr w:type="spellEnd"/>
          </w:p>
        </w:tc>
        <w:tc>
          <w:tcPr>
            <w:tcW w:w="7087" w:type="dxa"/>
            <w:shd w:val="clear" w:color="auto" w:fill="F2F2F2" w:themeFill="background1" w:themeFillShade="F2"/>
          </w:tcPr>
          <w:p>
            <w:r>
              <w:t>Person oder Organisation, die für die Erstellung des Dokuments verantwortlich ist</w:t>
            </w:r>
          </w:p>
        </w:tc>
      </w:tr>
      <w:tr>
        <w:tc>
          <w:tcPr>
            <w:tcW w:w="1985" w:type="dxa"/>
            <w:shd w:val="clear" w:color="auto" w:fill="F2F2F2" w:themeFill="background1" w:themeFillShade="F2"/>
          </w:tcPr>
          <w:p>
            <w:proofErr w:type="spellStart"/>
            <w:r>
              <w:t>publisher</w:t>
            </w:r>
            <w:proofErr w:type="spellEnd"/>
          </w:p>
        </w:tc>
        <w:tc>
          <w:tcPr>
            <w:tcW w:w="7087" w:type="dxa"/>
            <w:shd w:val="clear" w:color="auto" w:fill="F2F2F2" w:themeFill="background1" w:themeFillShade="F2"/>
          </w:tcPr>
          <w:p>
            <w:r>
              <w:t>Name der veröffentlichenden Instanz z.B. Verleger oder Herausgeber</w:t>
            </w:r>
          </w:p>
        </w:tc>
      </w:tr>
      <w:tr>
        <w:tc>
          <w:tcPr>
            <w:tcW w:w="1985" w:type="dxa"/>
            <w:shd w:val="clear" w:color="auto" w:fill="F2F2F2" w:themeFill="background1" w:themeFillShade="F2"/>
          </w:tcPr>
          <w:p>
            <w:proofErr w:type="spellStart"/>
            <w:r>
              <w:t>contributor</w:t>
            </w:r>
            <w:proofErr w:type="spellEnd"/>
          </w:p>
        </w:tc>
        <w:tc>
          <w:tcPr>
            <w:tcW w:w="7087" w:type="dxa"/>
            <w:shd w:val="clear" w:color="auto" w:fill="F2F2F2" w:themeFill="background1" w:themeFillShade="F2"/>
          </w:tcPr>
          <w:p>
            <w:r>
              <w:t>weitere Personen die zur Erstellung des Dokuments einen Beitrag geleistet hat</w:t>
            </w:r>
          </w:p>
        </w:tc>
      </w:tr>
      <w:tr>
        <w:tc>
          <w:tcPr>
            <w:tcW w:w="1985" w:type="dxa"/>
            <w:shd w:val="clear" w:color="auto" w:fill="F2F2F2" w:themeFill="background1" w:themeFillShade="F2"/>
          </w:tcPr>
          <w:p>
            <w:proofErr w:type="spellStart"/>
            <w:r>
              <w:t>rights</w:t>
            </w:r>
            <w:proofErr w:type="spellEnd"/>
          </w:p>
        </w:tc>
        <w:tc>
          <w:tcPr>
            <w:tcW w:w="7087" w:type="dxa"/>
            <w:shd w:val="clear" w:color="auto" w:fill="F2F2F2" w:themeFill="background1" w:themeFillShade="F2"/>
          </w:tcPr>
          <w:p>
            <w:r>
              <w:t>Informationen zur Klarstellung der Rechte</w:t>
            </w:r>
          </w:p>
        </w:tc>
      </w:tr>
      <w:tr>
        <w:tc>
          <w:tcPr>
            <w:tcW w:w="1985" w:type="dxa"/>
            <w:shd w:val="clear" w:color="auto" w:fill="F2F2F2" w:themeFill="background1" w:themeFillShade="F2"/>
          </w:tcPr>
          <w:p>
            <w:proofErr w:type="spellStart"/>
            <w:r>
              <w:t>source</w:t>
            </w:r>
            <w:proofErr w:type="spellEnd"/>
          </w:p>
        </w:tc>
        <w:tc>
          <w:tcPr>
            <w:tcW w:w="7087" w:type="dxa"/>
            <w:shd w:val="clear" w:color="auto" w:fill="F2F2F2" w:themeFill="background1" w:themeFillShade="F2"/>
          </w:tcPr>
          <w:p>
            <w:r>
              <w:t>verweist auf Dokument von dem aktuelles Dokument ganz oder in Teilen abgeleitet ist</w:t>
            </w:r>
          </w:p>
        </w:tc>
      </w:tr>
      <w:tr>
        <w:tc>
          <w:tcPr>
            <w:tcW w:w="1985" w:type="dxa"/>
            <w:shd w:val="clear" w:color="auto" w:fill="F2F2F2" w:themeFill="background1" w:themeFillShade="F2"/>
          </w:tcPr>
          <w:p>
            <w:proofErr w:type="spellStart"/>
            <w:r>
              <w:t>relation</w:t>
            </w:r>
            <w:proofErr w:type="spellEnd"/>
          </w:p>
        </w:tc>
        <w:tc>
          <w:tcPr>
            <w:tcW w:w="7087" w:type="dxa"/>
            <w:shd w:val="clear" w:color="auto" w:fill="F2F2F2" w:themeFill="background1" w:themeFillShade="F2"/>
          </w:tcPr>
          <w:p>
            <w:r>
              <w:t>verweist auf Dokument, mit dem beschriebenes Dokument in Beziehung steht</w:t>
            </w:r>
          </w:p>
        </w:tc>
      </w:tr>
      <w:tr>
        <w:tc>
          <w:tcPr>
            <w:tcW w:w="1985" w:type="dxa"/>
            <w:shd w:val="clear" w:color="auto" w:fill="F2F2F2" w:themeFill="background1" w:themeFillShade="F2"/>
          </w:tcPr>
          <w:p>
            <w:proofErr w:type="spellStart"/>
            <w:r>
              <w:t>date</w:t>
            </w:r>
            <w:proofErr w:type="spellEnd"/>
          </w:p>
        </w:tc>
        <w:tc>
          <w:tcPr>
            <w:tcW w:w="7087" w:type="dxa"/>
            <w:shd w:val="clear" w:color="auto" w:fill="F2F2F2" w:themeFill="background1" w:themeFillShade="F2"/>
          </w:tcPr>
          <w:p>
            <w:r>
              <w:t>Relevantes Datum in Bezug auf das Dokument, meist Erstellungsdatum, Veröffentlichungsdatum o.ä.</w:t>
            </w:r>
          </w:p>
        </w:tc>
      </w:tr>
    </w:tbl>
    <w:p/>
    <w:p>
      <w:r>
        <w:t xml:space="preserve">Maschinenlesbares Beispiel als XML-Datei (siehe für mehr Infos </w:t>
      </w:r>
      <w:r>
        <w:rPr>
          <w:b/>
        </w:rPr>
        <w:t>2 Datenmanipulation</w:t>
      </w:r>
      <w:r>
        <w:t>):</w:t>
      </w:r>
    </w:p>
    <w:p>
      <w:pPr>
        <w:rPr>
          <w:lang w:val="en-US"/>
        </w:rPr>
      </w:pPr>
      <w:proofErr w:type="gramStart"/>
      <w:r>
        <w:rPr>
          <w:lang w:val="en-US"/>
        </w:rPr>
        <w:t>&lt;</w:t>
      </w:r>
      <w:proofErr w:type="spellStart"/>
      <w:r>
        <w:rPr>
          <w:lang w:val="en-US"/>
        </w:rPr>
        <w:t>dc:identifier</w:t>
      </w:r>
      <w:proofErr w:type="spellEnd"/>
      <w:r>
        <w:rPr>
          <w:lang w:val="en-US"/>
        </w:rPr>
        <w:t>&gt;doi:10.3390/healthcare13060662&lt;/</w:t>
      </w:r>
      <w:proofErr w:type="spellStart"/>
      <w:r>
        <w:rPr>
          <w:lang w:val="en-US"/>
        </w:rPr>
        <w:t>dc:identifier</w:t>
      </w:r>
      <w:proofErr w:type="spellEnd"/>
      <w:r>
        <w:rPr>
          <w:lang w:val="en-US"/>
        </w:rPr>
        <w:t>&gt;</w:t>
      </w:r>
      <w:r>
        <w:rPr>
          <w:lang w:val="en-US"/>
        </w:rPr>
        <w:br/>
        <w:t>&lt;</w:t>
      </w:r>
      <w:proofErr w:type="spellStart"/>
      <w:r>
        <w:rPr>
          <w:lang w:val="en-US"/>
        </w:rPr>
        <w:t>dc:title</w:t>
      </w:r>
      <w:proofErr w:type="spellEnd"/>
      <w:r>
        <w:rPr>
          <w:lang w:val="en-US"/>
        </w:rPr>
        <w:t>&gt;Learning Objectives Matrix in DIM.RUHR&lt;/</w:t>
      </w:r>
      <w:proofErr w:type="spellStart"/>
      <w:r>
        <w:rPr>
          <w:lang w:val="en-US"/>
        </w:rPr>
        <w:t>dc:title</w:t>
      </w:r>
      <w:proofErr w:type="spellEnd"/>
      <w:r>
        <w:rPr>
          <w:lang w:val="en-US"/>
        </w:rPr>
        <w:t>&gt;</w:t>
      </w:r>
      <w:r>
        <w:rPr>
          <w:lang w:val="en-US"/>
        </w:rPr>
        <w:br/>
        <w:t>&lt;</w:t>
      </w:r>
      <w:proofErr w:type="spellStart"/>
      <w:r>
        <w:rPr>
          <w:lang w:val="en-US"/>
        </w:rPr>
        <w:t>dc:creator</w:t>
      </w:r>
      <w:proofErr w:type="spellEnd"/>
      <w:r>
        <w:rPr>
          <w:lang w:val="en-US"/>
        </w:rPr>
        <w:t xml:space="preserve">&gt;Vivian </w:t>
      </w:r>
      <w:proofErr w:type="spellStart"/>
      <w:r>
        <w:rPr>
          <w:lang w:val="en-US"/>
        </w:rPr>
        <w:t>Lüdorf</w:t>
      </w:r>
      <w:proofErr w:type="spellEnd"/>
      <w:r>
        <w:rPr>
          <w:lang w:val="en-US"/>
        </w:rPr>
        <w:t xml:space="preserve">, Anne Mainz, Sven Meister, Jan </w:t>
      </w:r>
      <w:r>
        <w:rPr>
          <w:lang w:val="en-US"/>
        </w:rPr>
        <w:lastRenderedPageBreak/>
        <w:t xml:space="preserve">P. Ehlers, Julia </w:t>
      </w:r>
      <w:proofErr w:type="spellStart"/>
      <w:r>
        <w:rPr>
          <w:lang w:val="en-US"/>
        </w:rPr>
        <w:t>Nitsche</w:t>
      </w:r>
      <w:proofErr w:type="spellEnd"/>
      <w:r>
        <w:rPr>
          <w:lang w:val="en-US"/>
        </w:rPr>
        <w:t>&lt;/</w:t>
      </w:r>
      <w:proofErr w:type="spellStart"/>
      <w:r>
        <w:rPr>
          <w:lang w:val="en-US"/>
        </w:rPr>
        <w:t>dc:creator</w:t>
      </w:r>
      <w:proofErr w:type="spellEnd"/>
      <w:r>
        <w:rPr>
          <w:lang w:val="en-US"/>
        </w:rPr>
        <w:t>&gt;</w:t>
      </w:r>
      <w:r>
        <w:rPr>
          <w:lang w:val="en-US"/>
        </w:rPr>
        <w:br/>
        <w:t>&lt;</w:t>
      </w:r>
      <w:proofErr w:type="spellStart"/>
      <w:r>
        <w:rPr>
          <w:lang w:val="en-US"/>
        </w:rPr>
        <w:t>dc:subject</w:t>
      </w:r>
      <w:proofErr w:type="spellEnd"/>
      <w:r>
        <w:rPr>
          <w:lang w:val="en-US"/>
        </w:rPr>
        <w:t>&gt;healthcare data management&lt;/</w:t>
      </w:r>
      <w:proofErr w:type="spellStart"/>
      <w:r>
        <w:rPr>
          <w:lang w:val="en-US"/>
        </w:rPr>
        <w:t>dc:subject</w:t>
      </w:r>
      <w:proofErr w:type="spellEnd"/>
      <w:r>
        <w:rPr>
          <w:lang w:val="en-US"/>
        </w:rPr>
        <w:t>&gt;</w:t>
      </w:r>
      <w:r>
        <w:rPr>
          <w:lang w:val="en-US"/>
        </w:rPr>
        <w:br/>
        <w:t>&lt;</w:t>
      </w:r>
      <w:proofErr w:type="spellStart"/>
      <w:r>
        <w:rPr>
          <w:lang w:val="en-US"/>
        </w:rPr>
        <w:t>dc:description</w:t>
      </w:r>
      <w:proofErr w:type="spellEnd"/>
      <w:r>
        <w:rPr>
          <w:lang w:val="en-US"/>
        </w:rPr>
        <w:t xml:space="preserve">&gt; A Didactic Concept for the </w:t>
      </w:r>
      <w:proofErr w:type="spellStart"/>
      <w:r>
        <w:rPr>
          <w:lang w:val="en-US"/>
        </w:rPr>
        <w:t>Interprofessional</w:t>
      </w:r>
      <w:proofErr w:type="spellEnd"/>
      <w:r>
        <w:rPr>
          <w:lang w:val="en-US"/>
        </w:rPr>
        <w:t xml:space="preserve"> Teaching of Data Literacy in Outpatient Health Care &lt;/</w:t>
      </w:r>
      <w:proofErr w:type="spellStart"/>
      <w:r>
        <w:rPr>
          <w:lang w:val="en-US"/>
        </w:rPr>
        <w:t>dc:description</w:t>
      </w:r>
      <w:proofErr w:type="spellEnd"/>
      <w:r>
        <w:rPr>
          <w:lang w:val="en-US"/>
        </w:rPr>
        <w:t>&gt;</w:t>
      </w:r>
      <w:r>
        <w:rPr>
          <w:lang w:val="en-US"/>
        </w:rPr>
        <w:br/>
        <w:t>&lt;</w:t>
      </w:r>
      <w:proofErr w:type="spellStart"/>
      <w:r>
        <w:rPr>
          <w:lang w:val="en-US"/>
        </w:rPr>
        <w:t>dc:date</w:t>
      </w:r>
      <w:proofErr w:type="spellEnd"/>
      <w:r>
        <w:rPr>
          <w:lang w:val="en-US"/>
        </w:rPr>
        <w:t>&gt;March, 18</w:t>
      </w:r>
      <w:r>
        <w:rPr>
          <w:vertAlign w:val="superscript"/>
          <w:lang w:val="en-US"/>
        </w:rPr>
        <w:t>th</w:t>
      </w:r>
      <w:r>
        <w:rPr>
          <w:lang w:val="en-US"/>
        </w:rPr>
        <w:t xml:space="preserve"> 2025&lt;/</w:t>
      </w:r>
      <w:proofErr w:type="spellStart"/>
      <w:r>
        <w:rPr>
          <w:lang w:val="en-US"/>
        </w:rPr>
        <w:t>dc:date</w:t>
      </w:r>
      <w:proofErr w:type="spellEnd"/>
      <w:r>
        <w:rPr>
          <w:lang w:val="en-US"/>
        </w:rPr>
        <w:t>&gt;</w:t>
      </w:r>
      <w:proofErr w:type="gramEnd"/>
    </w:p>
    <w:p>
      <w:r>
        <w:t xml:space="preserve">Mittlerweile hat Dublin Core™ mehre Aktualisierungen, Erweiterungen und Spezifizierungen veröffentlicht, die von spezialisierten Arbeitsgruppen entwickelt werden. Unter anderem die Erweiterung </w:t>
      </w:r>
      <w:proofErr w:type="spellStart"/>
      <w:r>
        <w:t>Qualified</w:t>
      </w:r>
      <w:proofErr w:type="spellEnd"/>
      <w:r>
        <w:t xml:space="preserve"> Dublin Core und es existiert auch eine eigene Dokumentation für DCMI-Metadatenbegriffe.</w:t>
      </w:r>
    </w:p>
    <w:p>
      <w:pPr>
        <w:pStyle w:val="berschrift1"/>
      </w:pPr>
      <w:proofErr w:type="spellStart"/>
      <w:r>
        <w:t>DataCite</w:t>
      </w:r>
      <w:proofErr w:type="spellEnd"/>
    </w:p>
    <w:p>
      <w:pPr>
        <w:jc w:val="both"/>
      </w:pPr>
      <w:proofErr w:type="spellStart"/>
      <w:r>
        <w:t>DataCite</w:t>
      </w:r>
      <w:proofErr w:type="spellEnd"/>
      <w:r>
        <w:t xml:space="preserve"> ist ein weit verbreiteter Standard für bibliographische Metadaten von Forschungsdatensätzen, welcher im XML-Format gespeichert wird. Hier wird zwischen </w:t>
      </w:r>
    </w:p>
    <w:p>
      <w:pPr>
        <w:pStyle w:val="Listenabsatz"/>
        <w:numPr>
          <w:ilvl w:val="0"/>
          <w:numId w:val="15"/>
        </w:numPr>
        <w:jc w:val="both"/>
      </w:pPr>
      <w:r>
        <w:t xml:space="preserve">verpflichtenden Angaben (Kennzeichen, </w:t>
      </w:r>
      <w:proofErr w:type="spellStart"/>
      <w:r>
        <w:t>Urheber:in</w:t>
      </w:r>
      <w:proofErr w:type="spellEnd"/>
      <w:r>
        <w:t xml:space="preserve">, Titel, Herausgeber, Jahr der Veröffentlichung, Typ der Ressource), </w:t>
      </w:r>
    </w:p>
    <w:p>
      <w:pPr>
        <w:pStyle w:val="Listenabsatz"/>
        <w:numPr>
          <w:ilvl w:val="0"/>
          <w:numId w:val="15"/>
        </w:numPr>
        <w:jc w:val="both"/>
      </w:pPr>
      <w:r>
        <w:t xml:space="preserve">empfohlenen Angaben (Thema, Mitwirkende, Datum, Verknüpfte Kennzeichen, Kurzbeschreibung, Standort) und </w:t>
      </w:r>
    </w:p>
    <w:p>
      <w:pPr>
        <w:pStyle w:val="Listenabsatz"/>
        <w:numPr>
          <w:ilvl w:val="0"/>
          <w:numId w:val="15"/>
        </w:numPr>
        <w:jc w:val="both"/>
      </w:pPr>
      <w:r>
        <w:t xml:space="preserve">optionalen Angaben (Sprache, Alternative Kennzeichen, Größe, Format, Version, Lizenzen, Finanzierung, verknüpfte Elemente) </w:t>
      </w:r>
    </w:p>
    <w:p>
      <w:pPr>
        <w:jc w:val="both"/>
      </w:pPr>
      <w:r>
        <w:t xml:space="preserve">unterschieden. Sie kann für eine Vielzahl an Forschungsdatensätzen, unabhängig vom Fachbereich, genutzt werden. Die neuste Version von </w:t>
      </w:r>
      <w:proofErr w:type="spellStart"/>
      <w:r>
        <w:t>DataCite</w:t>
      </w:r>
      <w:proofErr w:type="spellEnd"/>
      <w:r>
        <w:t xml:space="preserve"> ist aktuell </w:t>
      </w:r>
      <w:hyperlink r:id="rId8" w:history="1">
        <w:r>
          <w:rPr>
            <w:rStyle w:val="Hyperlink"/>
          </w:rPr>
          <w:t>Version 4.6</w:t>
        </w:r>
      </w:hyperlink>
      <w:r>
        <w:t xml:space="preserve">. </w:t>
      </w:r>
    </w:p>
    <w:p>
      <w:pPr>
        <w:pStyle w:val="berschrift1"/>
      </w:pPr>
      <w:r>
        <w:t>Metadatenschema NFDI4Health</w:t>
      </w:r>
    </w:p>
    <w:p>
      <w:pPr>
        <w:jc w:val="both"/>
      </w:pPr>
      <w:r>
        <w:t xml:space="preserve">Ein für das Gesundheitswesen spezifische Metadatenschema, das an dieser Stelle vorgestellt werden soll, ist das Metadatenschema der NFDI4Health in </w:t>
      </w:r>
      <w:hyperlink r:id="rId9" w:history="1">
        <w:r>
          <w:rPr>
            <w:rStyle w:val="Hyperlink"/>
          </w:rPr>
          <w:t>Version 3.3</w:t>
        </w:r>
      </w:hyperlink>
      <w:r>
        <w:t xml:space="preserve">. Das Schema ist so generisch aufgebaut, dass es auch für Registerdaten, sekundäre Datenquellen und verschiedene Studiendokumente geeignet ist. Das Schema besitzt eine modulare Struktur, um für verschiedenste Bereiche des Gesundheitswesens nutzbar zu sein. Die meisten Elemente wurden aus etablierten Standards und Modellen übernommen, darunter </w:t>
      </w:r>
      <w:proofErr w:type="spellStart"/>
      <w:r>
        <w:t>DataCite</w:t>
      </w:r>
      <w:proofErr w:type="spellEnd"/>
      <w:r>
        <w:t xml:space="preserve">, ClinicalTrials.gov, DRKS, </w:t>
      </w:r>
      <w:proofErr w:type="spellStart"/>
      <w:r>
        <w:t>Maelstrom</w:t>
      </w:r>
      <w:proofErr w:type="spellEnd"/>
      <w:r>
        <w:t xml:space="preserve"> und MIABIS. Das Schema ist FHIR kompatibel </w:t>
      </w:r>
      <w:hyperlink r:id="rId10" w:history="1">
        <w:r>
          <w:rPr>
            <w:rStyle w:val="Hyperlink"/>
          </w:rPr>
          <w:t>hier</w:t>
        </w:r>
      </w:hyperlink>
      <w:r>
        <w:t xml:space="preserve"> verfügbar.</w:t>
      </w:r>
    </w:p>
    <w:p>
      <w:pPr>
        <w:pStyle w:val="berschrift1"/>
      </w:pPr>
      <w:r>
        <w:t>Metadatenstandard-Kataloge</w:t>
      </w:r>
    </w:p>
    <w:p>
      <w:r>
        <w:t xml:space="preserve">Bei spezifischen Objekten oder Fachbereiche kann es sinnvoll sein, spezifischere Schemata anzuwenden. Diverse Seiten bieten Übersichten über verschiedene (fachspezifische) Metadaten und Filtermechanismen, um sie zu durchsuchen: </w:t>
      </w:r>
    </w:p>
    <w:p>
      <w:pPr>
        <w:pStyle w:val="Listenabsatz"/>
        <w:numPr>
          <w:ilvl w:val="0"/>
          <w:numId w:val="16"/>
        </w:numPr>
      </w:pPr>
      <w:hyperlink r:id="rId11" w:history="1">
        <w:r>
          <w:rPr>
            <w:rStyle w:val="Hyperlink"/>
          </w:rPr>
          <w:t>Fairsharing.org</w:t>
        </w:r>
      </w:hyperlink>
      <w:r>
        <w:t>: Enthält ein Verzeichnis mit über 1900 Standards (auch Reporting Guidelines, Datenstandards, kontrollierte Vokabulare). Die Suche nach „</w:t>
      </w:r>
      <w:proofErr w:type="spellStart"/>
      <w:r>
        <w:t>Metadata</w:t>
      </w:r>
      <w:proofErr w:type="spellEnd"/>
      <w:r>
        <w:t>“ ergab zum Zeitpunkt der Materialerstellung 890 Treffer.,</w:t>
      </w:r>
    </w:p>
    <w:p>
      <w:pPr>
        <w:pStyle w:val="Listenabsatz"/>
        <w:numPr>
          <w:ilvl w:val="0"/>
          <w:numId w:val="16"/>
        </w:numPr>
        <w:rPr>
          <w:lang w:val="en-US"/>
        </w:rPr>
      </w:pPr>
      <w:hyperlink r:id="rId12" w:history="1">
        <w:r>
          <w:rPr>
            <w:rStyle w:val="Hyperlink"/>
          </w:rPr>
          <w:t xml:space="preserve">Digital </w:t>
        </w:r>
        <w:proofErr w:type="spellStart"/>
        <w:r>
          <w:rPr>
            <w:rStyle w:val="Hyperlink"/>
          </w:rPr>
          <w:t>Curation</w:t>
        </w:r>
        <w:proofErr w:type="spellEnd"/>
        <w:r>
          <w:rPr>
            <w:rStyle w:val="Hyperlink"/>
          </w:rPr>
          <w:t xml:space="preserve"> Center</w:t>
        </w:r>
      </w:hyperlink>
      <w:r>
        <w:t xml:space="preserve">: Eine Übersicht, die sich vor allem auf fachspezifische Metadaten konzentriert. </w:t>
      </w:r>
      <w:proofErr w:type="spellStart"/>
      <w:r>
        <w:rPr>
          <w:lang w:val="en-US"/>
        </w:rPr>
        <w:t>Sie</w:t>
      </w:r>
      <w:proofErr w:type="spellEnd"/>
      <w:r>
        <w:rPr>
          <w:lang w:val="en-US"/>
        </w:rPr>
        <w:t xml:space="preserve"> </w:t>
      </w:r>
      <w:proofErr w:type="spellStart"/>
      <w:r>
        <w:rPr>
          <w:lang w:val="en-US"/>
        </w:rPr>
        <w:t>listet</w:t>
      </w:r>
      <w:proofErr w:type="spellEnd"/>
      <w:r>
        <w:rPr>
          <w:lang w:val="en-US"/>
        </w:rPr>
        <w:t xml:space="preserve"> </w:t>
      </w:r>
      <w:proofErr w:type="spellStart"/>
      <w:r>
        <w:rPr>
          <w:lang w:val="en-US"/>
        </w:rPr>
        <w:t>Metadaten</w:t>
      </w:r>
      <w:proofErr w:type="spellEnd"/>
      <w:r>
        <w:rPr>
          <w:lang w:val="en-US"/>
        </w:rPr>
        <w:t xml:space="preserve"> </w:t>
      </w:r>
      <w:proofErr w:type="spellStart"/>
      <w:r>
        <w:rPr>
          <w:lang w:val="en-US"/>
        </w:rPr>
        <w:t>für</w:t>
      </w:r>
      <w:proofErr w:type="spellEnd"/>
      <w:r>
        <w:rPr>
          <w:lang w:val="en-US"/>
        </w:rPr>
        <w:t xml:space="preserve"> die </w:t>
      </w:r>
      <w:proofErr w:type="spellStart"/>
      <w:r>
        <w:rPr>
          <w:lang w:val="en-US"/>
        </w:rPr>
        <w:t>Bereiche</w:t>
      </w:r>
      <w:proofErr w:type="spellEnd"/>
      <w:r>
        <w:rPr>
          <w:lang w:val="en-US"/>
        </w:rPr>
        <w:t xml:space="preserve"> Social Science &amp; Humanities, Physical Science, General Research Data, Earth Science und Biology.,</w:t>
      </w:r>
    </w:p>
    <w:p>
      <w:pPr>
        <w:pStyle w:val="Listenabsatz"/>
        <w:numPr>
          <w:ilvl w:val="0"/>
          <w:numId w:val="16"/>
        </w:numPr>
      </w:pPr>
      <w:hyperlink r:id="rId13" w:history="1">
        <w:r>
          <w:rPr>
            <w:rStyle w:val="Hyperlink"/>
          </w:rPr>
          <w:t xml:space="preserve">RDA </w:t>
        </w:r>
        <w:proofErr w:type="spellStart"/>
        <w:r>
          <w:rPr>
            <w:rStyle w:val="Hyperlink"/>
          </w:rPr>
          <w:t>Metadata</w:t>
        </w:r>
        <w:proofErr w:type="spellEnd"/>
        <w:r>
          <w:rPr>
            <w:rStyle w:val="Hyperlink"/>
          </w:rPr>
          <w:t xml:space="preserve"> Standards </w:t>
        </w:r>
        <w:proofErr w:type="spellStart"/>
        <w:r>
          <w:rPr>
            <w:rStyle w:val="Hyperlink"/>
          </w:rPr>
          <w:t>Catalog</w:t>
        </w:r>
        <w:proofErr w:type="spellEnd"/>
      </w:hyperlink>
      <w:r>
        <w:t xml:space="preserve">: Enthält vor allem Metadaten zur Beschreibung von Forschungsdaten. Der Katalog erlaubt die Suche nach Schemata über Name, Fachbereich und Identifier., </w:t>
      </w:r>
    </w:p>
    <w:p>
      <w:pPr>
        <w:pStyle w:val="Listenabsatz"/>
        <w:numPr>
          <w:ilvl w:val="0"/>
          <w:numId w:val="16"/>
        </w:numPr>
      </w:pPr>
      <w:hyperlink r:id="rId14" w:history="1">
        <w:r>
          <w:rPr>
            <w:rStyle w:val="Hyperlink"/>
          </w:rPr>
          <w:t xml:space="preserve">Helmholtz </w:t>
        </w:r>
        <w:proofErr w:type="spellStart"/>
        <w:r>
          <w:rPr>
            <w:rStyle w:val="Hyperlink"/>
          </w:rPr>
          <w:t>Metadata</w:t>
        </w:r>
        <w:proofErr w:type="spellEnd"/>
        <w:r>
          <w:rPr>
            <w:rStyle w:val="Hyperlink"/>
          </w:rPr>
          <w:t xml:space="preserve"> Standard </w:t>
        </w:r>
        <w:proofErr w:type="spellStart"/>
        <w:r>
          <w:rPr>
            <w:rStyle w:val="Hyperlink"/>
          </w:rPr>
          <w:t>Catalog</w:t>
        </w:r>
        <w:proofErr w:type="spellEnd"/>
      </w:hyperlink>
      <w:r>
        <w:t xml:space="preserve">: Basiert auf dem RDA Katalog und hat über 100 Metadatenstandards gelistet. Dieser Katalog </w:t>
      </w:r>
      <w:r>
        <w:lastRenderedPageBreak/>
        <w:t>ist in der Filterung leicht überarbeitet, auf Deutsch und wird von der Community kontinuierlich erweitert.</w:t>
      </w:r>
    </w:p>
    <w:p>
      <w:pPr>
        <w:pStyle w:val="Listenabsatz"/>
        <w:numPr>
          <w:ilvl w:val="0"/>
          <w:numId w:val="16"/>
        </w:numPr>
      </w:pPr>
      <w:hyperlink r:id="rId15" w:history="1">
        <w:r>
          <w:rPr>
            <w:rStyle w:val="Hyperlink"/>
          </w:rPr>
          <w:t>Liste von Metadatenformaten</w:t>
        </w:r>
      </w:hyperlink>
      <w:r>
        <w:t>: Auch auf Wikipedia findet sich eine Liste von Metadatenschemata, die zumindest eine grobe Orientierung bietet.</w:t>
      </w:r>
    </w:p>
    <w:p>
      <w:pPr>
        <w:pStyle w:val="berschrift1"/>
      </w:pPr>
      <w:r>
        <w:t>Quellenverzeichnis</w:t>
      </w:r>
    </w:p>
    <w:p>
      <w:pPr>
        <w:rPr>
          <w:rStyle w:val="Hyperlink"/>
        </w:rPr>
      </w:pPr>
      <w:r>
        <w:t xml:space="preserve">Böker, E. (2022). Metadaten und Metadatenstandards. Forschungsdaten.info. Abgerufen am 30.09.2025, von </w:t>
      </w:r>
      <w:hyperlink r:id="rId16" w:history="1">
        <w:r>
          <w:rPr>
            <w:rStyle w:val="Hyperlink"/>
          </w:rPr>
          <w:t>https://forschungsdaten.info/themen/beschreiben-und-dokumentieren/metadaten-und-metadatenstandards/</w:t>
        </w:r>
      </w:hyperlink>
    </w:p>
    <w:p>
      <w:proofErr w:type="spellStart"/>
      <w:r>
        <w:rPr>
          <w:lang w:val="en-US"/>
        </w:rPr>
        <w:t>DataCite</w:t>
      </w:r>
      <w:proofErr w:type="spellEnd"/>
      <w:r>
        <w:rPr>
          <w:lang w:val="en-US"/>
        </w:rPr>
        <w:t xml:space="preserve"> Metadata Working Group (2025). </w:t>
      </w:r>
      <w:proofErr w:type="spellStart"/>
      <w:r>
        <w:rPr>
          <w:lang w:val="en-US"/>
        </w:rPr>
        <w:t>DataCite</w:t>
      </w:r>
      <w:proofErr w:type="spellEnd"/>
      <w:r>
        <w:rPr>
          <w:lang w:val="en-US"/>
        </w:rPr>
        <w:t xml:space="preserve"> Metadata Schema for the Publication and Citation of Research Data and Other Research Outputs. </w:t>
      </w:r>
      <w:r>
        <w:t xml:space="preserve">Version 4.6. </w:t>
      </w:r>
      <w:proofErr w:type="spellStart"/>
      <w:r>
        <w:t>DataCite</w:t>
      </w:r>
      <w:proofErr w:type="spellEnd"/>
      <w:r>
        <w:t xml:space="preserve"> e.V. </w:t>
      </w:r>
      <w:hyperlink r:id="rId17" w:history="1">
        <w:r>
          <w:rPr>
            <w:rStyle w:val="Hyperlink"/>
          </w:rPr>
          <w:t>https://doi.org/10.14454/mzv1-5b55DCMI</w:t>
        </w:r>
      </w:hyperlink>
      <w:r>
        <w:t xml:space="preserve"> </w:t>
      </w:r>
    </w:p>
    <w:p>
      <w:proofErr w:type="spellStart"/>
      <w:r>
        <w:t>Dobosz</w:t>
      </w:r>
      <w:proofErr w:type="spellEnd"/>
      <w:r>
        <w:t xml:space="preserve">, N. (2023). Metadaten &amp; Quellenangaben. </w:t>
      </w:r>
      <w:proofErr w:type="spellStart"/>
      <w:r>
        <w:rPr>
          <w:lang w:val="en-US"/>
        </w:rPr>
        <w:t>HD@DH.nrw</w:t>
      </w:r>
      <w:proofErr w:type="spellEnd"/>
      <w:r>
        <w:rPr>
          <w:lang w:val="en-US"/>
        </w:rPr>
        <w:t xml:space="preserve"> |. Version 2.1. CC BY 4.0. </w:t>
      </w:r>
      <w:r>
        <w:t xml:space="preserve">Lernarchitektur </w:t>
      </w:r>
      <w:hyperlink r:id="rId18" w:history="1">
        <w:r>
          <w:rPr>
            <w:rStyle w:val="Hyperlink"/>
          </w:rPr>
          <w:t>HD@DH.nrw</w:t>
        </w:r>
      </w:hyperlink>
      <w:r>
        <w:t>.</w:t>
      </w:r>
    </w:p>
    <w:p>
      <w:r>
        <w:t xml:space="preserve">Ludwig, J. &amp; Enke, H. (Hrsg.) (2013). Leitfaden zum Forschungsdaten-Management. Handreichungen aus dem </w:t>
      </w:r>
      <w:proofErr w:type="spellStart"/>
      <w:r>
        <w:t>WissGrid</w:t>
      </w:r>
      <w:proofErr w:type="spellEnd"/>
      <w:r>
        <w:t>-Projekt. Verlag Werner Hülsbusch, Glücksstadt.</w:t>
      </w:r>
    </w:p>
    <w:p>
      <w:pPr>
        <w:rPr>
          <w:lang w:val="en-US"/>
        </w:rPr>
      </w:pPr>
      <w:proofErr w:type="spellStart"/>
      <w:r>
        <w:t>Mertzen</w:t>
      </w:r>
      <w:proofErr w:type="spellEnd"/>
      <w:r>
        <w:t xml:space="preserve">, D., </w:t>
      </w:r>
      <w:proofErr w:type="spellStart"/>
      <w:r>
        <w:t>Neuroth</w:t>
      </w:r>
      <w:proofErr w:type="spellEnd"/>
      <w:r>
        <w:t xml:space="preserve">, H., Schneemann, C., </w:t>
      </w:r>
      <w:proofErr w:type="spellStart"/>
      <w:r>
        <w:t>Woywod</w:t>
      </w:r>
      <w:proofErr w:type="spellEnd"/>
      <w:r>
        <w:t xml:space="preserve">, K., Haase, C., Jacob, B., </w:t>
      </w:r>
      <w:proofErr w:type="spellStart"/>
      <w:r>
        <w:t>Kroehling</w:t>
      </w:r>
      <w:proofErr w:type="spellEnd"/>
      <w:r>
        <w:t xml:space="preserve">, M., Mittelbach, J., </w:t>
      </w:r>
      <w:proofErr w:type="spellStart"/>
      <w:r>
        <w:t>Straka</w:t>
      </w:r>
      <w:proofErr w:type="spellEnd"/>
      <w:r>
        <w:t xml:space="preserve">, J., </w:t>
      </w:r>
      <w:proofErr w:type="spellStart"/>
      <w:r>
        <w:t>Szczukowski</w:t>
      </w:r>
      <w:proofErr w:type="spellEnd"/>
      <w:r>
        <w:t xml:space="preserve">, A., &amp; Weise, K. (2003) „Zertifikatskurs ‚Forschungsdatenmanagement für Studierende‘: Spring School 2023 der Landesinitiative für Forschungsdatenmanagement in Brandenburg“. </w:t>
      </w:r>
      <w:r>
        <w:rPr>
          <w:lang w:val="en-US"/>
        </w:rPr>
        <w:t xml:space="preserve">FDM-BB. </w:t>
      </w:r>
      <w:proofErr w:type="spellStart"/>
      <w:r>
        <w:rPr>
          <w:lang w:val="en-US"/>
        </w:rPr>
        <w:t>Zenodo</w:t>
      </w:r>
      <w:proofErr w:type="spellEnd"/>
      <w:r>
        <w:rPr>
          <w:lang w:val="en-US"/>
        </w:rPr>
        <w:t xml:space="preserve">. </w:t>
      </w:r>
      <w:hyperlink r:id="rId19" w:history="1">
        <w:r>
          <w:rPr>
            <w:rStyle w:val="Hyperlink"/>
            <w:lang w:val="en-US"/>
          </w:rPr>
          <w:t>https://doi.org/10.5281/zenodo.7936966</w:t>
        </w:r>
      </w:hyperlink>
      <w:r>
        <w:rPr>
          <w:lang w:val="en-US"/>
        </w:rPr>
        <w:t xml:space="preserve"> </w:t>
      </w:r>
    </w:p>
    <w:p>
      <w:r>
        <w:rPr>
          <w:lang w:val="en-US"/>
        </w:rPr>
        <w:t xml:space="preserve">NFDI4Health (2025). Metadata schema. </w:t>
      </w:r>
      <w:r>
        <w:t xml:space="preserve">Abgerufen am 30.09.2025, von  </w:t>
      </w:r>
      <w:hyperlink r:id="rId20" w:history="1">
        <w:r>
          <w:rPr>
            <w:rStyle w:val="Hyperlink"/>
          </w:rPr>
          <w:t>https://www.nfdi4health.de/en/service/metadata-schema.html</w:t>
        </w:r>
      </w:hyperlink>
      <w:r>
        <w:t xml:space="preserve"> </w:t>
      </w:r>
    </w:p>
    <w:p>
      <w:proofErr w:type="spellStart"/>
      <w:r>
        <w:t>Schembera</w:t>
      </w:r>
      <w:proofErr w:type="spellEnd"/>
      <w:r>
        <w:t xml:space="preserve">, B. (2024). Schlüsselqualifikation Forschungsdatenmanagement 5/8 (SQ): Metadaten und Semantische Technologie. Abgerufen am 30.09.2025, von </w:t>
      </w:r>
      <w:hyperlink r:id="rId21" w:history="1">
        <w:r>
          <w:rPr>
            <w:rStyle w:val="Hyperlink"/>
          </w:rPr>
          <w:t>https://www.zoerr.de/edu-sharing/components/render/1f40679c-4893-48e2-a358-7e1de27284bf</w:t>
        </w:r>
      </w:hyperlink>
      <w:r>
        <w:rPr>
          <w:u w:val="single"/>
        </w:rPr>
        <w:t xml:space="preserve"> </w:t>
      </w:r>
    </w:p>
    <w:p>
      <w:r>
        <w:t xml:space="preserve">Schmitz, D., Hausen, D. &amp; Trautwein-Bruns, U. (2018). Forschungsdaten und ihre Metadaten. RWTH Aachen. </w:t>
      </w:r>
      <w:hyperlink r:id="rId22" w:history="1">
        <w:r>
          <w:rPr>
            <w:rStyle w:val="Hyperlink"/>
          </w:rPr>
          <w:t>https://doi.org/10.18154/RWTH-2018_231101</w:t>
        </w:r>
      </w:hyperlink>
    </w:p>
    <w:p>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„Daten managen -  3.2</w:t>
      </w:r>
      <w:bookmarkStart w:id="0" w:name="_GoBack"/>
      <w:bookmarkEnd w:id="0"/>
      <w:r>
        <w:rPr>
          <w:b/>
          <w:bCs/>
        </w:rPr>
        <w:t xml:space="preserve"> Metadaten – Metadatenstandards“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3"/>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4</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F0514E7"/>
    <w:multiLevelType w:val="hybridMultilevel"/>
    <w:tmpl w:val="1E3C2C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F779CE"/>
    <w:multiLevelType w:val="hybridMultilevel"/>
    <w:tmpl w:val="6414DC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1"/>
  </w:num>
  <w:num w:numId="4">
    <w:abstractNumId w:val="10"/>
  </w:num>
  <w:num w:numId="5">
    <w:abstractNumId w:val="2"/>
  </w:num>
  <w:num w:numId="6">
    <w:abstractNumId w:val="4"/>
  </w:num>
  <w:num w:numId="7">
    <w:abstractNumId w:val="6"/>
  </w:num>
  <w:num w:numId="8">
    <w:abstractNumId w:val="13"/>
  </w:num>
  <w:num w:numId="9">
    <w:abstractNumId w:val="12"/>
  </w:num>
  <w:num w:numId="10">
    <w:abstractNumId w:val="9"/>
  </w:num>
  <w:num w:numId="11">
    <w:abstractNumId w:val="5"/>
  </w:num>
  <w:num w:numId="12">
    <w:abstractNumId w:val="0"/>
  </w:num>
  <w:num w:numId="13">
    <w:abstractNumId w:val="1"/>
  </w:num>
  <w:num w:numId="14">
    <w:abstractNumId w:val="3"/>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489295092">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 w:id="206629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ema.datacite.org/meta/kernel-4.6/" TargetMode="External"/><Relationship Id="rId13" Type="http://schemas.openxmlformats.org/officeDocument/2006/relationships/hyperlink" Target="https://rdamsc.bath.ac.uk/" TargetMode="External"/><Relationship Id="rId18" Type="http://schemas.openxmlformats.org/officeDocument/2006/relationships/hyperlink" Target="mailto:HD@DH.nrw"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zoerr.de/edu-sharing/components/render/1f40679c-4893-48e2-a358-7e1de27284bf" TargetMode="External"/><Relationship Id="rId7" Type="http://schemas.openxmlformats.org/officeDocument/2006/relationships/hyperlink" Target="http://dublincore.org/specifications/" TargetMode="External"/><Relationship Id="rId12" Type="http://schemas.openxmlformats.org/officeDocument/2006/relationships/hyperlink" Target="https://www.dcc.ac.uk/guidance/standards/metadata" TargetMode="External"/><Relationship Id="rId17" Type="http://schemas.openxmlformats.org/officeDocument/2006/relationships/hyperlink" Target="https://doi.org/10.14454/mzv1-5b55DCMI"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forschungsdaten.info/themen/beschreiben-und-dokumentieren/metadaten-und-metadatenstandards/" TargetMode="External"/><Relationship Id="rId20" Type="http://schemas.openxmlformats.org/officeDocument/2006/relationships/hyperlink" Target="https://www.nfdi4health.de/en/service/metadata-schema.html"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irsharing.or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wikipedia.org/wiki/Liste_von_Metadatenformaten" TargetMode="External"/><Relationship Id="rId23" Type="http://schemas.openxmlformats.org/officeDocument/2006/relationships/image" Target="media/image1.png"/><Relationship Id="rId28" Type="http://schemas.openxmlformats.org/officeDocument/2006/relationships/header" Target="header3.xml"/><Relationship Id="rId10" Type="http://schemas.openxmlformats.org/officeDocument/2006/relationships/hyperlink" Target="https://simplifier.net/NFDI4Health-Metadata-Schema/~introduction" TargetMode="External"/><Relationship Id="rId19" Type="http://schemas.openxmlformats.org/officeDocument/2006/relationships/hyperlink" Target="https://doi.org/10.5281/zenodo.793696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pository.publisso.de/resource/frl:6472624" TargetMode="External"/><Relationship Id="rId14" Type="http://schemas.openxmlformats.org/officeDocument/2006/relationships/hyperlink" Target="https://helmholtz-metadaten.de/de/fair-data-commons/metadata-standards-catalog" TargetMode="External"/><Relationship Id="rId22" Type="http://schemas.openxmlformats.org/officeDocument/2006/relationships/hyperlink" Target="https://doi.org/10.18154/RWTH-2018_231101"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1223</Words>
  <Characters>7710</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6</cp:revision>
  <cp:lastPrinted>2025-09-30T11:10:00Z</cp:lastPrinted>
  <dcterms:created xsi:type="dcterms:W3CDTF">2025-09-30T11:14:00Z</dcterms:created>
  <dcterms:modified xsi:type="dcterms:W3CDTF">2025-10-09T13:41:00Z</dcterms:modified>
</cp:coreProperties>
</file>