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F729B" w14:textId="6E6C3E3D" w:rsidR="009B7AE6" w:rsidRDefault="00000000">
      <w:pPr>
        <w:pStyle w:val="Titel"/>
      </w:pPr>
      <w:r>
        <w:t>2.</w:t>
      </w:r>
      <w:r w:rsidR="00B96416">
        <w:t>2</w:t>
      </w:r>
      <w:r>
        <w:t xml:space="preserve"> Standardisierung und Komprimierung</w:t>
      </w:r>
    </w:p>
    <w:p w14:paraId="67AC6D23" w14:textId="77777777" w:rsidR="009B7AE6" w:rsidRDefault="00000000">
      <w:pPr>
        <w:pStyle w:val="Untertitel"/>
      </w:pPr>
      <w:r>
        <w:t>Daten managen – 2 Datenmanipulation</w:t>
      </w:r>
    </w:p>
    <w:p w14:paraId="5CE3C6D5" w14:textId="77777777" w:rsidR="009B7AE6" w:rsidRDefault="00000000">
      <w:pPr>
        <w:jc w:val="both"/>
        <w:rPr>
          <w:rFonts w:cs="Arial"/>
        </w:rPr>
      </w:pPr>
      <w:r>
        <w:rPr>
          <w:rFonts w:cs="Arial"/>
        </w:rPr>
        <w:t xml:space="preserve">Die Frage, warum Datenstandards im Gesundheitswesen so wichtig sind, beantwortet folgende </w:t>
      </w:r>
      <w:proofErr w:type="spellStart"/>
      <w:r>
        <w:rPr>
          <w:rFonts w:cs="Arial"/>
        </w:rPr>
        <w:t>Podcastfolge</w:t>
      </w:r>
      <w:proofErr w:type="spellEnd"/>
      <w:r>
        <w:rPr>
          <w:rFonts w:cs="Arial"/>
        </w:rPr>
        <w:t xml:space="preserve"> des NFDI Podcast mit Dr. Heinz Oberkampf mit dem Titel „</w:t>
      </w:r>
      <w:hyperlink r:id="rId7" w:history="1">
        <w:r>
          <w:rPr>
            <w:rStyle w:val="Hyperlink"/>
            <w:rFonts w:cs="Arial"/>
          </w:rPr>
          <w:t>Datenstandards im Gesundheitswesen – Effizienz, Sicherheit und Transparenz</w:t>
        </w:r>
      </w:hyperlink>
      <w:r>
        <w:rPr>
          <w:rFonts w:cs="Arial"/>
        </w:rPr>
        <w:t xml:space="preserve">“ aus dem Jahr 2024. Er ist über </w:t>
      </w:r>
      <w:proofErr w:type="spellStart"/>
      <w:r>
        <w:rPr>
          <w:rFonts w:cs="Arial"/>
        </w:rPr>
        <w:t>Acast</w:t>
      </w:r>
      <w:proofErr w:type="spellEnd"/>
      <w:r>
        <w:rPr>
          <w:rFonts w:cs="Arial"/>
        </w:rPr>
        <w:t xml:space="preserve">, Spotify und </w:t>
      </w:r>
      <w:proofErr w:type="spellStart"/>
      <w:r>
        <w:rPr>
          <w:rFonts w:cs="Arial"/>
        </w:rPr>
        <w:t>Youtube</w:t>
      </w:r>
      <w:proofErr w:type="spellEnd"/>
      <w:r>
        <w:rPr>
          <w:rFonts w:cs="Arial"/>
        </w:rPr>
        <w:t xml:space="preserve"> abrufbar.</w:t>
      </w:r>
    </w:p>
    <w:p w14:paraId="294FC188" w14:textId="77777777" w:rsidR="009B7AE6" w:rsidRDefault="00000000">
      <w:pPr>
        <w:jc w:val="both"/>
      </w:pPr>
      <w:r>
        <w:rPr>
          <w:rFonts w:cs="Arial"/>
        </w:rPr>
        <w:t>Es macht deutlich wie wichtig es ist, eine „gemeinsame Sprache“ zu sprechen, um über die eigenen Grenzen hinaus über und mit Daten kommunizieren zu können.</w:t>
      </w:r>
    </w:p>
    <w:p w14:paraId="73C04450" w14:textId="77777777" w:rsidR="009B7AE6" w:rsidRDefault="00000000">
      <w:pPr>
        <w:pStyle w:val="berschrift1"/>
      </w:pPr>
      <w:r>
        <w:t>Kontrolliertes Vokabular</w:t>
      </w:r>
    </w:p>
    <w:p w14:paraId="32099CF6" w14:textId="77777777" w:rsidR="009B7AE6" w:rsidRDefault="00000000">
      <w:pPr>
        <w:jc w:val="both"/>
      </w:pPr>
      <w:r>
        <w:t xml:space="preserve">Viele Metadatenschemata nutzen kontrollierte </w:t>
      </w:r>
      <w:proofErr w:type="spellStart"/>
      <w:r>
        <w:t>Vokabularsysteme</w:t>
      </w:r>
      <w:proofErr w:type="spellEnd"/>
      <w:r>
        <w:t>. Hierfür werden anstatt einer freien Verschlagwortung fest vorgegebene Terme genutzt, um die Metadaten weiter zu standardisieren. Denn selbst bei vorgegebenem Inhalt kann es zu mehrdeutigen Inhalten kommen, durch Synonyme, Singular-Plural-Problematiken oder unterschiedliche Schreibweisen. Beispielsweise könnten in einem Feld „Diagnose“ verschiedene Dinge eingetragen, aber das selbe gemeint sein, z.B. „Rückenschmerzen“ oder „schmerzender Rücken“. Es können aber auch verschiedene Detailtiefen gewählt werden wie „Rückenschmerzen“ oder „</w:t>
      </w:r>
      <w:proofErr w:type="spellStart"/>
      <w:r>
        <w:t>Ischiasschmerz</w:t>
      </w:r>
      <w:proofErr w:type="spellEnd"/>
      <w:r>
        <w:t>“. Das kann schon zu Missverständnissen führen, wenn mehrere Personen gemeinsam mit einem Datensatz arbeiten, aber spätestens wenn die Daten automatisch verarbeitet werden sollen (z.B. ausgewertet werden soll, wie häufig eine bestimmte Krankheit im letzten Quartal vorgekommen ist) kommt es zu Problemen. Deswegen ist der Einsatz von kontrollierten Vokabularen sinnvoll.</w:t>
      </w:r>
    </w:p>
    <w:p w14:paraId="35D7526C" w14:textId="77777777" w:rsidR="009B7AE6" w:rsidRDefault="00000000">
      <w:pPr>
        <w:jc w:val="both"/>
      </w:pPr>
      <w:r>
        <w:t xml:space="preserve">Ein kontrolliertes Vokabular kann als einfache </w:t>
      </w:r>
      <w:r>
        <w:rPr>
          <w:b/>
        </w:rPr>
        <w:t>Wortliste</w:t>
      </w:r>
      <w:r>
        <w:t xml:space="preserve"> realisiert sein, die den Raum der nutzbaren Begriffe beschränken, aber auch durch komplexere, strukturierte Begriffssysteme gegeben sein.</w:t>
      </w:r>
    </w:p>
    <w:p w14:paraId="2081D6E6" w14:textId="77777777" w:rsidR="009B7AE6" w:rsidRDefault="00000000">
      <w:pPr>
        <w:pStyle w:val="Listenabsatz"/>
        <w:numPr>
          <w:ilvl w:val="0"/>
          <w:numId w:val="12"/>
        </w:numPr>
        <w:jc w:val="both"/>
      </w:pPr>
      <w:r>
        <w:rPr>
          <w:b/>
        </w:rPr>
        <w:t>Taxonomie:</w:t>
      </w:r>
      <w:r>
        <w:t xml:space="preserve"> Eine Taxonomie erweitert eine Wortliste um Mono-Hierarchien. Das heißt, Begriffe können über Eltern-Kind-Relationen mit Ober- bzw. Unterklassen erweitert werden. </w:t>
      </w:r>
    </w:p>
    <w:p w14:paraId="301DEAFB" w14:textId="77777777" w:rsidR="009B7AE6" w:rsidRDefault="00000000">
      <w:pPr>
        <w:pStyle w:val="Listenabsatz"/>
        <w:numPr>
          <w:ilvl w:val="0"/>
          <w:numId w:val="12"/>
        </w:numPr>
        <w:jc w:val="both"/>
      </w:pPr>
      <w:r>
        <w:rPr>
          <w:b/>
        </w:rPr>
        <w:t>Thesaurus:</w:t>
      </w:r>
      <w:r>
        <w:t xml:space="preserve"> ein Thesaurus ist eine Taxonomie, die zusätzlich über Äquivalenz- und Assoziationsrelationen verfügt. Das bedeutet es gibt nicht nur ober- und untergeordnete Begriffe, sondern es werden auch Synonyme (manchmal auch Antonyme) aufgeführt. Das führt zu einem komplexeren Wortnetzgebilde.</w:t>
      </w:r>
    </w:p>
    <w:p w14:paraId="06CC6638" w14:textId="77777777" w:rsidR="009B7AE6" w:rsidRDefault="00000000">
      <w:pPr>
        <w:pStyle w:val="Listenabsatz"/>
        <w:numPr>
          <w:ilvl w:val="0"/>
          <w:numId w:val="12"/>
        </w:numPr>
        <w:jc w:val="both"/>
      </w:pPr>
      <w:r>
        <w:rPr>
          <w:b/>
        </w:rPr>
        <w:t>Ontologie:</w:t>
      </w:r>
      <w:r>
        <w:t xml:space="preserve"> Ontologien finden vor allem in der Informatik Verwendung und enthalten zusätzlich Inferenz- und Integritätsregeln. Sie umfassen eine geordnete Darstellung einer Menge von Begriffen und der zwischen ihnen bestehenden Beziehungen, die z.B. mit logischen Relationen beschrieben werden können sowie Eigenschaften der Begriffe. </w:t>
      </w:r>
    </w:p>
    <w:p w14:paraId="6A7A2D4F" w14:textId="77777777" w:rsidR="009B7AE6" w:rsidRDefault="00000000">
      <w:pPr>
        <w:jc w:val="both"/>
      </w:pPr>
      <w:r>
        <w:rPr>
          <w:noProof/>
          <w:lang w:eastAsia="de-DE"/>
        </w:rPr>
        <w:lastRenderedPageBreak/>
        <mc:AlternateContent>
          <mc:Choice Requires="wps">
            <w:drawing>
              <wp:anchor distT="0" distB="0" distL="114300" distR="114300" simplePos="0" relativeHeight="251662336" behindDoc="0" locked="0" layoutInCell="1" allowOverlap="1" wp14:anchorId="5F04B82D" wp14:editId="531A91E7">
                <wp:simplePos x="0" y="0"/>
                <wp:positionH relativeFrom="column">
                  <wp:posOffset>4524375</wp:posOffset>
                </wp:positionH>
                <wp:positionV relativeFrom="paragraph">
                  <wp:posOffset>2485390</wp:posOffset>
                </wp:positionV>
                <wp:extent cx="71120" cy="270510"/>
                <wp:effectExtent l="0" t="0" r="81280" b="53340"/>
                <wp:wrapNone/>
                <wp:docPr id="11" name="Gerade Verbindung mit Pfeil 11"/>
                <wp:cNvGraphicFramePr/>
                <a:graphic xmlns:a="http://schemas.openxmlformats.org/drawingml/2006/main">
                  <a:graphicData uri="http://schemas.microsoft.com/office/word/2010/wordprocessingShape">
                    <wps:wsp>
                      <wps:cNvCnPr/>
                      <wps:spPr>
                        <a:xfrm>
                          <a:off x="0" y="0"/>
                          <a:ext cx="71120" cy="27051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Gerade Verbindung mit Pfeil 11" o:spid="_x0000_s1026" type="#_x0000_t32" style="position:absolute;margin-left:356.25pt;margin-top:195.7pt;width:5.6pt;height:2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" strokecolor="#7f7f7f [1612]" strokeweight=".5pt">
                <v:stroke endarrow="block" joinstyle="miter"/>
              </v:shape>
            </w:pict>
          </mc:Fallback>
        </mc:AlternateContent>
      </w:r>
      <w:r>
        <w:rPr>
          <w:noProof/>
          <w:lang w:eastAsia="de-DE"/>
        </w:rPr>
        <mc:AlternateContent>
          <mc:Choice Requires="wps">
            <w:drawing>
              <wp:anchor distT="0" distB="0" distL="114300" distR="114300" simplePos="0" relativeHeight="251663360" behindDoc="0" locked="0" layoutInCell="1" allowOverlap="1" wp14:anchorId="3D5C38EA" wp14:editId="1600355D">
                <wp:simplePos x="0" y="0"/>
                <wp:positionH relativeFrom="column">
                  <wp:posOffset>4427220</wp:posOffset>
                </wp:positionH>
                <wp:positionV relativeFrom="paragraph">
                  <wp:posOffset>2510584</wp:posOffset>
                </wp:positionV>
                <wp:extent cx="48895" cy="240665"/>
                <wp:effectExtent l="57150" t="38100" r="46355" b="26035"/>
                <wp:wrapNone/>
                <wp:docPr id="12" name="Gerade Verbindung mit Pfeil 12"/>
                <wp:cNvGraphicFramePr/>
                <a:graphic xmlns:a="http://schemas.openxmlformats.org/drawingml/2006/main">
                  <a:graphicData uri="http://schemas.microsoft.com/office/word/2010/wordprocessingShape">
                    <wps:wsp>
                      <wps:cNvCnPr/>
                      <wps:spPr>
                        <a:xfrm flipH="1" flipV="1">
                          <a:off x="0" y="0"/>
                          <a:ext cx="48895" cy="240665"/>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rade Verbindung mit Pfeil 12" o:spid="_x0000_s1026" type="#_x0000_t32" style="position:absolute;margin-left:348.6pt;margin-top:197.7pt;width:3.85pt;height:18.95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" strokecolor="#7f7f7f [1612]" strokeweight=".5pt">
                <v:stroke endarrow="block" joinstyle="miter"/>
              </v:shape>
            </w:pict>
          </mc:Fallback>
        </mc:AlternateContent>
      </w:r>
      <w:r>
        <w:rPr>
          <w:noProof/>
          <w:lang w:eastAsia="de-DE"/>
        </w:rPr>
        <mc:AlternateContent>
          <mc:Choice Requires="wps">
            <w:drawing>
              <wp:anchor distT="45720" distB="45720" distL="114300" distR="114300" simplePos="0" relativeHeight="251664384" behindDoc="0" locked="0" layoutInCell="1" allowOverlap="1" wp14:anchorId="210BE7C9" wp14:editId="60C7C9EF">
                <wp:simplePos x="0" y="0"/>
                <wp:positionH relativeFrom="column">
                  <wp:posOffset>3903345</wp:posOffset>
                </wp:positionH>
                <wp:positionV relativeFrom="paragraph">
                  <wp:posOffset>2509471</wp:posOffset>
                </wp:positionV>
                <wp:extent cx="481965" cy="245110"/>
                <wp:effectExtent l="0" t="0" r="0" b="2540"/>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245110"/>
                        </a:xfrm>
                        <a:prstGeom prst="rect">
                          <a:avLst/>
                        </a:prstGeom>
                        <a:solidFill>
                          <a:srgbClr val="FFFFFF"/>
                        </a:solidFill>
                        <a:ln w="9525">
                          <a:noFill/>
                          <a:miter lim="800000"/>
                          <a:headEnd/>
                          <a:tailEnd/>
                        </a:ln>
                      </wps:spPr>
                      <wps:txbx>
                        <w:txbxContent>
                          <w:p w14:paraId="3415B2C7" w14:textId="77777777" w:rsidR="009B7AE6" w:rsidRDefault="00000000">
                            <w:pPr>
                              <w:rPr>
                                <w:sz w:val="10"/>
                              </w:rPr>
                            </w:pPr>
                            <w:r>
                              <w:rPr>
                                <w:sz w:val="10"/>
                              </w:rPr>
                              <w:t>wird behandelt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307.35pt;margin-top:197.6pt;width:37.95pt;height:19.3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" stroked="f">
                <v:textbox>
                  <w:txbxContent>
                    <w:p>
                      <w:pPr>
                        <w:rPr>
                          <w:sz w:val="10"/>
                        </w:rPr>
                      </w:pPr>
                      <w:r>
                        <w:rPr>
                          <w:sz w:val="10"/>
                        </w:rPr>
                        <w:t>wird behandelt</w:t>
                      </w:r>
                    </w:p>
                  </w:txbxContent>
                </v:textbox>
              </v:shape>
            </w:pict>
          </mc:Fallback>
        </mc:AlternateContent>
      </w:r>
      <w:r>
        <w:rPr>
          <w:noProof/>
          <w:lang w:eastAsia="de-DE"/>
        </w:rPr>
        <mc:AlternateContent>
          <mc:Choice Requires="wps">
            <w:drawing>
              <wp:anchor distT="0" distB="0" distL="114300" distR="114300" simplePos="0" relativeHeight="251668480" behindDoc="0" locked="0" layoutInCell="1" allowOverlap="1" wp14:anchorId="6B9AAD57" wp14:editId="27F8C271">
                <wp:simplePos x="0" y="0"/>
                <wp:positionH relativeFrom="column">
                  <wp:posOffset>4770120</wp:posOffset>
                </wp:positionH>
                <wp:positionV relativeFrom="paragraph">
                  <wp:posOffset>2181860</wp:posOffset>
                </wp:positionV>
                <wp:extent cx="177800" cy="160655"/>
                <wp:effectExtent l="38100" t="0" r="31750" b="48895"/>
                <wp:wrapNone/>
                <wp:docPr id="18" name="Gerade Verbindung mit Pfeil 18"/>
                <wp:cNvGraphicFramePr/>
                <a:graphic xmlns:a="http://schemas.openxmlformats.org/drawingml/2006/main">
                  <a:graphicData uri="http://schemas.microsoft.com/office/word/2010/wordprocessingShape">
                    <wps:wsp>
                      <wps:cNvCnPr/>
                      <wps:spPr>
                        <a:xfrm flipH="1">
                          <a:off x="0" y="0"/>
                          <a:ext cx="177800" cy="160655"/>
                        </a:xfrm>
                        <a:prstGeom prst="straightConnector1">
                          <a:avLst/>
                        </a:prstGeom>
                        <a:ln w="19050">
                          <a:solidFill>
                            <a:schemeClr val="bg2">
                              <a:lumMod val="50000"/>
                            </a:schemeClr>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rade Verbindung mit Pfeil 18" o:spid="_x0000_s1026" type="#_x0000_t32" style="position:absolute;margin-left:375.6pt;margin-top:171.8pt;width:14pt;height:12.6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" strokecolor="#747070 [1614]" strokeweight="1.5pt">
                <v:stroke dashstyle="1 1" endarrow="block" joinstyle="miter"/>
              </v:shape>
            </w:pict>
          </mc:Fallback>
        </mc:AlternateContent>
      </w:r>
      <w:r>
        <w:rPr>
          <w:noProof/>
          <w:lang w:eastAsia="de-DE"/>
        </w:rPr>
        <mc:AlternateContent>
          <mc:Choice Requires="wps">
            <w:drawing>
              <wp:anchor distT="0" distB="0" distL="114300" distR="114300" simplePos="0" relativeHeight="251667456" behindDoc="0" locked="0" layoutInCell="1" allowOverlap="1" wp14:anchorId="0D4828D1" wp14:editId="2452A382">
                <wp:simplePos x="0" y="0"/>
                <wp:positionH relativeFrom="column">
                  <wp:posOffset>4109720</wp:posOffset>
                </wp:positionH>
                <wp:positionV relativeFrom="paragraph">
                  <wp:posOffset>1969770</wp:posOffset>
                </wp:positionV>
                <wp:extent cx="122555" cy="291465"/>
                <wp:effectExtent l="0" t="0" r="67945" b="51435"/>
                <wp:wrapNone/>
                <wp:docPr id="17" name="Gerade Verbindung mit Pfeil 17"/>
                <wp:cNvGraphicFramePr/>
                <a:graphic xmlns:a="http://schemas.openxmlformats.org/drawingml/2006/main">
                  <a:graphicData uri="http://schemas.microsoft.com/office/word/2010/wordprocessingShape">
                    <wps:wsp>
                      <wps:cNvCnPr/>
                      <wps:spPr>
                        <a:xfrm>
                          <a:off x="0" y="0"/>
                          <a:ext cx="122555" cy="291465"/>
                        </a:xfrm>
                        <a:prstGeom prst="straightConnector1">
                          <a:avLst/>
                        </a:prstGeom>
                        <a:ln w="19050">
                          <a:solidFill>
                            <a:schemeClr val="bg2">
                              <a:lumMod val="50000"/>
                            </a:schemeClr>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rade Verbindung mit Pfeil 17" o:spid="_x0000_s1026" type="#_x0000_t32" style="position:absolute;margin-left:323.6pt;margin-top:155.1pt;width:9.65pt;height:22.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" strokecolor="#747070 [1614]" strokeweight="1.5pt">
                <v:stroke dashstyle="1 1" endarrow="block" joinstyle="miter"/>
              </v:shape>
            </w:pict>
          </mc:Fallback>
        </mc:AlternateContent>
      </w:r>
      <w:r>
        <w:rPr>
          <w:noProof/>
          <w:lang w:eastAsia="de-DE"/>
        </w:rPr>
        <mc:AlternateContent>
          <mc:Choice Requires="wps">
            <w:drawing>
              <wp:anchor distT="0" distB="0" distL="114300" distR="114300" simplePos="0" relativeHeight="251666432" behindDoc="0" locked="0" layoutInCell="1" allowOverlap="1" wp14:anchorId="115773F1" wp14:editId="6307A37D">
                <wp:simplePos x="0" y="0"/>
                <wp:positionH relativeFrom="column">
                  <wp:posOffset>4299585</wp:posOffset>
                </wp:positionH>
                <wp:positionV relativeFrom="paragraph">
                  <wp:posOffset>1945005</wp:posOffset>
                </wp:positionV>
                <wp:extent cx="812800" cy="254000"/>
                <wp:effectExtent l="0" t="0" r="25400" b="12700"/>
                <wp:wrapNone/>
                <wp:docPr id="16" name="Ellipse 16"/>
                <wp:cNvGraphicFramePr/>
                <a:graphic xmlns:a="http://schemas.openxmlformats.org/drawingml/2006/main">
                  <a:graphicData uri="http://schemas.microsoft.com/office/word/2010/wordprocessingShape">
                    <wps:wsp>
                      <wps:cNvSpPr/>
                      <wps:spPr>
                        <a:xfrm>
                          <a:off x="0" y="0"/>
                          <a:ext cx="812800" cy="254000"/>
                        </a:xfrm>
                        <a:prstGeom prst="ellipse">
                          <a:avLst/>
                        </a:prstGeom>
                        <a:solidFill>
                          <a:schemeClr val="bg1">
                            <a:lumMod val="50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8FDC63" w14:textId="77777777" w:rsidR="009B7AE6" w:rsidRDefault="00000000">
                            <w:pPr>
                              <w:jc w:val="center"/>
                              <w:rPr>
                                <w:sz w:val="10"/>
                                <w:szCs w:val="10"/>
                              </w:rPr>
                            </w:pPr>
                            <w:r>
                              <w:rPr>
                                <w:sz w:val="10"/>
                                <w:szCs w:val="10"/>
                              </w:rPr>
                              <w:t>Gynäkolog:innen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6" o:spid="_x0000_s1027" style="position:absolute;left:0;text-align:left;margin-left:338.55pt;margin-top:153.15pt;width:64pt;height:2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" fillcolor="#7f7f7f [1612]" strokecolor="#a5a5a5 [2092]" strokeweight="1pt">
                <v:stroke joinstyle="miter"/>
                <v:textbox>
                  <w:txbxContent>
                    <w:p>
                      <w:pPr>
                        <w:jc w:val="center"/>
                        <w:rPr>
                          <w:sz w:val="10"/>
                          <w:szCs w:val="10"/>
                        </w:rPr>
                      </w:pPr>
                      <w:r>
                        <w:rPr>
                          <w:sz w:val="10"/>
                          <w:szCs w:val="10"/>
                        </w:rPr>
                        <w:t>Gynäkolog:innen</w:t>
                      </w:r>
                    </w:p>
                  </w:txbxContent>
                </v:textbox>
              </v:oval>
            </w:pict>
          </mc:Fallback>
        </mc:AlternateContent>
      </w:r>
      <w:r>
        <w:rPr>
          <w:noProof/>
          <w:lang w:eastAsia="de-DE"/>
        </w:rPr>
        <mc:AlternateContent>
          <mc:Choice Requires="wps">
            <w:drawing>
              <wp:anchor distT="0" distB="0" distL="114300" distR="114300" simplePos="0" relativeHeight="251665408" behindDoc="0" locked="0" layoutInCell="1" allowOverlap="1" wp14:anchorId="3717E26E" wp14:editId="2A565EA5">
                <wp:simplePos x="0" y="0"/>
                <wp:positionH relativeFrom="column">
                  <wp:posOffset>3825240</wp:posOffset>
                </wp:positionH>
                <wp:positionV relativeFrom="paragraph">
                  <wp:posOffset>1715770</wp:posOffset>
                </wp:positionV>
                <wp:extent cx="812800" cy="254000"/>
                <wp:effectExtent l="0" t="0" r="25400" b="12700"/>
                <wp:wrapNone/>
                <wp:docPr id="15" name="Ellipse 15"/>
                <wp:cNvGraphicFramePr/>
                <a:graphic xmlns:a="http://schemas.openxmlformats.org/drawingml/2006/main">
                  <a:graphicData uri="http://schemas.microsoft.com/office/word/2010/wordprocessingShape">
                    <wps:wsp>
                      <wps:cNvSpPr/>
                      <wps:spPr>
                        <a:xfrm>
                          <a:off x="0" y="0"/>
                          <a:ext cx="812800" cy="254000"/>
                        </a:xfrm>
                        <a:prstGeom prst="ellipse">
                          <a:avLst/>
                        </a:prstGeom>
                        <a:solidFill>
                          <a:schemeClr val="bg1">
                            <a:lumMod val="50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BAC83" w14:textId="77777777" w:rsidR="009B7AE6" w:rsidRDefault="00000000">
                            <w:pPr>
                              <w:jc w:val="center"/>
                              <w:rPr>
                                <w:sz w:val="10"/>
                                <w:szCs w:val="10"/>
                              </w:rPr>
                            </w:pPr>
                            <w:r>
                              <w:rPr>
                                <w:sz w:val="10"/>
                                <w:szCs w:val="10"/>
                              </w:rPr>
                              <w:t>Urolog:innen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5" o:spid="_x0000_s1028" style="position:absolute;left:0;text-align:left;margin-left:301.2pt;margin-top:135.1pt;width:64pt;height:2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" fillcolor="#7f7f7f [1612]" strokecolor="#a5a5a5 [2092]" strokeweight="1pt">
                <v:stroke joinstyle="miter"/>
                <v:textbox>
                  <w:txbxContent>
                    <w:p>
                      <w:pPr>
                        <w:jc w:val="center"/>
                        <w:rPr>
                          <w:sz w:val="10"/>
                          <w:szCs w:val="10"/>
                        </w:rPr>
                      </w:pPr>
                      <w:r>
                        <w:rPr>
                          <w:sz w:val="10"/>
                          <w:szCs w:val="10"/>
                        </w:rPr>
                        <w:t>Urolog:innen</w:t>
                      </w:r>
                    </w:p>
                  </w:txbxContent>
                </v:textbox>
              </v:oval>
            </w:pict>
          </mc:Fallback>
        </mc:AlternateContent>
      </w:r>
      <w:r>
        <w:rPr>
          <w:noProof/>
          <w:lang w:eastAsia="de-DE"/>
        </w:rPr>
        <mc:AlternateContent>
          <mc:Choice Requires="wps">
            <w:drawing>
              <wp:anchor distT="0" distB="0" distL="114300" distR="114300" simplePos="0" relativeHeight="251661312" behindDoc="0" locked="0" layoutInCell="1" allowOverlap="1" wp14:anchorId="4E799AC2" wp14:editId="2A32F4DF">
                <wp:simplePos x="0" y="0"/>
                <wp:positionH relativeFrom="column">
                  <wp:posOffset>4164330</wp:posOffset>
                </wp:positionH>
                <wp:positionV relativeFrom="paragraph">
                  <wp:posOffset>2743835</wp:posOffset>
                </wp:positionV>
                <wp:extent cx="808355" cy="254000"/>
                <wp:effectExtent l="0" t="0" r="10795" b="12700"/>
                <wp:wrapNone/>
                <wp:docPr id="5" name="Ellipse 5"/>
                <wp:cNvGraphicFramePr/>
                <a:graphic xmlns:a="http://schemas.openxmlformats.org/drawingml/2006/main">
                  <a:graphicData uri="http://schemas.microsoft.com/office/word/2010/wordprocessingShape">
                    <wps:wsp>
                      <wps:cNvSpPr/>
                      <wps:spPr>
                        <a:xfrm>
                          <a:off x="0" y="0"/>
                          <a:ext cx="808355" cy="254000"/>
                        </a:xfrm>
                        <a:prstGeom prst="ellipse">
                          <a:avLst/>
                        </a:prstGeom>
                        <a:solidFill>
                          <a:schemeClr val="bg1">
                            <a:lumMod val="50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143010" w14:textId="77777777" w:rsidR="009B7AE6" w:rsidRDefault="00000000">
                            <w:pPr>
                              <w:jc w:val="center"/>
                              <w:rPr>
                                <w:sz w:val="10"/>
                                <w:szCs w:val="10"/>
                              </w:rPr>
                            </w:pPr>
                            <w:r>
                              <w:rPr>
                                <w:sz w:val="10"/>
                                <w:szCs w:val="10"/>
                              </w:rPr>
                              <w:t>Patient:innen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5" o:spid="_x0000_s1029" style="position:absolute;left:0;text-align:left;margin-left:327.9pt;margin-top:216.05pt;width:63.65pt;height:2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" fillcolor="#7f7f7f [1612]" strokecolor="#a5a5a5 [2092]" strokeweight="1pt">
                <v:stroke joinstyle="miter"/>
                <v:textbox>
                  <w:txbxContent>
                    <w:p>
                      <w:pPr>
                        <w:jc w:val="center"/>
                        <w:rPr>
                          <w:sz w:val="10"/>
                          <w:szCs w:val="10"/>
                        </w:rPr>
                      </w:pPr>
                      <w:r>
                        <w:rPr>
                          <w:sz w:val="10"/>
                          <w:szCs w:val="10"/>
                        </w:rPr>
                        <w:t>Patient:innen</w:t>
                      </w:r>
                    </w:p>
                  </w:txbxContent>
                </v:textbox>
              </v:oval>
            </w:pict>
          </mc:Fallback>
        </mc:AlternateContent>
      </w:r>
      <w:r>
        <w:rPr>
          <w:noProof/>
          <w:lang w:eastAsia="de-DE"/>
        </w:rPr>
        <mc:AlternateContent>
          <mc:Choice Requires="wps">
            <w:drawing>
              <wp:anchor distT="0" distB="0" distL="114300" distR="114300" simplePos="0" relativeHeight="251660288" behindDoc="0" locked="0" layoutInCell="1" allowOverlap="1" wp14:anchorId="7FE8D42B" wp14:editId="22206890">
                <wp:simplePos x="0" y="0"/>
                <wp:positionH relativeFrom="column">
                  <wp:posOffset>4079875</wp:posOffset>
                </wp:positionH>
                <wp:positionV relativeFrom="paragraph">
                  <wp:posOffset>2242820</wp:posOffset>
                </wp:positionV>
                <wp:extent cx="698500" cy="254000"/>
                <wp:effectExtent l="0" t="0" r="25400" b="12700"/>
                <wp:wrapNone/>
                <wp:docPr id="4" name="Ellipse 4"/>
                <wp:cNvGraphicFramePr/>
                <a:graphic xmlns:a="http://schemas.openxmlformats.org/drawingml/2006/main">
                  <a:graphicData uri="http://schemas.microsoft.com/office/word/2010/wordprocessingShape">
                    <wps:wsp>
                      <wps:cNvSpPr/>
                      <wps:spPr>
                        <a:xfrm>
                          <a:off x="0" y="0"/>
                          <a:ext cx="698500" cy="254000"/>
                        </a:xfrm>
                        <a:prstGeom prst="ellipse">
                          <a:avLst/>
                        </a:prstGeom>
                        <a:solidFill>
                          <a:schemeClr val="bg1">
                            <a:lumMod val="50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E68747" w14:textId="77777777" w:rsidR="009B7AE6" w:rsidRDefault="00000000">
                            <w:pPr>
                              <w:jc w:val="center"/>
                              <w:rPr>
                                <w:sz w:val="10"/>
                                <w:szCs w:val="10"/>
                              </w:rPr>
                            </w:pPr>
                            <w:r>
                              <w:rPr>
                                <w:sz w:val="10"/>
                                <w:szCs w:val="10"/>
                              </w:rPr>
                              <w:t>Arzt:innen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4" o:spid="_x0000_s1030" style="position:absolute;left:0;text-align:left;margin-left:321.25pt;margin-top:176.6pt;width:55pt;height:2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" fillcolor="#7f7f7f [1612]" strokecolor="#a5a5a5 [2092]" strokeweight="1pt">
                <v:stroke joinstyle="miter"/>
                <v:textbox>
                  <w:txbxContent>
                    <w:p>
                      <w:pPr>
                        <w:jc w:val="center"/>
                        <w:rPr>
                          <w:sz w:val="10"/>
                          <w:szCs w:val="10"/>
                        </w:rPr>
                      </w:pPr>
                      <w:r>
                        <w:rPr>
                          <w:sz w:val="10"/>
                          <w:szCs w:val="10"/>
                        </w:rPr>
                        <w:t>Arzt:innen</w:t>
                      </w:r>
                    </w:p>
                  </w:txbxContent>
                </v:textbox>
              </v:oval>
            </w:pict>
          </mc:Fallback>
        </mc:AlternateContent>
      </w:r>
      <w:r>
        <w:rPr>
          <w:noProof/>
          <w:lang w:eastAsia="de-DE"/>
        </w:rPr>
        <mc:AlternateContent>
          <mc:Choice Requires="wps">
            <w:drawing>
              <wp:anchor distT="45720" distB="45720" distL="114300" distR="114300" simplePos="0" relativeHeight="251659264" behindDoc="0" locked="0" layoutInCell="1" allowOverlap="1" wp14:anchorId="5058285D" wp14:editId="61115FA2">
                <wp:simplePos x="0" y="0"/>
                <wp:positionH relativeFrom="column">
                  <wp:posOffset>4597351</wp:posOffset>
                </wp:positionH>
                <wp:positionV relativeFrom="paragraph">
                  <wp:posOffset>2587625</wp:posOffset>
                </wp:positionV>
                <wp:extent cx="473710" cy="173355"/>
                <wp:effectExtent l="0" t="0" r="2540" b="0"/>
                <wp:wrapNone/>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173355"/>
                        </a:xfrm>
                        <a:prstGeom prst="rect">
                          <a:avLst/>
                        </a:prstGeom>
                        <a:solidFill>
                          <a:srgbClr val="FFFFFF"/>
                        </a:solidFill>
                        <a:ln w="9525">
                          <a:noFill/>
                          <a:miter lim="800000"/>
                          <a:headEnd/>
                          <a:tailEnd/>
                        </a:ln>
                      </wps:spPr>
                      <wps:txbx>
                        <w:txbxContent>
                          <w:p w14:paraId="19407611" w14:textId="77777777" w:rsidR="009B7AE6" w:rsidRDefault="00000000">
                            <w:pPr>
                              <w:rPr>
                                <w:sz w:val="10"/>
                              </w:rPr>
                            </w:pPr>
                            <w:r>
                              <w:rPr>
                                <w:sz w:val="10"/>
                              </w:rPr>
                              <w:t>behandelt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362pt;margin-top:203.75pt;width:37.3pt;height:13.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" stroked="f">
                <v:textbox>
                  <w:txbxContent>
                    <w:p>
                      <w:pPr>
                        <w:rPr>
                          <w:sz w:val="10"/>
                        </w:rPr>
                      </w:pPr>
                      <w:r>
                        <w:rPr>
                          <w:sz w:val="10"/>
                        </w:rPr>
                        <w:t>behandelt</w:t>
                      </w:r>
                    </w:p>
                  </w:txbxContent>
                </v:textbox>
              </v:shape>
            </w:pict>
          </mc:Fallback>
        </mc:AlternateContent>
      </w:r>
      <w:r>
        <w:rPr>
          <w:noProof/>
          <w:lang w:eastAsia="de-DE"/>
        </w:rPr>
        <w:drawing>
          <wp:inline distT="0" distB="0" distL="0" distR="0" wp14:anchorId="728EC09C" wp14:editId="69801D0D">
            <wp:extent cx="5486400" cy="3200400"/>
            <wp:effectExtent l="38100" t="0" r="38100" b="0"/>
            <wp:docPr id="3" name="Diagram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6C292E07" w14:textId="77777777" w:rsidR="009B7AE6" w:rsidRDefault="00000000">
      <w:pPr>
        <w:jc w:val="both"/>
        <w:rPr>
          <w:sz w:val="20"/>
        </w:rPr>
      </w:pPr>
      <w:r>
        <w:rPr>
          <w:b/>
          <w:sz w:val="20"/>
        </w:rPr>
        <w:t>Abb. 1.</w:t>
      </w:r>
      <w:r>
        <w:rPr>
          <w:sz w:val="20"/>
        </w:rPr>
        <w:t xml:space="preserve"> Übersicht der verschiedenen Stufen kontrollierter Vokabulare</w:t>
      </w:r>
    </w:p>
    <w:p w14:paraId="02D7A5D4" w14:textId="77777777" w:rsidR="009B7AE6" w:rsidRDefault="00000000">
      <w:pPr>
        <w:pStyle w:val="berschrift1"/>
      </w:pPr>
      <w:r>
        <w:t>Standardisierung</w:t>
      </w:r>
    </w:p>
    <w:p w14:paraId="26015D0E" w14:textId="77777777" w:rsidR="009B7AE6" w:rsidRDefault="00000000">
      <w:pPr>
        <w:jc w:val="both"/>
      </w:pPr>
      <w:r>
        <w:t>Standardisierung dient dazu ein einheitliches Verständnis bei einer gemeinsamen Nutzung von Daten durch Regeln und Richtlinien zu schaffen. Die Standards legen fest wie Daten „auszusehen“ haben.</w:t>
      </w:r>
    </w:p>
    <w:p w14:paraId="1D5BADEB" w14:textId="77777777" w:rsidR="009B7AE6" w:rsidRDefault="00000000">
      <w:pPr>
        <w:jc w:val="both"/>
      </w:pPr>
      <w:r>
        <w:t>Im Gesundheitswesen existieren einige medizinische Klassifikationssysteme, wie ICD-10, OPS, aG-DRG. Diese Datenstandards sind einerseits dazu da sensible Informationen schützen, bilden aber auch die Grundlage für die Interoperabilität von Systemen und Datensätzen.</w:t>
      </w:r>
    </w:p>
    <w:p w14:paraId="612BD3F4" w14:textId="77777777" w:rsidR="009B7AE6" w:rsidRDefault="00000000">
      <w:pPr>
        <w:pStyle w:val="berschrift2"/>
      </w:pPr>
      <w:r>
        <w:t>ICD-10-GM</w:t>
      </w:r>
    </w:p>
    <w:p w14:paraId="696F31B2" w14:textId="77777777" w:rsidR="009B7AE6" w:rsidRDefault="00000000">
      <w:pPr>
        <w:jc w:val="both"/>
      </w:pPr>
      <w:r>
        <w:t xml:space="preserve">Die ICD-Codes (International Statistical Classification </w:t>
      </w:r>
      <w:proofErr w:type="spellStart"/>
      <w:r>
        <w:t>of</w:t>
      </w:r>
      <w:proofErr w:type="spellEnd"/>
      <w:r>
        <w:t xml:space="preserve"> </w:t>
      </w:r>
      <w:proofErr w:type="spellStart"/>
      <w:r>
        <w:t>Diseases</w:t>
      </w:r>
      <w:proofErr w:type="spellEnd"/>
      <w:r>
        <w:t xml:space="preserve"> and </w:t>
      </w:r>
      <w:proofErr w:type="spellStart"/>
      <w:r>
        <w:t>Related</w:t>
      </w:r>
      <w:proofErr w:type="spellEnd"/>
      <w:r>
        <w:t xml:space="preserve"> Health Problems) des Diagnoseklassifikationssystems sind dazu da, Krankheitsdiagnosen zu verschlüsseln, beispielsweise auf einer </w:t>
      </w:r>
      <w:proofErr w:type="spellStart"/>
      <w:r>
        <w:t>Arbeitunfähigkeitsbescheinigung</w:t>
      </w:r>
      <w:proofErr w:type="spellEnd"/>
      <w:r>
        <w:t xml:space="preserve">. Diese Klassifikation ist global gültig und wird von der WHO (World Health </w:t>
      </w:r>
      <w:proofErr w:type="spellStart"/>
      <w:r>
        <w:t>Organization</w:t>
      </w:r>
      <w:proofErr w:type="spellEnd"/>
      <w:r>
        <w:t xml:space="preserve">) herausgegeben. In Deutschland wird aktuell größtenteils die ICD-10-GM verwendet, also die 10. Entwurfsfassung in der „German </w:t>
      </w:r>
      <w:proofErr w:type="spellStart"/>
      <w:r>
        <w:t>Modification</w:t>
      </w:r>
      <w:proofErr w:type="spellEnd"/>
      <w:r>
        <w:t>“, die die Besonderheiten des deutschen Gesundheitswesens berücksichtigt.</w:t>
      </w:r>
    </w:p>
    <w:p w14:paraId="69D275BE" w14:textId="77777777" w:rsidR="009B7AE6" w:rsidRDefault="00000000">
      <w:pPr>
        <w:jc w:val="both"/>
      </w:pPr>
      <w:r>
        <w:t xml:space="preserve">Es existiert ein systematisches Verzeichnis der ICD-10-GM, die sogenannte Systematik, welche sich in 22 Kapitel untergliedert. Unter diese fallen verschiedene Gruppen, die sich nochmal in Kategorien aufspalten und jeweils noch Subkategorien haben, die weitere Subkategorien haben können. So kommt man auf 5 Hierarchieebenen. Die ICD-10-GM Kapitel enthalten zusätzliche Klassenattribute die als nähere Hinweise, </w:t>
      </w:r>
      <w:proofErr w:type="spellStart"/>
      <w:r>
        <w:t>Inklusiva</w:t>
      </w:r>
      <w:proofErr w:type="spellEnd"/>
      <w:r>
        <w:t xml:space="preserve"> und </w:t>
      </w:r>
      <w:proofErr w:type="spellStart"/>
      <w:r>
        <w:t>Exklusiva</w:t>
      </w:r>
      <w:proofErr w:type="spellEnd"/>
      <w:r>
        <w:t xml:space="preserve"> enthalten sein können. </w:t>
      </w:r>
    </w:p>
    <w:p w14:paraId="49FBF26F" w14:textId="77777777" w:rsidR="009B7AE6" w:rsidRDefault="00000000">
      <w:pPr>
        <w:jc w:val="both"/>
        <w:rPr>
          <w:noProof/>
          <w:lang w:eastAsia="de-DE"/>
        </w:rPr>
      </w:pPr>
      <w:r>
        <w:t>Im ICD-10-GM existieren auch sogenannte sekundäre Schlüsselnummern, die nur in Kombination mit einem Primärcode verwendet werden dürfen. Diese sind entweder mit einem Ausrufezeichen (um Diagnosen zu spezifizieren) oder einem Stern (um zusätzliche Manifestationen zu codieren) versehen.</w:t>
      </w:r>
      <w:r>
        <w:rPr>
          <w:noProof/>
          <w:lang w:eastAsia="de-DE"/>
        </w:rPr>
        <w:t xml:space="preserve"> </w:t>
      </w:r>
      <w:r>
        <w:t xml:space="preserve">Zusätzlich kann man einen Code noch mit </w:t>
      </w:r>
      <w:r>
        <w:lastRenderedPageBreak/>
        <w:t>Zusatzkennzeichen für die Diagnosesicherheit (nur für den ambulanten Bereich) und die Seitenlokalisation versehen.</w:t>
      </w:r>
    </w:p>
    <w:p w14:paraId="61906231" w14:textId="77777777" w:rsidR="009B7AE6" w:rsidRDefault="00000000">
      <w:pPr>
        <w:jc w:val="both"/>
      </w:pPr>
      <w:r>
        <w:rPr>
          <w:noProof/>
          <w:lang w:eastAsia="de-DE"/>
        </w:rPr>
        <w:drawing>
          <wp:inline distT="0" distB="0" distL="0" distR="0" wp14:anchorId="72E769A4" wp14:editId="32CCA453">
            <wp:extent cx="4667250" cy="3714750"/>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26784"/>
                    <a:stretch/>
                  </pic:blipFill>
                  <pic:spPr bwMode="auto">
                    <a:xfrm>
                      <a:off x="0" y="0"/>
                      <a:ext cx="4667490" cy="3714941"/>
                    </a:xfrm>
                    <a:prstGeom prst="rect">
                      <a:avLst/>
                    </a:prstGeom>
                    <a:ln>
                      <a:noFill/>
                    </a:ln>
                    <a:extLst>
                      <a:ext uri="{53640926-AAD7-44D8-BBD7-CCE9431645EC}">
                        <a14:shadowObscured xmlns:a14="http://schemas.microsoft.com/office/drawing/2010/main"/>
                      </a:ext>
                    </a:extLst>
                  </pic:spPr>
                </pic:pic>
              </a:graphicData>
            </a:graphic>
          </wp:inline>
        </w:drawing>
      </w:r>
    </w:p>
    <w:p w14:paraId="7B13D1C8" w14:textId="77777777" w:rsidR="009B7AE6" w:rsidRDefault="00000000">
      <w:pPr>
        <w:jc w:val="both"/>
        <w:rPr>
          <w:sz w:val="20"/>
        </w:rPr>
      </w:pPr>
      <w:r>
        <w:rPr>
          <w:b/>
          <w:sz w:val="20"/>
        </w:rPr>
        <w:t>Abb. 2.</w:t>
      </w:r>
      <w:r>
        <w:rPr>
          <w:sz w:val="20"/>
        </w:rPr>
        <w:t xml:space="preserve"> Screenshot der Kapitel des ICD-10-GM Version 2025 von </w:t>
      </w:r>
      <w:hyperlink r:id="rId14" w:history="1">
        <w:r>
          <w:rPr>
            <w:rStyle w:val="Hyperlink"/>
            <w:sz w:val="20"/>
          </w:rPr>
          <w:t>https://klassifikationen.bfarm.de/icd-10-gm/kode-suche/htmlgm2025/index.htm</w:t>
        </w:r>
      </w:hyperlink>
      <w:r>
        <w:rPr>
          <w:sz w:val="20"/>
        </w:rPr>
        <w:t xml:space="preserve"> </w:t>
      </w:r>
    </w:p>
    <w:p w14:paraId="4263D9A5" w14:textId="77777777" w:rsidR="009B7AE6" w:rsidRDefault="00000000">
      <w:r>
        <w:t>Beispiel:</w:t>
      </w:r>
    </w:p>
    <w:p w14:paraId="0BA16FAD" w14:textId="77777777" w:rsidR="009B7AE6" w:rsidRDefault="00000000">
      <w:pPr>
        <w:pStyle w:val="Listenabsatz"/>
        <w:numPr>
          <w:ilvl w:val="0"/>
          <w:numId w:val="13"/>
        </w:numPr>
      </w:pPr>
      <w:r>
        <w:t>1 Kapitel: Kapitel I Bestimmte infektiöse und parasitäre Krankheiten (A00-B99)</w:t>
      </w:r>
    </w:p>
    <w:p w14:paraId="4B46066E" w14:textId="77777777" w:rsidR="009B7AE6" w:rsidRDefault="00000000">
      <w:pPr>
        <w:pStyle w:val="Listenabsatz"/>
        <w:numPr>
          <w:ilvl w:val="0"/>
          <w:numId w:val="13"/>
        </w:numPr>
      </w:pPr>
      <w:r>
        <w:t>2 Gruppe: Infektiöse Darmkrankheiten (A00-A09)</w:t>
      </w:r>
    </w:p>
    <w:p w14:paraId="587187D8" w14:textId="77777777" w:rsidR="009B7AE6" w:rsidRDefault="00000000">
      <w:pPr>
        <w:pStyle w:val="Listenabsatz"/>
        <w:numPr>
          <w:ilvl w:val="0"/>
          <w:numId w:val="13"/>
        </w:numPr>
      </w:pPr>
      <w:r>
        <w:t>3 Kategorie A00.- Cholera</w:t>
      </w:r>
    </w:p>
    <w:p w14:paraId="16755A2A" w14:textId="77777777" w:rsidR="009B7AE6" w:rsidRDefault="00000000">
      <w:pPr>
        <w:pStyle w:val="Listenabsatz"/>
        <w:numPr>
          <w:ilvl w:val="0"/>
          <w:numId w:val="13"/>
        </w:numPr>
        <w:rPr>
          <w:lang w:val="en-US"/>
        </w:rPr>
      </w:pPr>
      <w:r>
        <w:rPr>
          <w:lang w:val="en-US"/>
        </w:rPr>
        <w:t xml:space="preserve">4 </w:t>
      </w:r>
      <w:proofErr w:type="spellStart"/>
      <w:r>
        <w:rPr>
          <w:lang w:val="en-US"/>
        </w:rPr>
        <w:t>Subkategorie</w:t>
      </w:r>
      <w:proofErr w:type="spellEnd"/>
      <w:r>
        <w:rPr>
          <w:lang w:val="en-US"/>
        </w:rPr>
        <w:t xml:space="preserve">: A00.0 Cholera </w:t>
      </w:r>
      <w:proofErr w:type="spellStart"/>
      <w:r>
        <w:rPr>
          <w:lang w:val="en-US"/>
        </w:rPr>
        <w:t>durch</w:t>
      </w:r>
      <w:proofErr w:type="spellEnd"/>
      <w:r>
        <w:rPr>
          <w:lang w:val="en-US"/>
        </w:rPr>
        <w:t xml:space="preserve"> Vibrio cholerae O:1, Biovar cholera; </w:t>
      </w:r>
      <w:proofErr w:type="spellStart"/>
      <w:r>
        <w:rPr>
          <w:lang w:val="en-US"/>
        </w:rPr>
        <w:t>Klassische</w:t>
      </w:r>
      <w:proofErr w:type="spellEnd"/>
      <w:r>
        <w:rPr>
          <w:lang w:val="en-US"/>
        </w:rPr>
        <w:t xml:space="preserve"> Cholera</w:t>
      </w:r>
    </w:p>
    <w:p w14:paraId="2F10B7EE" w14:textId="77777777" w:rsidR="009B7AE6" w:rsidRDefault="00000000">
      <w:pPr>
        <w:pStyle w:val="Listenabsatz"/>
        <w:numPr>
          <w:ilvl w:val="0"/>
          <w:numId w:val="13"/>
        </w:numPr>
      </w:pPr>
      <w:r>
        <w:rPr>
          <w:lang w:val="en-US"/>
        </w:rPr>
        <w:t xml:space="preserve">5 </w:t>
      </w:r>
      <w:proofErr w:type="spellStart"/>
      <w:r>
        <w:rPr>
          <w:lang w:val="en-US"/>
        </w:rPr>
        <w:t>Subkategorie</w:t>
      </w:r>
      <w:proofErr w:type="spellEnd"/>
      <w:r>
        <w:rPr>
          <w:lang w:val="en-US"/>
        </w:rPr>
        <w:t>: /</w:t>
      </w:r>
    </w:p>
    <w:p w14:paraId="2F6CE18E" w14:textId="77777777" w:rsidR="009B7AE6" w:rsidRDefault="00000000">
      <w:pPr>
        <w:jc w:val="both"/>
      </w:pPr>
      <w:r>
        <w:t>Für den Praxisalltag bietet es sich an, die Diagnosen über das alphabetische Verzeichnis, dem Alphabet, zu codieren und anhand der Systematik nochmal zu überprüfen.</w:t>
      </w:r>
    </w:p>
    <w:p w14:paraId="7F15D1FC" w14:textId="77777777" w:rsidR="009B7AE6" w:rsidRDefault="00000000">
      <w:pPr>
        <w:pStyle w:val="berschrift2"/>
      </w:pPr>
      <w:r>
        <w:t>OPS</w:t>
      </w:r>
    </w:p>
    <w:p w14:paraId="0325A2BE" w14:textId="77777777" w:rsidR="009B7AE6" w:rsidRDefault="00000000">
      <w:pPr>
        <w:jc w:val="both"/>
      </w:pPr>
      <w:r>
        <w:t xml:space="preserve">Der OPS (Operationen- und </w:t>
      </w:r>
      <w:proofErr w:type="spellStart"/>
      <w:r>
        <w:t>Prozedurenschlüssel</w:t>
      </w:r>
      <w:proofErr w:type="spellEnd"/>
      <w:r>
        <w:t>) wird vom BfArM jährlich herausgegeben und enthält die amtliche Klassifikation zur Verschlüsselung von Operationen, Prozeduren und allgemeine medizinischen Maßnahmen. Zusammen mit dem ICD-10-GM bildet er die Grundlage der Leistungsabrechnung im deutschen Gesundheitswesen. Auch er enthält ein systematisches und alphabetisches Verzeichnis und lässt sich in 6 Hierarchieebenen untergliedern: Kapitel, Gruppe, Kategorie und 3x Subkategorien.</w:t>
      </w:r>
    </w:p>
    <w:p w14:paraId="55E0FF9B" w14:textId="77777777" w:rsidR="009B7AE6" w:rsidRDefault="00000000">
      <w:pPr>
        <w:jc w:val="both"/>
      </w:pPr>
      <w:r>
        <w:rPr>
          <w:noProof/>
          <w:lang w:eastAsia="de-DE"/>
        </w:rPr>
        <w:lastRenderedPageBreak/>
        <w:drawing>
          <wp:inline distT="0" distB="0" distL="0" distR="0" wp14:anchorId="6FC8E5C8" wp14:editId="09241D80">
            <wp:extent cx="3943350" cy="1448711"/>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31385"/>
                    <a:stretch/>
                  </pic:blipFill>
                  <pic:spPr bwMode="auto">
                    <a:xfrm>
                      <a:off x="0" y="0"/>
                      <a:ext cx="3946426" cy="1449841"/>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33BABA13" w14:textId="77777777" w:rsidR="009B7AE6" w:rsidRDefault="00000000">
      <w:pPr>
        <w:jc w:val="both"/>
        <w:rPr>
          <w:sz w:val="20"/>
          <w:szCs w:val="20"/>
        </w:rPr>
      </w:pPr>
      <w:r>
        <w:rPr>
          <w:b/>
          <w:sz w:val="20"/>
          <w:szCs w:val="20"/>
        </w:rPr>
        <w:t>Abb. 3.</w:t>
      </w:r>
      <w:r>
        <w:rPr>
          <w:sz w:val="20"/>
          <w:szCs w:val="20"/>
        </w:rPr>
        <w:t xml:space="preserve"> Screenshot der Kapitel des OPS Version 2025 von </w:t>
      </w:r>
      <w:hyperlink r:id="rId16" w:history="1">
        <w:r>
          <w:rPr>
            <w:rStyle w:val="Hyperlink"/>
            <w:sz w:val="20"/>
            <w:szCs w:val="20"/>
          </w:rPr>
          <w:t>https://www.bfarm.de/DE/Kodiersysteme/Klassifikationen/OPS-ICHI/OPS/_node.html</w:t>
        </w:r>
      </w:hyperlink>
    </w:p>
    <w:p w14:paraId="1D813070" w14:textId="77777777" w:rsidR="009B7AE6" w:rsidRDefault="00000000">
      <w:pPr>
        <w:pStyle w:val="berschrift2"/>
      </w:pPr>
      <w:r>
        <w:t>ICF</w:t>
      </w:r>
    </w:p>
    <w:p w14:paraId="002C01BF" w14:textId="77777777" w:rsidR="009B7AE6" w:rsidRDefault="00000000">
      <w:pPr>
        <w:jc w:val="both"/>
      </w:pPr>
      <w:r>
        <w:t xml:space="preserve">Das ICF (International Classification </w:t>
      </w:r>
      <w:proofErr w:type="spellStart"/>
      <w:r>
        <w:t>of</w:t>
      </w:r>
      <w:proofErr w:type="spellEnd"/>
      <w:r>
        <w:t xml:space="preserve"> </w:t>
      </w:r>
      <w:proofErr w:type="spellStart"/>
      <w:r>
        <w:t>Functioning</w:t>
      </w:r>
      <w:proofErr w:type="spellEnd"/>
      <w:r>
        <w:t>, Disability and Health) ist die internationale Klassifikation der Funktionsfähigkeit, Behinderung und Gesundheit der WHO. Sie dient dazu bio-psycho-sozialen Aspekte von Krankheitsfolgen unter Berücksichtigung der Kontextfaktoren systematisch zu erfassen. Sie klassifiziert Beeinträchtigungen von Körperfunktionen, Körperstrukturen, Aktivitäten und Partizipation und Umweltfaktoren. Um die Funktionsfähigkeit, die Funktionsfähigkeit und die Behinderung eines Menschen zu beschreiben sind mehrere Codes aus allen vier Komponenten nötig und werden meist mit Beurteilungsmerkmalen ergänzt, die Informationen zu dem Ausmaß einer Schädigung, Art einer Veränderung oder Lokalisation zu geben.</w:t>
      </w:r>
    </w:p>
    <w:p w14:paraId="334BB3AF" w14:textId="77777777" w:rsidR="009B7AE6" w:rsidRDefault="00000000">
      <w:pPr>
        <w:pStyle w:val="berschrift2"/>
      </w:pPr>
      <w:r>
        <w:t>ICHI</w:t>
      </w:r>
    </w:p>
    <w:p w14:paraId="7A391C5C" w14:textId="77777777" w:rsidR="009B7AE6" w:rsidRDefault="00000000">
      <w:pPr>
        <w:jc w:val="both"/>
      </w:pPr>
      <w:r>
        <w:t xml:space="preserve">Die ICHI (International Classification </w:t>
      </w:r>
      <w:proofErr w:type="spellStart"/>
      <w:r>
        <w:t>of</w:t>
      </w:r>
      <w:proofErr w:type="spellEnd"/>
      <w:r>
        <w:t xml:space="preserve"> Health </w:t>
      </w:r>
      <w:proofErr w:type="spellStart"/>
      <w:r>
        <w:t>Interventions</w:t>
      </w:r>
      <w:proofErr w:type="spellEnd"/>
      <w:r>
        <w:t xml:space="preserve">) ist eine Klassifikation für Gesundheitsinterventionen der WHO. Sie dazu dient, verschiedene medizinische, chirurgische, diagnostische, präventive und rehabilitative Maßnahmen zu standardisieren und international vergleichbar zu machen. Die ICHI ist in drei Achsen gegliedert: Target (Was wird behandelt?), Action (Was wird getan?) und </w:t>
      </w:r>
      <w:proofErr w:type="spellStart"/>
      <w:r>
        <w:t>Means</w:t>
      </w:r>
      <w:proofErr w:type="spellEnd"/>
      <w:r>
        <w:t xml:space="preserve"> (Wie wird es getan?), um eine detaillierte und standardisierte Beschreibung von Interventionen zu ermöglichen.</w:t>
      </w:r>
    </w:p>
    <w:p w14:paraId="7C01F133" w14:textId="77777777" w:rsidR="009B7AE6" w:rsidRDefault="00000000">
      <w:pPr>
        <w:pStyle w:val="berschrift2"/>
      </w:pPr>
      <w:r>
        <w:t>aG-DRG</w:t>
      </w:r>
    </w:p>
    <w:p w14:paraId="718F346D" w14:textId="77777777" w:rsidR="009B7AE6" w:rsidRDefault="00000000">
      <w:pPr>
        <w:jc w:val="both"/>
      </w:pPr>
      <w:r>
        <w:t>Das aG-DRG ist ein System zur Klassifikation von Fallgruppen, dass dazu dient verschiedene Versorgungsleistungen im Krankenhaus festzulegen und zu ermitteln. Behandlungsfälle, die sich medizinisch und im Behandlungsaufwand ähneln, werden dort zu „</w:t>
      </w:r>
      <w:proofErr w:type="spellStart"/>
      <w:r>
        <w:t>diagnosis</w:t>
      </w:r>
      <w:proofErr w:type="spellEnd"/>
      <w:r>
        <w:t xml:space="preserve"> </w:t>
      </w:r>
      <w:proofErr w:type="spellStart"/>
      <w:r>
        <w:t>related</w:t>
      </w:r>
      <w:proofErr w:type="spellEnd"/>
      <w:r>
        <w:t xml:space="preserve"> </w:t>
      </w:r>
      <w:proofErr w:type="spellStart"/>
      <w:r>
        <w:t>groups</w:t>
      </w:r>
      <w:proofErr w:type="spellEnd"/>
      <w:r>
        <w:t xml:space="preserve">“ zusammengefasst, als Grundlage für das leistungsorientierte Entgeltsystem im deutschen Krankenhauswese. Ziel ist es, so mehr Leistungsgerechtigkeit und Anreize für eine effiziente </w:t>
      </w:r>
      <w:proofErr w:type="spellStart"/>
      <w:r>
        <w:t>Patient:innenversorgung</w:t>
      </w:r>
      <w:proofErr w:type="spellEnd"/>
      <w:r>
        <w:t xml:space="preserve"> zu erreichen. Zentrale Bausteine sind die Entgeltkateloge, die Abrechnungsbestimmungen und die </w:t>
      </w:r>
      <w:proofErr w:type="spellStart"/>
      <w:r>
        <w:t>Kodierrichtlinien</w:t>
      </w:r>
      <w:proofErr w:type="spellEnd"/>
      <w:r>
        <w:t>.</w:t>
      </w:r>
    </w:p>
    <w:p w14:paraId="1DDB2007" w14:textId="77777777" w:rsidR="009B7AE6" w:rsidRDefault="00000000">
      <w:pPr>
        <w:jc w:val="both"/>
      </w:pPr>
      <w:r>
        <w:t>Natürlich existieren noch weitere medizinische Klassifikationssysteme, beispielsweise die ATC zur anatomisch-therapeutisch-chemische Klassifikation pharmakologischer Wirkstoffe, die ICD-O-3 zur </w:t>
      </w:r>
      <w:r>
        <w:rPr>
          <w:bCs/>
        </w:rPr>
        <w:t>internationalen Klassifikation der Krankheiten für die Onkologie, die IVD-EDMA für die Benennung von In-vitro-Diagnostika</w:t>
      </w:r>
    </w:p>
    <w:p w14:paraId="7A686BB4" w14:textId="77777777" w:rsidR="009B7AE6" w:rsidRDefault="00000000">
      <w:pPr>
        <w:pStyle w:val="berschrift1"/>
      </w:pPr>
      <w:r>
        <w:t>Konvertierung</w:t>
      </w:r>
    </w:p>
    <w:p w14:paraId="12F8DD51" w14:textId="77777777" w:rsidR="009B7AE6" w:rsidRDefault="00000000">
      <w:pPr>
        <w:jc w:val="both"/>
      </w:pPr>
      <w:r>
        <w:t xml:space="preserve">Eine Konvertierung ist die Überführung von einem Datenformat in ein anderes. Beispielsweise kann eine Konvertierung sinnvoll sein, wenn eine Datei in einem nicht-offenen Format vorliegt und in ein offenes überführt werden soll. Aber Achtung! Bei der Konvertierung von Dateien können Informationen verloren gehen. Der Informationsverlust kann sich entweder durch einen Verlust der Qualität äußern, aber auch Metadaten können verloren gehen. Bei statistischen Daten können Wertedefinitionen oder Variablenlabels </w:t>
      </w:r>
      <w:r>
        <w:lastRenderedPageBreak/>
        <w:t>verschwinden und bei textuellen Daten gehen häufig Bearbeitungen wie Hervorhebungen oder Kopf- und Fußzeilen verloren. Deswegen sollten mögliche Konvertierungsschritte immer dokumentiert werden und wenn möglich auch die Originaldateien behalten werden.</w:t>
      </w:r>
    </w:p>
    <w:p w14:paraId="704F28E4" w14:textId="77777777" w:rsidR="009B7AE6" w:rsidRDefault="00000000">
      <w:pPr>
        <w:pStyle w:val="berschrift1"/>
      </w:pPr>
      <w:r>
        <w:t>Komprimierung</w:t>
      </w:r>
    </w:p>
    <w:p w14:paraId="27E0A313" w14:textId="77777777" w:rsidR="009B7AE6" w:rsidRDefault="00000000">
      <w:pPr>
        <w:jc w:val="both"/>
      </w:pPr>
      <w:r>
        <w:t xml:space="preserve">Komprimierung ist ein Prozess, der dafür gedacht ist, die Dateigröße von Daten und Dateien zu verringern. Das ist sinnvoll, um Speicherplatz zu sparen und Übertragungsgeschwindigkeiten zu erhöhen. </w:t>
      </w:r>
    </w:p>
    <w:tbl>
      <w:tblPr>
        <w:tblStyle w:val="Tabellenraster"/>
        <w:tblW w:w="9072"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Look w:val="04A0" w:firstRow="1" w:lastRow="0" w:firstColumn="1" w:lastColumn="0" w:noHBand="0" w:noVBand="1"/>
      </w:tblPr>
      <w:tblGrid>
        <w:gridCol w:w="2489"/>
        <w:gridCol w:w="6583"/>
      </w:tblGrid>
      <w:tr w:rsidR="009B7AE6" w14:paraId="37151380" w14:textId="77777777">
        <w:tc>
          <w:tcPr>
            <w:tcW w:w="2489" w:type="dxa"/>
            <w:shd w:val="clear" w:color="auto" w:fill="D9D9D9" w:themeFill="background1" w:themeFillShade="D9"/>
          </w:tcPr>
          <w:p w14:paraId="6FDCC746" w14:textId="77777777" w:rsidR="009B7AE6" w:rsidRDefault="00000000">
            <w:pPr>
              <w:rPr>
                <w:b/>
              </w:rPr>
            </w:pPr>
            <w:r>
              <w:rPr>
                <w:b/>
              </w:rPr>
              <w:t>Datentypen</w:t>
            </w:r>
          </w:p>
        </w:tc>
        <w:tc>
          <w:tcPr>
            <w:tcW w:w="6583" w:type="dxa"/>
            <w:shd w:val="clear" w:color="auto" w:fill="D9D9D9" w:themeFill="background1" w:themeFillShade="D9"/>
          </w:tcPr>
          <w:p w14:paraId="03D5AB30" w14:textId="77777777" w:rsidR="009B7AE6" w:rsidRDefault="00000000">
            <w:pPr>
              <w:rPr>
                <w:b/>
              </w:rPr>
            </w:pPr>
            <w:r>
              <w:rPr>
                <w:b/>
              </w:rPr>
              <w:t>Nicht-komprimierte Formate</w:t>
            </w:r>
          </w:p>
        </w:tc>
      </w:tr>
      <w:tr w:rsidR="009B7AE6" w14:paraId="34844959" w14:textId="77777777">
        <w:tc>
          <w:tcPr>
            <w:tcW w:w="2489" w:type="dxa"/>
            <w:shd w:val="clear" w:color="auto" w:fill="F2F2F2" w:themeFill="background1" w:themeFillShade="F2"/>
          </w:tcPr>
          <w:p w14:paraId="3E99DEC8" w14:textId="77777777" w:rsidR="009B7AE6" w:rsidRDefault="00000000">
            <w:r>
              <w:t>Text</w:t>
            </w:r>
          </w:p>
        </w:tc>
        <w:tc>
          <w:tcPr>
            <w:tcW w:w="6583" w:type="dxa"/>
            <w:shd w:val="clear" w:color="auto" w:fill="F2F2F2" w:themeFill="background1" w:themeFillShade="F2"/>
          </w:tcPr>
          <w:p w14:paraId="30046ADC" w14:textId="77777777" w:rsidR="009B7AE6" w:rsidRDefault="00000000">
            <w:pPr>
              <w:rPr>
                <w:lang w:val="en-US"/>
              </w:rPr>
            </w:pPr>
            <w:r>
              <w:rPr>
                <w:lang w:val="en-US"/>
              </w:rPr>
              <w:t>TXT, XML, PDF/A, HTML, ASCII, UTF-8</w:t>
            </w:r>
          </w:p>
        </w:tc>
      </w:tr>
      <w:tr w:rsidR="009B7AE6" w14:paraId="217CAA3A" w14:textId="77777777">
        <w:tc>
          <w:tcPr>
            <w:tcW w:w="2489" w:type="dxa"/>
            <w:shd w:val="clear" w:color="auto" w:fill="F2F2F2" w:themeFill="background1" w:themeFillShade="F2"/>
          </w:tcPr>
          <w:p w14:paraId="51FEA37D" w14:textId="77777777" w:rsidR="009B7AE6" w:rsidRDefault="00000000">
            <w:pPr>
              <w:rPr>
                <w:lang w:val="en-US"/>
              </w:rPr>
            </w:pPr>
            <w:r>
              <w:rPr>
                <w:lang w:val="en-US"/>
              </w:rPr>
              <w:t>Bild</w:t>
            </w:r>
          </w:p>
        </w:tc>
        <w:tc>
          <w:tcPr>
            <w:tcW w:w="6583" w:type="dxa"/>
            <w:shd w:val="clear" w:color="auto" w:fill="F2F2F2" w:themeFill="background1" w:themeFillShade="F2"/>
          </w:tcPr>
          <w:p w14:paraId="30D2C92E" w14:textId="77777777" w:rsidR="009B7AE6" w:rsidRDefault="00000000">
            <w:pPr>
              <w:rPr>
                <w:lang w:val="en-US"/>
              </w:rPr>
            </w:pPr>
            <w:r>
              <w:rPr>
                <w:lang w:val="en-US"/>
              </w:rPr>
              <w:t>TIFF, JPEG 2000, PDF, PNG</w:t>
            </w:r>
          </w:p>
        </w:tc>
      </w:tr>
      <w:tr w:rsidR="009B7AE6" w14:paraId="64D850D1" w14:textId="77777777">
        <w:tc>
          <w:tcPr>
            <w:tcW w:w="2489" w:type="dxa"/>
            <w:shd w:val="clear" w:color="auto" w:fill="F2F2F2" w:themeFill="background1" w:themeFillShade="F2"/>
          </w:tcPr>
          <w:p w14:paraId="469B359B" w14:textId="77777777" w:rsidR="009B7AE6" w:rsidRDefault="00000000">
            <w:pPr>
              <w:rPr>
                <w:lang w:val="en-US"/>
              </w:rPr>
            </w:pPr>
            <w:r>
              <w:rPr>
                <w:lang w:val="en-US"/>
              </w:rPr>
              <w:t>Video</w:t>
            </w:r>
          </w:p>
        </w:tc>
        <w:tc>
          <w:tcPr>
            <w:tcW w:w="6583" w:type="dxa"/>
            <w:shd w:val="clear" w:color="auto" w:fill="F2F2F2" w:themeFill="background1" w:themeFillShade="F2"/>
          </w:tcPr>
          <w:p w14:paraId="4B646089" w14:textId="77777777" w:rsidR="009B7AE6" w:rsidRDefault="00000000">
            <w:pPr>
              <w:rPr>
                <w:lang w:val="en-US"/>
              </w:rPr>
            </w:pPr>
            <w:r>
              <w:rPr>
                <w:lang w:val="en-US"/>
              </w:rPr>
              <w:t>MOV, MPEG, AVI, MXF</w:t>
            </w:r>
          </w:p>
        </w:tc>
      </w:tr>
      <w:tr w:rsidR="009B7AE6" w14:paraId="42BFFCCF" w14:textId="77777777">
        <w:tc>
          <w:tcPr>
            <w:tcW w:w="2489" w:type="dxa"/>
            <w:shd w:val="clear" w:color="auto" w:fill="F2F2F2" w:themeFill="background1" w:themeFillShade="F2"/>
          </w:tcPr>
          <w:p w14:paraId="59A15517" w14:textId="77777777" w:rsidR="009B7AE6" w:rsidRDefault="00000000">
            <w:pPr>
              <w:rPr>
                <w:lang w:val="en-US"/>
              </w:rPr>
            </w:pPr>
            <w:r>
              <w:rPr>
                <w:lang w:val="en-US"/>
              </w:rPr>
              <w:t>Sounds</w:t>
            </w:r>
          </w:p>
        </w:tc>
        <w:tc>
          <w:tcPr>
            <w:tcW w:w="6583" w:type="dxa"/>
            <w:shd w:val="clear" w:color="auto" w:fill="F2F2F2" w:themeFill="background1" w:themeFillShade="F2"/>
          </w:tcPr>
          <w:p w14:paraId="1D4A342A" w14:textId="77777777" w:rsidR="009B7AE6" w:rsidRDefault="00000000">
            <w:pPr>
              <w:rPr>
                <w:lang w:val="en-US"/>
              </w:rPr>
            </w:pPr>
            <w:r>
              <w:rPr>
                <w:lang w:val="en-US"/>
              </w:rPr>
              <w:t>WAVE, AIFF</w:t>
            </w:r>
          </w:p>
        </w:tc>
      </w:tr>
      <w:tr w:rsidR="009B7AE6" w14:paraId="39C08FD6" w14:textId="77777777">
        <w:tc>
          <w:tcPr>
            <w:tcW w:w="2489" w:type="dxa"/>
            <w:shd w:val="clear" w:color="auto" w:fill="F2F2F2" w:themeFill="background1" w:themeFillShade="F2"/>
          </w:tcPr>
          <w:p w14:paraId="5A526AF6" w14:textId="77777777" w:rsidR="009B7AE6" w:rsidRDefault="00000000">
            <w:pPr>
              <w:rPr>
                <w:lang w:val="en-US"/>
              </w:rPr>
            </w:pPr>
            <w:proofErr w:type="spellStart"/>
            <w:r>
              <w:rPr>
                <w:lang w:val="en-US"/>
              </w:rPr>
              <w:t>Statistik</w:t>
            </w:r>
            <w:proofErr w:type="spellEnd"/>
          </w:p>
        </w:tc>
        <w:tc>
          <w:tcPr>
            <w:tcW w:w="6583" w:type="dxa"/>
            <w:shd w:val="clear" w:color="auto" w:fill="F2F2F2" w:themeFill="background1" w:themeFillShade="F2"/>
          </w:tcPr>
          <w:p w14:paraId="26DE5070" w14:textId="77777777" w:rsidR="009B7AE6" w:rsidRDefault="00000000">
            <w:pPr>
              <w:rPr>
                <w:lang w:val="en-US"/>
              </w:rPr>
            </w:pPr>
            <w:r>
              <w:rPr>
                <w:lang w:val="en-US"/>
              </w:rPr>
              <w:t>ASCII</w:t>
            </w:r>
          </w:p>
        </w:tc>
      </w:tr>
      <w:tr w:rsidR="009B7AE6" w14:paraId="04AA225C" w14:textId="77777777">
        <w:tc>
          <w:tcPr>
            <w:tcW w:w="2489" w:type="dxa"/>
            <w:shd w:val="clear" w:color="auto" w:fill="F2F2F2" w:themeFill="background1" w:themeFillShade="F2"/>
          </w:tcPr>
          <w:p w14:paraId="2B5AD298" w14:textId="77777777" w:rsidR="009B7AE6" w:rsidRDefault="00000000">
            <w:pPr>
              <w:rPr>
                <w:lang w:val="en-US"/>
              </w:rPr>
            </w:pPr>
            <w:proofErr w:type="spellStart"/>
            <w:r>
              <w:rPr>
                <w:lang w:val="en-US"/>
              </w:rPr>
              <w:t>Datenbanken</w:t>
            </w:r>
            <w:proofErr w:type="spellEnd"/>
          </w:p>
        </w:tc>
        <w:tc>
          <w:tcPr>
            <w:tcW w:w="6583" w:type="dxa"/>
            <w:shd w:val="clear" w:color="auto" w:fill="F2F2F2" w:themeFill="background1" w:themeFillShade="F2"/>
          </w:tcPr>
          <w:p w14:paraId="564DE07E" w14:textId="77777777" w:rsidR="009B7AE6" w:rsidRDefault="00000000">
            <w:pPr>
              <w:rPr>
                <w:lang w:val="en-US"/>
              </w:rPr>
            </w:pPr>
            <w:r>
              <w:rPr>
                <w:lang w:val="en-US"/>
              </w:rPr>
              <w:t>XML, CSV</w:t>
            </w:r>
          </w:p>
        </w:tc>
      </w:tr>
    </w:tbl>
    <w:p w14:paraId="0DF4DC12" w14:textId="77777777" w:rsidR="009B7AE6" w:rsidRDefault="009B7AE6">
      <w:pPr>
        <w:jc w:val="both"/>
      </w:pPr>
    </w:p>
    <w:p w14:paraId="05AB5E4F" w14:textId="77777777" w:rsidR="009B7AE6" w:rsidRDefault="00000000">
      <w:pPr>
        <w:jc w:val="both"/>
      </w:pPr>
      <w:r>
        <w:t xml:space="preserve">Man unterscheidet zwischen verlustfreien und verlustbehafteten Komprimierung. Bei der verlustfreien Komprimierung (auch Redundanzreduktion genannt) werden in erster Linie Redundanzen, also überflüssige Bestandteile, entfernt. Wichtig ist, dass aus den verlustfrei komprimierten Daten durch ein </w:t>
      </w:r>
      <w:proofErr w:type="spellStart"/>
      <w:r>
        <w:t>Dekomprimierungsverfahren</w:t>
      </w:r>
      <w:proofErr w:type="spellEnd"/>
      <w:r>
        <w:t xml:space="preserve"> exakt die Ursprungsdatei wiederhergestellt werden könnte. Beispielsweise ist ein häufig in der Praxis genutztes Komprimierungsformat die ZIP-Datei. Diese nutzt Mechanismen wie die Wörterbuchmethode und Entropiekodierung um Redundanzen (vor allem aus Texten) zu entfernen.</w:t>
      </w:r>
    </w:p>
    <w:p w14:paraId="1A4D9FEB" w14:textId="77777777" w:rsidR="009B7AE6" w:rsidRDefault="00000000">
      <w:pPr>
        <w:jc w:val="both"/>
      </w:pPr>
      <w:r>
        <w:t xml:space="preserve">Bei der verlustbehafteten Komprimierung, oder </w:t>
      </w:r>
      <w:proofErr w:type="spellStart"/>
      <w:r>
        <w:t>Irrelevanzreduktion</w:t>
      </w:r>
      <w:proofErr w:type="spellEnd"/>
      <w:r>
        <w:t>, geht immer ein Teil der Informationen verloren. Die Algorithmen versuchen diesen Verlust aber so wenig wahrnehmbar wie möglich zu machen. Verlustbehaftete Komprimierung passiert vor allem bei Bildern, Video- und Audiodateien. Hier macht man sich die Grenzen der menschlichen Wahrnehmung zu Nutze und entfernt beispielsweise Frequenzen, die für Menschen nicht hörbar sind und reduziert Farbauflösungen, die das menschliche Auge nicht differenzieren kann.</w:t>
      </w:r>
    </w:p>
    <w:p w14:paraId="2EFCBC16" w14:textId="77777777" w:rsidR="009B7AE6" w:rsidRDefault="009B7AE6"/>
    <w:p w14:paraId="30C856EF" w14:textId="77777777" w:rsidR="009B7AE6" w:rsidRDefault="009B7AE6"/>
    <w:p w14:paraId="10BBD87B" w14:textId="77777777" w:rsidR="009B7AE6" w:rsidRDefault="009B7AE6">
      <w:pPr>
        <w:jc w:val="both"/>
      </w:pPr>
    </w:p>
    <w:p w14:paraId="116CAF5E" w14:textId="77777777" w:rsidR="009B7AE6" w:rsidRDefault="00000000">
      <w:pPr>
        <w:rPr>
          <w:rFonts w:eastAsiaTheme="majorEastAsia" w:cstheme="majorBidi"/>
          <w:sz w:val="26"/>
          <w:szCs w:val="26"/>
        </w:rPr>
      </w:pPr>
      <w:r>
        <w:br w:type="page"/>
      </w:r>
    </w:p>
    <w:p w14:paraId="119063F8" w14:textId="77777777" w:rsidR="009B7AE6" w:rsidRDefault="00000000">
      <w:pPr>
        <w:pStyle w:val="berschrift1"/>
      </w:pPr>
      <w:r>
        <w:lastRenderedPageBreak/>
        <w:t>Quellenverzeichnis</w:t>
      </w:r>
    </w:p>
    <w:p w14:paraId="6B57EB1F" w14:textId="77777777" w:rsidR="009B7AE6" w:rsidRDefault="00000000">
      <w:pPr>
        <w:rPr>
          <w:rStyle w:val="Hyperlink"/>
          <w:color w:val="auto"/>
          <w:u w:val="none"/>
        </w:rPr>
      </w:pPr>
      <w:r>
        <w:t xml:space="preserve">Bundesinstitut für Arzneimittel und Medizinprodukte (2025). Aufbau der Vierstelligen ausführlichen Systematik der ICD-10-GM. Abgerufen am 30.09.2025, von </w:t>
      </w:r>
      <w:hyperlink r:id="rId17" w:history="1">
        <w:r>
          <w:rPr>
            <w:rStyle w:val="Hyperlink"/>
          </w:rPr>
          <w:t>https://www.bfarm.de/DE/Kodiersysteme/Klassifikationen/ICD/ICD-10-GM/Systematik/systematikaufbau.html</w:t>
        </w:r>
      </w:hyperlink>
      <w:r>
        <w:rPr>
          <w:rStyle w:val="Hyperlink"/>
          <w:color w:val="auto"/>
          <w:u w:val="none"/>
        </w:rPr>
        <w:t xml:space="preserve"> </w:t>
      </w:r>
    </w:p>
    <w:p w14:paraId="26E3EFC9" w14:textId="77777777" w:rsidR="009B7AE6" w:rsidRDefault="00000000">
      <w:r>
        <w:t xml:space="preserve">Bundesinstitut für Arzneimittel und Medizinprodukte (2025). ICD-10-GM. Abgerufen am 30.09.2025, von </w:t>
      </w:r>
      <w:hyperlink r:id="rId18" w:history="1">
        <w:r>
          <w:rPr>
            <w:rStyle w:val="Hyperlink"/>
          </w:rPr>
          <w:t>https://www.bfarm.de/DE/Kodiersysteme/Klassifikationen/ICD/ICD-10-GM/_node.html</w:t>
        </w:r>
      </w:hyperlink>
      <w:r>
        <w:t xml:space="preserve"> </w:t>
      </w:r>
    </w:p>
    <w:p w14:paraId="1172BEAD" w14:textId="77777777" w:rsidR="009B7AE6" w:rsidRDefault="00000000">
      <w:pPr>
        <w:rPr>
          <w:rStyle w:val="Hyperlink"/>
          <w:color w:val="auto"/>
          <w:u w:val="none"/>
        </w:rPr>
      </w:pPr>
      <w:r>
        <w:t xml:space="preserve">Bundesinstitut für Arzneimittel und Medizinprodukte (2025). ICF. Abgerufen am 30.09.2025, von </w:t>
      </w:r>
      <w:hyperlink r:id="rId19" w:history="1">
        <w:r>
          <w:rPr>
            <w:rStyle w:val="Hyperlink"/>
          </w:rPr>
          <w:t>https://www.bfarm.de/DE/Kodiersysteme/Klassifikationen/ICF/_node.html</w:t>
        </w:r>
      </w:hyperlink>
      <w:r>
        <w:rPr>
          <w:rStyle w:val="Hyperlink"/>
          <w:color w:val="auto"/>
          <w:u w:val="none"/>
        </w:rPr>
        <w:t xml:space="preserve"> </w:t>
      </w:r>
    </w:p>
    <w:p w14:paraId="7A099F5A" w14:textId="77777777" w:rsidR="009B7AE6" w:rsidRDefault="00000000">
      <w:pPr>
        <w:rPr>
          <w:rStyle w:val="Hyperlink"/>
          <w:color w:val="auto"/>
          <w:u w:val="none"/>
        </w:rPr>
      </w:pPr>
      <w:r>
        <w:t xml:space="preserve">Bundesinstitut für Arzneimittel und Medizinprodukte (2025). ICHI. Abgerufen am 30.09.2025, von </w:t>
      </w:r>
      <w:hyperlink r:id="rId20" w:history="1">
        <w:r>
          <w:rPr>
            <w:rStyle w:val="Hyperlink"/>
          </w:rPr>
          <w:t>https://www.bfarm.de/DE/Kodiersysteme/Klassifikationen/OPS-ICHI/ICHI/_node.html</w:t>
        </w:r>
      </w:hyperlink>
      <w:r>
        <w:t xml:space="preserve"> </w:t>
      </w:r>
    </w:p>
    <w:p w14:paraId="5E333BDA" w14:textId="77777777" w:rsidR="009B7AE6" w:rsidRDefault="00000000">
      <w:pPr>
        <w:rPr>
          <w:bCs/>
        </w:rPr>
      </w:pPr>
      <w:r>
        <w:t xml:space="preserve">Bundesinstitut für Arzneimittel und Medizinprodukte (2025). Klassifikationen. Abgerufen am 30.09.2025, von </w:t>
      </w:r>
      <w:hyperlink r:id="rId21" w:history="1">
        <w:r>
          <w:rPr>
            <w:rStyle w:val="Hyperlink"/>
            <w:bCs/>
          </w:rPr>
          <w:t>https://www.bfarm.de/DE/Kodiersysteme/Klassifikationen/_node.html</w:t>
        </w:r>
      </w:hyperlink>
      <w:r>
        <w:rPr>
          <w:bCs/>
        </w:rPr>
        <w:t xml:space="preserve"> </w:t>
      </w:r>
    </w:p>
    <w:p w14:paraId="6E8BF348" w14:textId="77777777" w:rsidR="009B7AE6" w:rsidRDefault="00000000">
      <w:r>
        <w:rPr>
          <w:lang w:val="en-US"/>
        </w:rPr>
        <w:t xml:space="preserve">Lamar </w:t>
      </w:r>
      <w:proofErr w:type="spellStart"/>
      <w:r>
        <w:rPr>
          <w:lang w:val="en-US"/>
        </w:rPr>
        <w:t>Soutter</w:t>
      </w:r>
      <w:proofErr w:type="spellEnd"/>
      <w:r>
        <w:rPr>
          <w:lang w:val="en-US"/>
        </w:rPr>
        <w:t xml:space="preserve"> Library &amp; University of Massachusetts Medical School (2022). New England Collaborative Data Management Curriculum: - 02 Types, Formats, and Stages of Data. </w:t>
      </w:r>
      <w:r>
        <w:t xml:space="preserve">Abgerufen am 30.09.2025, von </w:t>
      </w:r>
      <w:hyperlink r:id="rId22" w:history="1">
        <w:r>
          <w:rPr>
            <w:rStyle w:val="Hyperlink"/>
          </w:rPr>
          <w:t>https://oercommons.org/courses/new-england-collaborative-data-management-curriculum</w:t>
        </w:r>
      </w:hyperlink>
      <w:r>
        <w:t xml:space="preserve"> </w:t>
      </w:r>
    </w:p>
    <w:p w14:paraId="0A01103D" w14:textId="77777777" w:rsidR="009B7AE6" w:rsidRDefault="00000000">
      <w:pPr>
        <w:rPr>
          <w:rStyle w:val="Hyperlink"/>
        </w:rPr>
      </w:pPr>
      <w:r>
        <w:rPr>
          <w:rStyle w:val="Hyperlink"/>
          <w:color w:val="auto"/>
          <w:u w:val="none"/>
          <w:lang w:val="en-US"/>
        </w:rPr>
        <w:t xml:space="preserve">MIT Libraries Data Management Group (2016). Research Data Management: Strategies for Data Sharing and Storage. </w:t>
      </w:r>
      <w:r>
        <w:rPr>
          <w:rStyle w:val="Hyperlink"/>
          <w:color w:val="auto"/>
          <w:u w:val="none"/>
        </w:rPr>
        <w:t xml:space="preserve">Abgerufen am 30.09.2025, von </w:t>
      </w:r>
      <w:hyperlink r:id="rId23" w:history="1">
        <w:r>
          <w:rPr>
            <w:rStyle w:val="Hyperlink"/>
          </w:rPr>
          <w:t>https://www.twillo.de/edu-sharing/components/render/01887843-1814-42e6-9ad5-6941a88d5c5a</w:t>
        </w:r>
      </w:hyperlink>
      <w:r>
        <w:rPr>
          <w:rStyle w:val="Hyperlink"/>
        </w:rPr>
        <w:t xml:space="preserve"> </w:t>
      </w:r>
    </w:p>
    <w:p w14:paraId="65D8AA08" w14:textId="77777777" w:rsidR="009B7AE6" w:rsidRDefault="00000000">
      <w:r>
        <w:t xml:space="preserve">Spitzenverband Bund der Krankenkassen (2025). aG-DRG-System. Abgerufen am 30.09.2025, von </w:t>
      </w:r>
      <w:hyperlink r:id="rId24" w:history="1">
        <w:r>
          <w:rPr>
            <w:rStyle w:val="Hyperlink"/>
          </w:rPr>
          <w:t>https://www.gkv-spitzenverband.de/krankenversicherung/krankenhaeuser/drg_system/ag_drg_system_2025/ag_drg_2025.jsp</w:t>
        </w:r>
      </w:hyperlink>
      <w:r>
        <w:t xml:space="preserve"> </w:t>
      </w:r>
    </w:p>
    <w:p w14:paraId="43FFE5C0" w14:textId="77777777" w:rsidR="009B7AE6" w:rsidRDefault="00000000">
      <w:proofErr w:type="spellStart"/>
      <w:r>
        <w:rPr>
          <w:lang w:val="en-US"/>
        </w:rPr>
        <w:t>Sablatnig</w:t>
      </w:r>
      <w:proofErr w:type="spellEnd"/>
      <w:r>
        <w:rPr>
          <w:lang w:val="en-US"/>
        </w:rPr>
        <w:t xml:space="preserve">, R., </w:t>
      </w:r>
      <w:proofErr w:type="spellStart"/>
      <w:r>
        <w:rPr>
          <w:lang w:val="en-US"/>
        </w:rPr>
        <w:t>Zambanini</w:t>
      </w:r>
      <w:proofErr w:type="spellEnd"/>
      <w:r>
        <w:rPr>
          <w:lang w:val="en-US"/>
        </w:rPr>
        <w:t xml:space="preserve">, S., &amp; </w:t>
      </w:r>
      <w:proofErr w:type="spellStart"/>
      <w:r>
        <w:rPr>
          <w:lang w:val="en-US"/>
        </w:rPr>
        <w:t>Licandro</w:t>
      </w:r>
      <w:proofErr w:type="spellEnd"/>
      <w:r>
        <w:rPr>
          <w:lang w:val="en-US"/>
        </w:rPr>
        <w:t xml:space="preserve">, R. (2014). </w:t>
      </w:r>
      <w:r>
        <w:t xml:space="preserve">Einführung in Visual Computing. Kapitel 05 Bildcodierung und Kompression. Abgerufen am 30.09.2025, von </w:t>
      </w:r>
      <w:hyperlink r:id="rId25" w:history="1">
        <w:r>
          <w:rPr>
            <w:rStyle w:val="Hyperlink"/>
          </w:rPr>
          <w:t>https://www.cg.tuwien.ac.at/courses/EinfVisComp/Skriptum/SS14/EVC-05%20Bildcodierung%20und%20Kompression.pdf</w:t>
        </w:r>
      </w:hyperlink>
      <w:r>
        <w:t xml:space="preserve"> </w:t>
      </w:r>
    </w:p>
    <w:p w14:paraId="4B1DBF5B" w14:textId="77777777" w:rsidR="009B7AE6" w:rsidRDefault="00000000">
      <w:r>
        <w:t>WHO &amp; BfArM (2021). ICD-10-GM Version 2022: Anleitung zur Verschlüsselung. Abgerufen am 30.09.2025, von</w:t>
      </w:r>
      <w:r>
        <w:br/>
      </w:r>
      <w:hyperlink r:id="rId26" w:history="1">
        <w:r>
          <w:rPr>
            <w:rStyle w:val="Hyperlink"/>
          </w:rPr>
          <w:t>https://klassifikationen.bfarm.de/icd-10-gm/kode-suche/htmlgm2022/zusatz-04-anleitung-zur-verschluesselung.htm</w:t>
        </w:r>
      </w:hyperlink>
      <w:r>
        <w:t xml:space="preserve"> </w:t>
      </w:r>
    </w:p>
    <w:p w14:paraId="4F42E046" w14:textId="77777777" w:rsidR="009B7AE6" w:rsidRDefault="00000000">
      <w:r>
        <w:rPr>
          <w:lang w:val="en-US"/>
        </w:rPr>
        <w:t xml:space="preserve">World Health Organization (2025). International Classification of Health Interventions (ICHI). </w:t>
      </w:r>
      <w:r>
        <w:t xml:space="preserve">Abgerufen am 30.09.2025, von </w:t>
      </w:r>
      <w:hyperlink r:id="rId27" w:history="1">
        <w:r>
          <w:rPr>
            <w:rStyle w:val="Hyperlink"/>
          </w:rPr>
          <w:t>https://www.who.int/classifications/international-classification-of-health-interventions</w:t>
        </w:r>
      </w:hyperlink>
      <w:r>
        <w:t xml:space="preserve"> </w:t>
      </w:r>
    </w:p>
    <w:p w14:paraId="53A2AB94" w14:textId="77777777" w:rsidR="009B7AE6" w:rsidRDefault="00000000">
      <w:pPr>
        <w:pStyle w:val="berschrift1"/>
      </w:pPr>
      <w:r>
        <w:t>Weiterführende Info</w:t>
      </w:r>
    </w:p>
    <w:p w14:paraId="229D37EA" w14:textId="77777777" w:rsidR="009B7AE6" w:rsidRDefault="00000000">
      <w:pPr>
        <w:rPr>
          <w:rStyle w:val="Hyperlink"/>
          <w:color w:val="auto"/>
          <w:u w:val="none"/>
        </w:rPr>
      </w:pPr>
      <w:r>
        <w:t xml:space="preserve">Bundesinstitut für Arzneimittel und Medizinprodukte (2025). Aufbau der Vierstelligen ausführlichen Systematik der ICD-10-GM. Abgerufen am 30.09.2025, von </w:t>
      </w:r>
      <w:hyperlink r:id="rId28" w:history="1">
        <w:r>
          <w:rPr>
            <w:rStyle w:val="Hyperlink"/>
          </w:rPr>
          <w:t>https://www.bfarm.de/DE/Kodiersysteme/Klassifikationen/ICD/ICD-10-GM/Systematik/systematikaufbau.html</w:t>
        </w:r>
      </w:hyperlink>
      <w:r>
        <w:rPr>
          <w:rStyle w:val="Hyperlink"/>
          <w:color w:val="auto"/>
          <w:u w:val="none"/>
        </w:rPr>
        <w:t xml:space="preserve"> </w:t>
      </w:r>
    </w:p>
    <w:p w14:paraId="0476DC1C" w14:textId="77777777" w:rsidR="009B7AE6" w:rsidRDefault="00000000">
      <w:pPr>
        <w:rPr>
          <w:color w:val="0563C1" w:themeColor="hyperlink"/>
          <w:u w:val="single"/>
        </w:rPr>
      </w:pPr>
      <w:r>
        <w:t xml:space="preserve">DIMDI (2010). Basiswissen Kodieren, Eine kurze Einführung in die Anwendung von ICD-10-GM und OPS. Abgerufen am 30.09.2025, </w:t>
      </w:r>
      <w:r>
        <w:lastRenderedPageBreak/>
        <w:t>von </w:t>
      </w:r>
      <w:hyperlink r:id="rId29" w:history="1">
        <w:r>
          <w:rPr>
            <w:rStyle w:val="Hyperlink"/>
          </w:rPr>
          <w:t>https://www.bfarm.de/SharedDocs/Downloads/DE/Kodiersysteme/basiswissen-kodieren-2010.pdf?__blob=publicationFile</w:t>
        </w:r>
      </w:hyperlink>
      <w:r>
        <w:t> </w:t>
      </w:r>
    </w:p>
    <w:p w14:paraId="5EE6D851" w14:textId="77777777" w:rsidR="009B7AE6" w:rsidRDefault="00000000">
      <w:r>
        <w:br w:type="page"/>
      </w:r>
    </w:p>
    <w:p w14:paraId="59057377" w14:textId="77777777" w:rsidR="009B7AE6" w:rsidRDefault="00000000">
      <w:pPr>
        <w:tabs>
          <w:tab w:val="left" w:pos="1790"/>
        </w:tabs>
      </w:pPr>
      <w:r>
        <w:lastRenderedPageBreak/>
        <w:t>Das Material ist im Rahmen des Projekts „DIM.RUHR: Datenkompetenzzentrum für die interprofessionelle Nutzung von Gesundheitsdaten in der Metropole Ruhr“ (Förderkennzeichen: 16DKZ2008[A-F]) entstanden. Dementsprechend spiegelt das Material in Version 1.0 den Stand von 2025 wider.</w:t>
      </w:r>
    </w:p>
    <w:p w14:paraId="412B867B" w14:textId="77777777" w:rsidR="009B7AE6" w:rsidRDefault="00000000">
      <w:r>
        <w:rPr>
          <w:b/>
          <w:bCs/>
        </w:rPr>
        <w:t xml:space="preserve">„Daten managen -  2.2 Datenmanipulation – Standardisierung und Komprimierung“ </w:t>
      </w:r>
      <w:r>
        <w:t>von Anne Mainz und Sven Meister.</w:t>
      </w:r>
    </w:p>
    <w:p w14:paraId="3DD2E5E4" w14:textId="77777777" w:rsidR="009B7AE6" w:rsidRDefault="00000000">
      <w:r>
        <w:t>Dieses Werk und dessen Inhalt sind – sofern nicht anders angegeben – lizensiert unter CC BY 4.0. Ausgenommen aus der Lizenz sind die verwendeten Logos.</w:t>
      </w:r>
    </w:p>
    <w:p w14:paraId="5ECA210F" w14:textId="77777777" w:rsidR="009B7AE6" w:rsidRDefault="00000000">
      <w:r>
        <w:rPr>
          <w:noProof/>
          <w:lang w:eastAsia="de-DE"/>
        </w:rPr>
        <w:drawing>
          <wp:inline distT="0" distB="0" distL="0" distR="0" wp14:anchorId="498C6415" wp14:editId="29E85664">
            <wp:extent cx="1143000" cy="400050"/>
            <wp:effectExtent l="0" t="0" r="0" b="0"/>
            <wp:docPr id="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pic:cNvPicPr>
                      <a:picLocks noChangeAspect="1"/>
                    </pic:cNvPicPr>
                  </pic:nvPicPr>
                  <pic:blipFill>
                    <a:blip r:embed="rId30"/>
                    <a:stretch>
                      <a:fillRect/>
                    </a:stretch>
                  </pic:blipFill>
                  <pic:spPr>
                    <a:xfrm>
                      <a:off x="0" y="0"/>
                      <a:ext cx="1143000" cy="400050"/>
                    </a:xfrm>
                    <a:prstGeom prst="rect">
                      <a:avLst/>
                    </a:prstGeom>
                  </pic:spPr>
                </pic:pic>
              </a:graphicData>
            </a:graphic>
          </wp:inline>
        </w:drawing>
      </w:r>
    </w:p>
    <w:p w14:paraId="0B63365C" w14:textId="77777777" w:rsidR="009B7AE6" w:rsidRDefault="00000000">
      <w:pPr>
        <w:pStyle w:val="berschrift1"/>
      </w:pPr>
      <w:r>
        <w:tab/>
      </w:r>
    </w:p>
    <w:p w14:paraId="78292F33" w14:textId="77777777" w:rsidR="009B7AE6" w:rsidRDefault="009B7AE6">
      <w:pPr>
        <w:tabs>
          <w:tab w:val="left" w:pos="1790"/>
        </w:tabs>
      </w:pPr>
    </w:p>
    <w:sectPr w:rsidR="009B7AE6">
      <w:headerReference w:type="even" r:id="rId31"/>
      <w:headerReference w:type="default" r:id="rId32"/>
      <w:footerReference w:type="even" r:id="rId33"/>
      <w:footerReference w:type="default" r:id="rId34"/>
      <w:headerReference w:type="first" r:id="rId35"/>
      <w:footerReference w:type="first" r:id="rId36"/>
      <w:pgSz w:w="11906" w:h="16838"/>
      <w:pgMar w:top="1417" w:right="1417" w:bottom="1134"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131DC" w14:textId="77777777" w:rsidR="00307247" w:rsidRDefault="00307247">
      <w:pPr>
        <w:spacing w:after="0" w:line="240" w:lineRule="auto"/>
      </w:pPr>
      <w:r>
        <w:separator/>
      </w:r>
    </w:p>
  </w:endnote>
  <w:endnote w:type="continuationSeparator" w:id="0">
    <w:p w14:paraId="78F96C8F" w14:textId="77777777" w:rsidR="00307247" w:rsidRDefault="00307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62D51" w14:textId="77777777" w:rsidR="009B7AE6" w:rsidRDefault="009B7AE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4573125"/>
      <w:docPartObj>
        <w:docPartGallery w:val="Page Numbers (Bottom of Page)"/>
        <w:docPartUnique/>
      </w:docPartObj>
    </w:sdtPr>
    <w:sdtContent>
      <w:p w14:paraId="7860DAC1" w14:textId="77777777" w:rsidR="009B7AE6" w:rsidRDefault="00000000">
        <w:pPr>
          <w:pStyle w:val="Fuzeile"/>
        </w:pPr>
        <w:r>
          <w:rPr>
            <w:noProof/>
            <w:lang w:eastAsia="de-DE"/>
          </w:rPr>
          <w:drawing>
            <wp:anchor distT="0" distB="0" distL="114300" distR="114300" simplePos="0" relativeHeight="251662336" behindDoc="0" locked="0" layoutInCell="1" allowOverlap="1" wp14:anchorId="5D784056" wp14:editId="69491774">
              <wp:simplePos x="0" y="0"/>
              <wp:positionH relativeFrom="column">
                <wp:posOffset>3767455</wp:posOffset>
              </wp:positionH>
              <wp:positionV relativeFrom="paragraph">
                <wp:posOffset>-177165</wp:posOffset>
              </wp:positionV>
              <wp:extent cx="2832100" cy="994919"/>
              <wp:effectExtent l="0" t="0" r="6350" b="0"/>
              <wp:wrapThrough wrapText="bothSides">
                <wp:wrapPolygon edited="0">
                  <wp:start x="0" y="0"/>
                  <wp:lineTo x="0" y="21103"/>
                  <wp:lineTo x="21503" y="21103"/>
                  <wp:lineTo x="21503" y="0"/>
                  <wp:lineTo x="0" y="0"/>
                </wp:wrapPolygon>
              </wp:wrapThrough>
              <wp:docPr id="7" name="Grafik 7" descr="C:\Users\amainz\Desktop\BMFTR-E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inz\Desktop\BMFTR-EU-Logo.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6283" t="13483" b="12903"/>
                      <a:stretch/>
                    </pic:blipFill>
                    <pic:spPr bwMode="auto">
                      <a:xfrm>
                        <a:off x="0" y="0"/>
                        <a:ext cx="2832100" cy="99491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Pr>
            <w:noProof/>
          </w:rPr>
          <w:t>8</w:t>
        </w:r>
        <w:r>
          <w:fldChar w:fldCharType="end"/>
        </w:r>
      </w:p>
    </w:sdtContent>
  </w:sdt>
  <w:p w14:paraId="36B51AB8" w14:textId="77777777" w:rsidR="009B7AE6" w:rsidRDefault="009B7AE6">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89451" w14:textId="77777777" w:rsidR="009B7AE6" w:rsidRDefault="009B7AE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3742C" w14:textId="77777777" w:rsidR="00307247" w:rsidRDefault="00307247">
      <w:pPr>
        <w:spacing w:after="0" w:line="240" w:lineRule="auto"/>
      </w:pPr>
      <w:r>
        <w:separator/>
      </w:r>
    </w:p>
  </w:footnote>
  <w:footnote w:type="continuationSeparator" w:id="0">
    <w:p w14:paraId="5DBD9AA2" w14:textId="77777777" w:rsidR="00307247" w:rsidRDefault="003072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BFABB" w14:textId="77777777" w:rsidR="009B7AE6" w:rsidRDefault="009B7AE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8EDC7" w14:textId="77777777" w:rsidR="009B7AE6" w:rsidRDefault="00000000">
    <w:pPr>
      <w:pStyle w:val="Kopfzeile"/>
      <w:jc w:val="right"/>
    </w:pPr>
    <w:r>
      <w:rPr>
        <w:noProof/>
        <w:lang w:eastAsia="de-DE"/>
      </w:rPr>
      <w:drawing>
        <wp:anchor distT="0" distB="0" distL="114300" distR="114300" simplePos="0" relativeHeight="251661312" behindDoc="0" locked="0" layoutInCell="1" allowOverlap="1" wp14:anchorId="46F5C3F0" wp14:editId="5D6A98E4">
          <wp:simplePos x="0" y="0"/>
          <wp:positionH relativeFrom="column">
            <wp:posOffset>3907155</wp:posOffset>
          </wp:positionH>
          <wp:positionV relativeFrom="paragraph">
            <wp:posOffset>-382905</wp:posOffset>
          </wp:positionV>
          <wp:extent cx="2726297" cy="793750"/>
          <wp:effectExtent l="0" t="0" r="0" b="6350"/>
          <wp:wrapThrough wrapText="bothSides">
            <wp:wrapPolygon edited="0">
              <wp:start x="1811" y="0"/>
              <wp:lineTo x="0" y="4147"/>
              <wp:lineTo x="0" y="18662"/>
              <wp:lineTo x="1057" y="21254"/>
              <wp:lineTo x="1811" y="21254"/>
              <wp:lineTo x="4075" y="21254"/>
              <wp:lineTo x="4226" y="21254"/>
              <wp:lineTo x="5887" y="17107"/>
              <wp:lineTo x="21434" y="15034"/>
              <wp:lineTo x="21434" y="6739"/>
              <wp:lineTo x="3170" y="0"/>
              <wp:lineTo x="1811" y="0"/>
            </wp:wrapPolygon>
          </wp:wrapThrough>
          <wp:docPr id="6"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26297" cy="7937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92C98" w14:textId="77777777" w:rsidR="009B7AE6" w:rsidRDefault="009B7AE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571EB"/>
    <w:multiLevelType w:val="hybridMultilevel"/>
    <w:tmpl w:val="0E58BA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686530"/>
    <w:multiLevelType w:val="hybridMultilevel"/>
    <w:tmpl w:val="83F853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F94F04"/>
    <w:multiLevelType w:val="hybridMultilevel"/>
    <w:tmpl w:val="33E655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C531B34"/>
    <w:multiLevelType w:val="hybridMultilevel"/>
    <w:tmpl w:val="7C2C421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CCB2ACA"/>
    <w:multiLevelType w:val="hybridMultilevel"/>
    <w:tmpl w:val="6A825B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581A23DD"/>
    <w:multiLevelType w:val="hybridMultilevel"/>
    <w:tmpl w:val="2D0810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8F31D93"/>
    <w:multiLevelType w:val="hybridMultilevel"/>
    <w:tmpl w:val="B65C9E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62C01FB7"/>
    <w:multiLevelType w:val="hybridMultilevel"/>
    <w:tmpl w:val="BF6408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D7154EB"/>
    <w:multiLevelType w:val="hybridMultilevel"/>
    <w:tmpl w:val="FCFE376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EFF7797"/>
    <w:multiLevelType w:val="hybridMultilevel"/>
    <w:tmpl w:val="7786DC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F317F9C"/>
    <w:multiLevelType w:val="hybridMultilevel"/>
    <w:tmpl w:val="C7A236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2950034"/>
    <w:multiLevelType w:val="hybridMultilevel"/>
    <w:tmpl w:val="F5D45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CAA4A77"/>
    <w:multiLevelType w:val="hybridMultilevel"/>
    <w:tmpl w:val="A13E7364"/>
    <w:lvl w:ilvl="0" w:tplc="37505F7C">
      <w:start w:val="5"/>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20382313">
    <w:abstractNumId w:val="6"/>
  </w:num>
  <w:num w:numId="2" w16cid:durableId="1680623357">
    <w:abstractNumId w:val="12"/>
  </w:num>
  <w:num w:numId="3" w16cid:durableId="1424522482">
    <w:abstractNumId w:val="9"/>
  </w:num>
  <w:num w:numId="4" w16cid:durableId="826751139">
    <w:abstractNumId w:val="8"/>
  </w:num>
  <w:num w:numId="5" w16cid:durableId="1743404292">
    <w:abstractNumId w:val="2"/>
  </w:num>
  <w:num w:numId="6" w16cid:durableId="865824687">
    <w:abstractNumId w:val="3"/>
  </w:num>
  <w:num w:numId="7" w16cid:durableId="107511434">
    <w:abstractNumId w:val="5"/>
  </w:num>
  <w:num w:numId="8" w16cid:durableId="355280012">
    <w:abstractNumId w:val="11"/>
  </w:num>
  <w:num w:numId="9" w16cid:durableId="235363948">
    <w:abstractNumId w:val="10"/>
  </w:num>
  <w:num w:numId="10" w16cid:durableId="143933905">
    <w:abstractNumId w:val="7"/>
  </w:num>
  <w:num w:numId="11" w16cid:durableId="1009021640">
    <w:abstractNumId w:val="4"/>
  </w:num>
  <w:num w:numId="12" w16cid:durableId="344527497">
    <w:abstractNumId w:val="0"/>
  </w:num>
  <w:num w:numId="13" w16cid:durableId="17589423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AE6"/>
    <w:rsid w:val="00307247"/>
    <w:rsid w:val="009B7AE6"/>
    <w:rsid w:val="00AA4CF5"/>
    <w:rsid w:val="00B964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325AA9"/>
  <w15:chartTrackingRefBased/>
  <w15:docId w15:val="{419C81A7-49D0-4F21-873B-0CFFB4013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rPr>
  </w:style>
  <w:style w:type="paragraph" w:styleId="berschrift1">
    <w:name w:val="heading 1"/>
    <w:basedOn w:val="Standard"/>
    <w:next w:val="Standard"/>
    <w:link w:val="berschrift1Zchn"/>
    <w:uiPriority w:val="9"/>
    <w:qFormat/>
    <w:pPr>
      <w:keepNext/>
      <w:keepLines/>
      <w:spacing w:before="240" w:after="0"/>
      <w:outlineLvl w:val="0"/>
    </w:pPr>
    <w:rPr>
      <w:rFonts w:eastAsiaTheme="majorEastAsia" w:cstheme="majorBidi"/>
      <w:b/>
      <w:sz w:val="32"/>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eastAsiaTheme="majorEastAsia" w:cstheme="majorBidi"/>
      <w:b/>
      <w:sz w:val="26"/>
      <w:szCs w:val="26"/>
    </w:rPr>
  </w:style>
  <w:style w:type="paragraph" w:styleId="berschrift3">
    <w:name w:val="heading 3"/>
    <w:basedOn w:val="Standard"/>
    <w:next w:val="Standard"/>
    <w:link w:val="berschrift3Zchn"/>
    <w:uiPriority w:val="9"/>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styleId="Hyperlink">
    <w:name w:val="Hyperlink"/>
    <w:basedOn w:val="Absatz-Standardschriftart"/>
    <w:uiPriority w:val="99"/>
    <w:unhideWhenUsed/>
    <w:rPr>
      <w:color w:val="0563C1" w:themeColor="hyperlink"/>
      <w:u w:val="single"/>
    </w:rPr>
  </w:style>
  <w:style w:type="paragraph" w:styleId="StandardWeb">
    <w:name w:val="Normal (Web)"/>
    <w:basedOn w:val="Standard"/>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berschrift1Zchn">
    <w:name w:val="Überschrift 1 Zchn"/>
    <w:basedOn w:val="Absatz-Standardschriftart"/>
    <w:link w:val="berschrift1"/>
    <w:uiPriority w:val="9"/>
    <w:rPr>
      <w:rFonts w:ascii="Arial" w:eastAsiaTheme="majorEastAsia" w:hAnsi="Arial" w:cstheme="majorBidi"/>
      <w:b/>
      <w:sz w:val="32"/>
      <w:szCs w:val="32"/>
    </w:rPr>
  </w:style>
  <w:style w:type="character" w:customStyle="1" w:styleId="berschrift2Zchn">
    <w:name w:val="Überschrift 2 Zchn"/>
    <w:basedOn w:val="Absatz-Standardschriftart"/>
    <w:link w:val="berschrift2"/>
    <w:uiPriority w:val="9"/>
    <w:rPr>
      <w:rFonts w:ascii="Arial" w:eastAsiaTheme="majorEastAsia" w:hAnsi="Arial" w:cstheme="majorBidi"/>
      <w:b/>
      <w:sz w:val="26"/>
      <w:szCs w:val="26"/>
    </w:rPr>
  </w:style>
  <w:style w:type="paragraph" w:styleId="Titel">
    <w:name w:val="Title"/>
    <w:basedOn w:val="Standard"/>
    <w:next w:val="Standard"/>
    <w:link w:val="TitelZchn"/>
    <w:uiPriority w:val="10"/>
    <w:qFormat/>
    <w:pPr>
      <w:spacing w:after="0" w:line="240" w:lineRule="auto"/>
      <w:contextualSpacing/>
      <w:jc w:val="center"/>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Pr>
      <w:rFonts w:ascii="Arial" w:eastAsiaTheme="majorEastAsia" w:hAnsi="Arial" w:cstheme="majorBidi"/>
      <w:spacing w:val="-10"/>
      <w:kern w:val="28"/>
      <w:sz w:val="56"/>
      <w:szCs w:val="56"/>
    </w:rPr>
  </w:style>
  <w:style w:type="paragraph" w:styleId="Untertitel">
    <w:name w:val="Subtitle"/>
    <w:basedOn w:val="Standard"/>
    <w:next w:val="Standard"/>
    <w:link w:val="UntertitelZchn"/>
    <w:uiPriority w:val="11"/>
    <w:qFormat/>
    <w:pPr>
      <w:numPr>
        <w:ilvl w:val="1"/>
      </w:numPr>
      <w:jc w:val="center"/>
    </w:pPr>
    <w:rPr>
      <w:rFonts w:eastAsiaTheme="minorEastAsia"/>
      <w:i/>
      <w:spacing w:val="15"/>
    </w:rPr>
  </w:style>
  <w:style w:type="character" w:customStyle="1" w:styleId="UntertitelZchn">
    <w:name w:val="Untertitel Zchn"/>
    <w:basedOn w:val="Absatz-Standardschriftart"/>
    <w:link w:val="Untertitel"/>
    <w:uiPriority w:val="11"/>
    <w:rPr>
      <w:rFonts w:ascii="Arial" w:eastAsiaTheme="minorEastAsia" w:hAnsi="Arial"/>
      <w:i/>
      <w:spacing w:val="15"/>
    </w:rPr>
  </w:style>
  <w:style w:type="paragraph" w:styleId="KeinLeerraum">
    <w:name w:val="No Spacing"/>
    <w:uiPriority w:val="1"/>
    <w:qFormat/>
    <w:pPr>
      <w:spacing w:after="0" w:line="240" w:lineRule="auto"/>
    </w:pPr>
    <w:rPr>
      <w:rFonts w:ascii="Arial" w:hAnsi="Arial"/>
    </w:rPr>
  </w:style>
  <w:style w:type="character" w:styleId="SchwacheHervorhebung">
    <w:name w:val="Subtle Emphasis"/>
    <w:basedOn w:val="Absatz-Standardschriftart"/>
    <w:uiPriority w:val="19"/>
    <w:qFormat/>
    <w:rPr>
      <w:rFonts w:ascii="Arial" w:hAnsi="Arial"/>
      <w:i/>
      <w:iCs/>
      <w:color w:val="auto"/>
      <w:sz w:val="22"/>
    </w:rPr>
  </w:style>
  <w:style w:type="character" w:styleId="Hervorhebung">
    <w:name w:val="Emphasis"/>
    <w:basedOn w:val="Absatz-Standardschriftart"/>
    <w:uiPriority w:val="20"/>
    <w:qFormat/>
    <w:rPr>
      <w:rFonts w:ascii="Arial" w:hAnsi="Arial"/>
      <w:b/>
      <w:i/>
      <w:iCs/>
      <w:sz w:val="22"/>
    </w:rPr>
  </w:style>
  <w:style w:type="character" w:styleId="IntensiveHervorhebung">
    <w:name w:val="Intense Emphasis"/>
    <w:basedOn w:val="Absatz-Standardschriftart"/>
    <w:uiPriority w:val="21"/>
    <w:qFormat/>
    <w:rPr>
      <w:rFonts w:ascii="Arial" w:hAnsi="Arial"/>
      <w:b/>
      <w:i/>
      <w:iCs/>
      <w:color w:val="auto"/>
      <w:sz w:val="24"/>
    </w:rPr>
  </w:style>
  <w:style w:type="paragraph" w:styleId="Zitat">
    <w:name w:val="Quote"/>
    <w:basedOn w:val="Standard"/>
    <w:next w:val="Standard"/>
    <w:link w:val="ZitatZchn"/>
    <w:uiPriority w:val="29"/>
    <w:qFormat/>
    <w:pPr>
      <w:spacing w:before="200"/>
      <w:ind w:left="864" w:right="864"/>
      <w:jc w:val="center"/>
    </w:pPr>
    <w:rPr>
      <w:i/>
      <w:iCs/>
    </w:rPr>
  </w:style>
  <w:style w:type="character" w:customStyle="1" w:styleId="ZitatZchn">
    <w:name w:val="Zitat Zchn"/>
    <w:basedOn w:val="Absatz-Standardschriftart"/>
    <w:link w:val="Zitat"/>
    <w:uiPriority w:val="29"/>
    <w:rPr>
      <w:rFonts w:ascii="Arial" w:hAnsi="Arial"/>
      <w:i/>
      <w:iCs/>
    </w:rPr>
  </w:style>
  <w:style w:type="paragraph" w:styleId="IntensivesZitat">
    <w:name w:val="Intense Quote"/>
    <w:basedOn w:val="Standard"/>
    <w:next w:val="Standard"/>
    <w:link w:val="IntensivesZitatZchn"/>
    <w:uiPriority w:val="30"/>
    <w:qFormat/>
    <w:pPr>
      <w:pBdr>
        <w:top w:val="single" w:sz="4" w:space="10" w:color="000000" w:themeColor="text1"/>
        <w:bottom w:val="single" w:sz="4" w:space="10" w:color="000000" w:themeColor="text1"/>
      </w:pBdr>
      <w:spacing w:before="360" w:after="360"/>
      <w:ind w:left="864" w:right="864"/>
      <w:jc w:val="center"/>
    </w:pPr>
    <w:rPr>
      <w:i/>
      <w:iCs/>
    </w:rPr>
  </w:style>
  <w:style w:type="character" w:customStyle="1" w:styleId="IntensivesZitatZchn">
    <w:name w:val="Intensives Zitat Zchn"/>
    <w:basedOn w:val="Absatz-Standardschriftart"/>
    <w:link w:val="IntensivesZitat"/>
    <w:uiPriority w:val="30"/>
    <w:rPr>
      <w:rFonts w:ascii="Arial" w:hAnsi="Arial"/>
      <w:i/>
      <w:iCs/>
    </w:rPr>
  </w:style>
  <w:style w:type="character" w:styleId="SchwacherVerweis">
    <w:name w:val="Subtle Reference"/>
    <w:basedOn w:val="Absatz-Standardschriftart"/>
    <w:uiPriority w:val="31"/>
    <w:qFormat/>
    <w:rPr>
      <w:rFonts w:ascii="Arial" w:hAnsi="Arial"/>
      <w:smallCaps/>
      <w:color w:val="auto"/>
      <w:sz w:val="22"/>
    </w:rPr>
  </w:style>
  <w:style w:type="character" w:styleId="IntensiverVerweis">
    <w:name w:val="Intense Reference"/>
    <w:basedOn w:val="Absatz-Standardschriftart"/>
    <w:uiPriority w:val="32"/>
    <w:qFormat/>
    <w:rPr>
      <w:rFonts w:ascii="Arial" w:hAnsi="Arial"/>
      <w:b/>
      <w:bCs/>
      <w:smallCaps/>
      <w:color w:val="000000" w:themeColor="text1"/>
      <w:spacing w:val="5"/>
      <w:sz w:val="22"/>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color w:val="1F4D78" w:themeColor="accent1" w:themeShade="7F"/>
      <w:sz w:val="24"/>
      <w:szCs w:val="24"/>
    </w:rPr>
  </w:style>
  <w:style w:type="paragraph" w:styleId="Listenabsatz">
    <w:name w:val="List Paragraph"/>
    <w:basedOn w:val="Standard"/>
    <w:uiPriority w:val="34"/>
    <w:qFormat/>
    <w:pPr>
      <w:ind w:left="720"/>
      <w:contextualSpacing/>
    </w:p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page-title-main">
    <w:name w:val="mw-page-title-main"/>
    <w:basedOn w:val="Absatz-Standardschriftart"/>
  </w:style>
  <w:style w:type="character" w:styleId="BesuchterLink">
    <w:name w:val="FollowedHyperlink"/>
    <w:basedOn w:val="Absatz-Standardschriftart"/>
    <w:uiPriority w:val="99"/>
    <w:semiHidden/>
    <w:unhideWhenUsed/>
    <w:rPr>
      <w:color w:val="954F72" w:themeColor="followedHyperlink"/>
      <w:u w:val="single"/>
    </w:rPr>
  </w:style>
  <w:style w:type="paragraph" w:customStyle="1" w:styleId="my-2">
    <w:name w:val="my-2"/>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Pr>
      <w:b/>
      <w:bCs/>
    </w:rPr>
  </w:style>
  <w:style w:type="character" w:customStyle="1" w:styleId="attributecolor">
    <w:name w:val="attributecolor"/>
    <w:basedOn w:val="Absatz-Standardschriftart"/>
  </w:style>
  <w:style w:type="character" w:customStyle="1" w:styleId="attributevaluecolor">
    <w:name w:val="attributevaluecolor"/>
    <w:basedOn w:val="Absatz-Standardschriftar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93923">
      <w:bodyDiv w:val="1"/>
      <w:marLeft w:val="0"/>
      <w:marRight w:val="0"/>
      <w:marTop w:val="0"/>
      <w:marBottom w:val="0"/>
      <w:divBdr>
        <w:top w:val="none" w:sz="0" w:space="0" w:color="auto"/>
        <w:left w:val="none" w:sz="0" w:space="0" w:color="auto"/>
        <w:bottom w:val="none" w:sz="0" w:space="0" w:color="auto"/>
        <w:right w:val="none" w:sz="0" w:space="0" w:color="auto"/>
      </w:divBdr>
    </w:div>
    <w:div w:id="932787213">
      <w:bodyDiv w:val="1"/>
      <w:marLeft w:val="0"/>
      <w:marRight w:val="0"/>
      <w:marTop w:val="0"/>
      <w:marBottom w:val="0"/>
      <w:divBdr>
        <w:top w:val="none" w:sz="0" w:space="0" w:color="auto"/>
        <w:left w:val="none" w:sz="0" w:space="0" w:color="auto"/>
        <w:bottom w:val="none" w:sz="0" w:space="0" w:color="auto"/>
        <w:right w:val="none" w:sz="0" w:space="0" w:color="auto"/>
      </w:divBdr>
      <w:divsChild>
        <w:div w:id="1612517015">
          <w:marLeft w:val="0"/>
          <w:marRight w:val="0"/>
          <w:marTop w:val="0"/>
          <w:marBottom w:val="0"/>
          <w:divBdr>
            <w:top w:val="none" w:sz="0" w:space="0" w:color="auto"/>
            <w:left w:val="none" w:sz="0" w:space="0" w:color="auto"/>
            <w:bottom w:val="none" w:sz="0" w:space="0" w:color="auto"/>
            <w:right w:val="none" w:sz="0" w:space="0" w:color="auto"/>
          </w:divBdr>
        </w:div>
      </w:divsChild>
    </w:div>
    <w:div w:id="1307513530">
      <w:bodyDiv w:val="1"/>
      <w:marLeft w:val="0"/>
      <w:marRight w:val="0"/>
      <w:marTop w:val="0"/>
      <w:marBottom w:val="0"/>
      <w:divBdr>
        <w:top w:val="none" w:sz="0" w:space="0" w:color="auto"/>
        <w:left w:val="none" w:sz="0" w:space="0" w:color="auto"/>
        <w:bottom w:val="none" w:sz="0" w:space="0" w:color="auto"/>
        <w:right w:val="none" w:sz="0" w:space="0" w:color="auto"/>
      </w:divBdr>
    </w:div>
    <w:div w:id="1319773739">
      <w:bodyDiv w:val="1"/>
      <w:marLeft w:val="0"/>
      <w:marRight w:val="0"/>
      <w:marTop w:val="0"/>
      <w:marBottom w:val="0"/>
      <w:divBdr>
        <w:top w:val="none" w:sz="0" w:space="0" w:color="auto"/>
        <w:left w:val="none" w:sz="0" w:space="0" w:color="auto"/>
        <w:bottom w:val="none" w:sz="0" w:space="0" w:color="auto"/>
        <w:right w:val="none" w:sz="0" w:space="0" w:color="auto"/>
      </w:divBdr>
    </w:div>
    <w:div w:id="1368217980">
      <w:bodyDiv w:val="1"/>
      <w:marLeft w:val="0"/>
      <w:marRight w:val="0"/>
      <w:marTop w:val="0"/>
      <w:marBottom w:val="0"/>
      <w:divBdr>
        <w:top w:val="none" w:sz="0" w:space="0" w:color="auto"/>
        <w:left w:val="none" w:sz="0" w:space="0" w:color="auto"/>
        <w:bottom w:val="none" w:sz="0" w:space="0" w:color="auto"/>
        <w:right w:val="none" w:sz="0" w:space="0" w:color="auto"/>
      </w:divBdr>
    </w:div>
    <w:div w:id="1374428008">
      <w:bodyDiv w:val="1"/>
      <w:marLeft w:val="0"/>
      <w:marRight w:val="0"/>
      <w:marTop w:val="0"/>
      <w:marBottom w:val="0"/>
      <w:divBdr>
        <w:top w:val="none" w:sz="0" w:space="0" w:color="auto"/>
        <w:left w:val="none" w:sz="0" w:space="0" w:color="auto"/>
        <w:bottom w:val="none" w:sz="0" w:space="0" w:color="auto"/>
        <w:right w:val="none" w:sz="0" w:space="0" w:color="auto"/>
      </w:divBdr>
    </w:div>
    <w:div w:id="1756172426">
      <w:bodyDiv w:val="1"/>
      <w:marLeft w:val="0"/>
      <w:marRight w:val="0"/>
      <w:marTop w:val="0"/>
      <w:marBottom w:val="0"/>
      <w:divBdr>
        <w:top w:val="none" w:sz="0" w:space="0" w:color="auto"/>
        <w:left w:val="none" w:sz="0" w:space="0" w:color="auto"/>
        <w:bottom w:val="none" w:sz="0" w:space="0" w:color="auto"/>
        <w:right w:val="none" w:sz="0" w:space="0" w:color="auto"/>
      </w:divBdr>
    </w:div>
    <w:div w:id="1894732725">
      <w:bodyDiv w:val="1"/>
      <w:marLeft w:val="0"/>
      <w:marRight w:val="0"/>
      <w:marTop w:val="0"/>
      <w:marBottom w:val="0"/>
      <w:divBdr>
        <w:top w:val="none" w:sz="0" w:space="0" w:color="auto"/>
        <w:left w:val="none" w:sz="0" w:space="0" w:color="auto"/>
        <w:bottom w:val="none" w:sz="0" w:space="0" w:color="auto"/>
        <w:right w:val="none" w:sz="0" w:space="0" w:color="auto"/>
      </w:divBdr>
      <w:divsChild>
        <w:div w:id="95445876">
          <w:marLeft w:val="0"/>
          <w:marRight w:val="0"/>
          <w:marTop w:val="0"/>
          <w:marBottom w:val="0"/>
          <w:divBdr>
            <w:top w:val="none" w:sz="0" w:space="0" w:color="auto"/>
            <w:left w:val="none" w:sz="0" w:space="0" w:color="auto"/>
            <w:bottom w:val="none" w:sz="0" w:space="0" w:color="auto"/>
            <w:right w:val="none" w:sz="0" w:space="0" w:color="auto"/>
          </w:divBdr>
        </w:div>
      </w:divsChild>
    </w:div>
    <w:div w:id="2104911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bfarm.de/DE/Kodiersysteme/Klassifikationen/ICD/ICD-10-GM/_node.html" TargetMode="External"/><Relationship Id="rId26" Type="http://schemas.openxmlformats.org/officeDocument/2006/relationships/hyperlink" Target="https://klassifikationen.bfarm.de/icd-10-gm/kode-suche/htmlgm2022/zusatz-04-anleitung-zur-verschluesselung.htm" TargetMode="External"/><Relationship Id="rId21" Type="http://schemas.openxmlformats.org/officeDocument/2006/relationships/hyperlink" Target="https://www.bfarm.de/DE/Kodiersysteme/Klassifikationen/_node.html" TargetMode="External"/><Relationship Id="rId34" Type="http://schemas.openxmlformats.org/officeDocument/2006/relationships/footer" Target="footer2.xml"/><Relationship Id="rId7" Type="http://schemas.openxmlformats.org/officeDocument/2006/relationships/hyperlink" Target="https://www.nfdi.de/nfdi-podcasts-folge-3-verfuegbar/" TargetMode="External"/><Relationship Id="rId12" Type="http://schemas.microsoft.com/office/2007/relationships/diagramDrawing" Target="diagrams/drawing1.xml"/><Relationship Id="rId17" Type="http://schemas.openxmlformats.org/officeDocument/2006/relationships/hyperlink" Target="https://www.bfarm.de/DE/Kodiersysteme/Klassifikationen/ICD/ICD-10-GM/Systematik/systematikaufbau.html" TargetMode="External"/><Relationship Id="rId25" Type="http://schemas.openxmlformats.org/officeDocument/2006/relationships/hyperlink" Target="https://www.cg.tuwien.ac.at/courses/EinfVisComp/Skriptum/SS14/EVC-05%20Bildcodierung%20und%20Kompression.pdf"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bfarm.de/DE/Kodiersysteme/Klassifikationen/OPS-ICHI/OPS/_node.html" TargetMode="External"/><Relationship Id="rId20" Type="http://schemas.openxmlformats.org/officeDocument/2006/relationships/hyperlink" Target="https://www.bfarm.de/DE/Kodiersysteme/Klassifikationen/OPS-ICHI/ICHI/_node.html" TargetMode="External"/><Relationship Id="rId29" Type="http://schemas.openxmlformats.org/officeDocument/2006/relationships/hyperlink" Target="https://www.bfarm.de/SharedDocs/Downloads/DE/Kodiersysteme/basiswissen-kodieren-2010.pdf?__blob=publicationFil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24" Type="http://schemas.openxmlformats.org/officeDocument/2006/relationships/hyperlink" Target="https://www.gkv-spitzenverband.de/krankenversicherung/krankenhaeuser/drg_system/ag_drg_system_2025/ag_drg_2025.jsp"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www.twillo.de/edu-sharing/components/render/01887843-1814-42e6-9ad5-6941a88d5c5a" TargetMode="External"/><Relationship Id="rId28" Type="http://schemas.openxmlformats.org/officeDocument/2006/relationships/hyperlink" Target="https://www.bfarm.de/DE/Kodiersysteme/Klassifikationen/ICD/ICD-10-GM/Systematik/systematikaufbau.html" TargetMode="External"/><Relationship Id="rId36" Type="http://schemas.openxmlformats.org/officeDocument/2006/relationships/footer" Target="footer3.xml"/><Relationship Id="rId10" Type="http://schemas.openxmlformats.org/officeDocument/2006/relationships/diagramQuickStyle" Target="diagrams/quickStyle1.xml"/><Relationship Id="rId19" Type="http://schemas.openxmlformats.org/officeDocument/2006/relationships/hyperlink" Target="https://www.bfarm.de/DE/Kodiersysteme/Klassifikationen/ICF/_node.html"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hyperlink" Target="https://klassifikationen.bfarm.de/icd-10-gm/kode-suche/htmlgm2025/index.htm" TargetMode="External"/><Relationship Id="rId22" Type="http://schemas.openxmlformats.org/officeDocument/2006/relationships/hyperlink" Target="https://oercommons.org/courses/new-england-collaborative-data-management-curriculum" TargetMode="External"/><Relationship Id="rId27" Type="http://schemas.openxmlformats.org/officeDocument/2006/relationships/hyperlink" Target="https://www.who.int/classifications/international-classification-of-health-interventions" TargetMode="External"/><Relationship Id="rId30" Type="http://schemas.openxmlformats.org/officeDocument/2006/relationships/image" Target="media/image3.png"/><Relationship Id="rId35" Type="http://schemas.openxmlformats.org/officeDocument/2006/relationships/header" Target="header3.xml"/><Relationship Id="rId8" Type="http://schemas.openxmlformats.org/officeDocument/2006/relationships/diagramData" Target="diagrams/data1.xml"/><Relationship Id="rId3" Type="http://schemas.openxmlformats.org/officeDocument/2006/relationships/settings" Target="settings.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D17BF4-CBD7-4BAB-829F-B9176CA2008B}" type="doc">
      <dgm:prSet loTypeId="urn:microsoft.com/office/officeart/2009/3/layout/IncreasingArrowsProcess" loCatId="process" qsTypeId="urn:microsoft.com/office/officeart/2005/8/quickstyle/simple1" qsCatId="simple" csTypeId="urn:microsoft.com/office/officeart/2005/8/colors/accent1_2" csCatId="accent1" phldr="1"/>
      <dgm:spPr/>
      <dgm:t>
        <a:bodyPr/>
        <a:lstStyle/>
        <a:p>
          <a:endParaRPr lang="de-DE"/>
        </a:p>
      </dgm:t>
    </dgm:pt>
    <dgm:pt modelId="{388D1A4B-8BDE-4DBB-A06B-EC08B2C47DB2}">
      <dgm:prSet phldrT="[Text]"/>
      <dgm:spPr>
        <a:solidFill>
          <a:schemeClr val="bg1">
            <a:lumMod val="50000"/>
          </a:schemeClr>
        </a:solidFill>
      </dgm:spPr>
      <dgm:t>
        <a:bodyPr/>
        <a:lstStyle/>
        <a:p>
          <a:r>
            <a:rPr lang="de-DE">
              <a:latin typeface="Arial" panose="020B0604020202020204" pitchFamily="34" charset="0"/>
              <a:cs typeface="Arial" panose="020B0604020202020204" pitchFamily="34" charset="0"/>
            </a:rPr>
            <a:t>Beschränkte Terminologien</a:t>
          </a:r>
        </a:p>
      </dgm:t>
    </dgm:pt>
    <dgm:pt modelId="{26477D6C-8599-44B5-BF0B-3A75CB2DAC12}" type="parTrans" cxnId="{AFF6EAFA-A1BA-4277-BC87-0D1F95BE57D3}">
      <dgm:prSet/>
      <dgm:spPr/>
      <dgm:t>
        <a:bodyPr/>
        <a:lstStyle/>
        <a:p>
          <a:endParaRPr lang="de-DE"/>
        </a:p>
      </dgm:t>
    </dgm:pt>
    <dgm:pt modelId="{1E460028-45A8-4F4D-91E0-77F583EAD24A}" type="sibTrans" cxnId="{AFF6EAFA-A1BA-4277-BC87-0D1F95BE57D3}">
      <dgm:prSet/>
      <dgm:spPr/>
      <dgm:t>
        <a:bodyPr/>
        <a:lstStyle/>
        <a:p>
          <a:endParaRPr lang="de-DE"/>
        </a:p>
      </dgm:t>
    </dgm:pt>
    <dgm:pt modelId="{5ECA36F4-C6AC-429F-8647-66A3C9B8D204}">
      <dgm:prSet phldrT="[Text]"/>
      <dgm:spPr>
        <a:ln>
          <a:solidFill>
            <a:schemeClr val="bg1">
              <a:lumMod val="50000"/>
            </a:schemeClr>
          </a:solidFill>
        </a:ln>
      </dgm:spPr>
      <dgm:t>
        <a:bodyPr/>
        <a:lstStyle/>
        <a:p>
          <a:r>
            <a:rPr lang="de-DE" b="1">
              <a:latin typeface="Arial" panose="020B0604020202020204" pitchFamily="34" charset="0"/>
              <a:cs typeface="Arial" panose="020B0604020202020204" pitchFamily="34" charset="0"/>
            </a:rPr>
            <a:t>Wortliste</a:t>
          </a:r>
        </a:p>
      </dgm:t>
    </dgm:pt>
    <dgm:pt modelId="{F16696CE-7B7E-41F5-9EFB-CE4D9D11D940}" type="parTrans" cxnId="{CE26ACC9-6716-4BF7-B9AA-2867C844CD4B}">
      <dgm:prSet/>
      <dgm:spPr/>
      <dgm:t>
        <a:bodyPr/>
        <a:lstStyle/>
        <a:p>
          <a:endParaRPr lang="de-DE"/>
        </a:p>
      </dgm:t>
    </dgm:pt>
    <dgm:pt modelId="{5CD78BF6-ACD8-4D1E-819C-77A43B67F994}" type="sibTrans" cxnId="{CE26ACC9-6716-4BF7-B9AA-2867C844CD4B}">
      <dgm:prSet/>
      <dgm:spPr/>
      <dgm:t>
        <a:bodyPr/>
        <a:lstStyle/>
        <a:p>
          <a:endParaRPr lang="de-DE"/>
        </a:p>
      </dgm:t>
    </dgm:pt>
    <dgm:pt modelId="{4AC06E22-4633-4BA5-8708-C3DBB85640F1}">
      <dgm:prSet phldrT="[Text]"/>
      <dgm:spPr>
        <a:solidFill>
          <a:schemeClr val="bg1">
            <a:lumMod val="50000"/>
          </a:schemeClr>
        </a:solidFill>
      </dgm:spPr>
      <dgm:t>
        <a:bodyPr/>
        <a:lstStyle/>
        <a:p>
          <a:r>
            <a:rPr lang="de-DE">
              <a:latin typeface="Arial" panose="020B0604020202020204" pitchFamily="34" charset="0"/>
              <a:cs typeface="Arial" panose="020B0604020202020204" pitchFamily="34" charset="0"/>
            </a:rPr>
            <a:t>Hierarchierelationen</a:t>
          </a:r>
        </a:p>
      </dgm:t>
    </dgm:pt>
    <dgm:pt modelId="{61073C05-E430-45D3-BC6D-312682A63B53}" type="parTrans" cxnId="{680CBC8B-7FEA-44EE-8355-A4CF3846898D}">
      <dgm:prSet/>
      <dgm:spPr/>
      <dgm:t>
        <a:bodyPr/>
        <a:lstStyle/>
        <a:p>
          <a:endParaRPr lang="de-DE"/>
        </a:p>
      </dgm:t>
    </dgm:pt>
    <dgm:pt modelId="{ECDB9BC8-9DE6-4049-8FDB-5ADCD85F515A}" type="sibTrans" cxnId="{680CBC8B-7FEA-44EE-8355-A4CF3846898D}">
      <dgm:prSet/>
      <dgm:spPr/>
      <dgm:t>
        <a:bodyPr/>
        <a:lstStyle/>
        <a:p>
          <a:endParaRPr lang="de-DE"/>
        </a:p>
      </dgm:t>
    </dgm:pt>
    <dgm:pt modelId="{8E4AF426-A46D-4028-924C-107499AEC8F6}">
      <dgm:prSet phldrT="[Text]"/>
      <dgm:spPr>
        <a:ln>
          <a:solidFill>
            <a:schemeClr val="bg1">
              <a:lumMod val="50000"/>
            </a:schemeClr>
          </a:solidFill>
        </a:ln>
      </dgm:spPr>
      <dgm:t>
        <a:bodyPr/>
        <a:lstStyle/>
        <a:p>
          <a:r>
            <a:rPr lang="de-DE" b="1">
              <a:latin typeface="Arial" panose="020B0604020202020204" pitchFamily="34" charset="0"/>
              <a:cs typeface="Arial" panose="020B0604020202020204" pitchFamily="34" charset="0"/>
            </a:rPr>
            <a:t>Taxonomie</a:t>
          </a:r>
        </a:p>
        <a:p>
          <a:r>
            <a:rPr lang="de-DE" b="0">
              <a:latin typeface="Arial" panose="020B0604020202020204" pitchFamily="34" charset="0"/>
              <a:cs typeface="Arial" panose="020B0604020202020204" pitchFamily="34" charset="0"/>
            </a:rPr>
            <a:t>Bsp.:</a:t>
          </a:r>
        </a:p>
        <a:p>
          <a:r>
            <a:rPr lang="de-DE" b="0">
              <a:latin typeface="Arial" panose="020B0604020202020204" pitchFamily="34" charset="0"/>
              <a:cs typeface="Arial" panose="020B0604020202020204" pitchFamily="34" charset="0"/>
            </a:rPr>
            <a:t>Beschäftigte Ärzt:innen </a:t>
          </a:r>
          <a:r>
            <a:rPr lang="de-DE" b="1">
              <a:latin typeface="Arial" panose="020B0604020202020204" pitchFamily="34" charset="0"/>
              <a:cs typeface="Arial" panose="020B0604020202020204" pitchFamily="34" charset="0"/>
            </a:rPr>
            <a:t>⊆</a:t>
          </a:r>
          <a:r>
            <a:rPr lang="de-DE" b="0">
              <a:latin typeface="Arial" panose="020B0604020202020204" pitchFamily="34" charset="0"/>
              <a:cs typeface="Arial" panose="020B0604020202020204" pitchFamily="34" charset="0"/>
            </a:rPr>
            <a:t> Ambulant arbeitende Ärzt:innen </a:t>
          </a:r>
          <a:r>
            <a:rPr lang="de-DE" b="1">
              <a:latin typeface="Arial" panose="020B0604020202020204" pitchFamily="34" charset="0"/>
              <a:cs typeface="Arial" panose="020B0604020202020204" pitchFamily="34" charset="0"/>
            </a:rPr>
            <a:t>⊆</a:t>
          </a:r>
          <a:r>
            <a:rPr lang="de-DE" b="0">
              <a:latin typeface="Arial" panose="020B0604020202020204" pitchFamily="34" charset="0"/>
              <a:cs typeface="Arial" panose="020B0604020202020204" pitchFamily="34" charset="0"/>
            </a:rPr>
            <a:t> Niedergelassene Ärzt:innen</a:t>
          </a:r>
        </a:p>
      </dgm:t>
    </dgm:pt>
    <dgm:pt modelId="{97D7412F-EB4C-4AEE-AA68-BE9EB83DEF58}" type="parTrans" cxnId="{8625B605-9CD7-485F-B1BB-C2292BD3F03E}">
      <dgm:prSet/>
      <dgm:spPr/>
      <dgm:t>
        <a:bodyPr/>
        <a:lstStyle/>
        <a:p>
          <a:endParaRPr lang="de-DE"/>
        </a:p>
      </dgm:t>
    </dgm:pt>
    <dgm:pt modelId="{313A244E-3A3A-4C84-A78C-9CE07C73FF7C}" type="sibTrans" cxnId="{8625B605-9CD7-485F-B1BB-C2292BD3F03E}">
      <dgm:prSet/>
      <dgm:spPr/>
      <dgm:t>
        <a:bodyPr/>
        <a:lstStyle/>
        <a:p>
          <a:endParaRPr lang="de-DE"/>
        </a:p>
      </dgm:t>
    </dgm:pt>
    <dgm:pt modelId="{4A5F5D5A-44E2-494B-B2CA-AF3BBC6900C7}">
      <dgm:prSet phldrT="[Text]"/>
      <dgm:spPr>
        <a:solidFill>
          <a:schemeClr val="bg1">
            <a:lumMod val="50000"/>
          </a:schemeClr>
        </a:solidFill>
      </dgm:spPr>
      <dgm:t>
        <a:bodyPr/>
        <a:lstStyle/>
        <a:p>
          <a:r>
            <a:rPr lang="de-DE">
              <a:latin typeface="Arial" panose="020B0604020202020204" pitchFamily="34" charset="0"/>
              <a:cs typeface="Arial" panose="020B0604020202020204" pitchFamily="34" charset="0"/>
            </a:rPr>
            <a:t>Äkquivalenz- und Assoziationsrelationen</a:t>
          </a:r>
        </a:p>
      </dgm:t>
    </dgm:pt>
    <dgm:pt modelId="{C546E8F2-06E5-4CB6-9A0E-3147FCDE1DF7}" type="parTrans" cxnId="{6B0E2F6E-C74C-489A-BD59-113047BC53C2}">
      <dgm:prSet/>
      <dgm:spPr/>
      <dgm:t>
        <a:bodyPr/>
        <a:lstStyle/>
        <a:p>
          <a:endParaRPr lang="de-DE"/>
        </a:p>
      </dgm:t>
    </dgm:pt>
    <dgm:pt modelId="{9487AC4D-49C4-4621-822E-C0CA5C206229}" type="sibTrans" cxnId="{6B0E2F6E-C74C-489A-BD59-113047BC53C2}">
      <dgm:prSet/>
      <dgm:spPr/>
      <dgm:t>
        <a:bodyPr/>
        <a:lstStyle/>
        <a:p>
          <a:endParaRPr lang="de-DE"/>
        </a:p>
      </dgm:t>
    </dgm:pt>
    <dgm:pt modelId="{1EDB943B-B61A-4914-8DDC-3FD38D56B02F}">
      <dgm:prSet phldrT="[Text]"/>
      <dgm:spPr>
        <a:ln>
          <a:solidFill>
            <a:schemeClr val="bg1">
              <a:lumMod val="50000"/>
            </a:schemeClr>
          </a:solidFill>
        </a:ln>
      </dgm:spPr>
      <dgm:t>
        <a:bodyPr/>
        <a:lstStyle/>
        <a:p>
          <a:r>
            <a:rPr lang="de-DE" b="1">
              <a:latin typeface="Arial" panose="020B0604020202020204" pitchFamily="34" charset="0"/>
              <a:cs typeface="Arial" panose="020B0604020202020204" pitchFamily="34" charset="0"/>
            </a:rPr>
            <a:t>Thesaurus</a:t>
          </a:r>
        </a:p>
        <a:p>
          <a:r>
            <a:rPr lang="de-DE" b="0">
              <a:latin typeface="Arial" panose="020B0604020202020204" pitchFamily="34" charset="0"/>
              <a:cs typeface="Arial" panose="020B0604020202020204" pitchFamily="34" charset="0"/>
            </a:rPr>
            <a:t>Bsp.: Gynäkologe</a:t>
          </a:r>
          <a:br>
            <a:rPr lang="de-DE" b="0">
              <a:latin typeface="Arial" panose="020B0604020202020204" pitchFamily="34" charset="0"/>
              <a:cs typeface="Arial" panose="020B0604020202020204" pitchFamily="34" charset="0"/>
            </a:rPr>
          </a:br>
          <a:r>
            <a:rPr lang="de-DE" b="0">
              <a:latin typeface="Arial" panose="020B0604020202020204" pitchFamily="34" charset="0"/>
              <a:cs typeface="Arial" panose="020B0604020202020204" pitchFamily="34" charset="0"/>
            </a:rPr>
            <a:t>Synonym: Frauenarzt, Frauenheilkundler</a:t>
          </a:r>
          <a:br>
            <a:rPr lang="de-DE" b="0">
              <a:latin typeface="Arial" panose="020B0604020202020204" pitchFamily="34" charset="0"/>
              <a:cs typeface="Arial" panose="020B0604020202020204" pitchFamily="34" charset="0"/>
            </a:rPr>
          </a:br>
          <a:r>
            <a:rPr lang="de-DE" b="0">
              <a:latin typeface="Arial" panose="020B0604020202020204" pitchFamily="34" charset="0"/>
              <a:cs typeface="Arial" panose="020B0604020202020204" pitchFamily="34" charset="0"/>
            </a:rPr>
            <a:t>Gegenteil: Androloge</a:t>
          </a:r>
          <a:br>
            <a:rPr lang="de-DE" b="0">
              <a:latin typeface="Arial" panose="020B0604020202020204" pitchFamily="34" charset="0"/>
              <a:cs typeface="Arial" panose="020B0604020202020204" pitchFamily="34" charset="0"/>
            </a:rPr>
          </a:br>
          <a:r>
            <a:rPr lang="de-DE" b="0">
              <a:latin typeface="Arial" panose="020B0604020202020204" pitchFamily="34" charset="0"/>
              <a:cs typeface="Arial" panose="020B0604020202020204" pitchFamily="34" charset="0"/>
            </a:rPr>
            <a:t>Oberbegriff: Facharzt</a:t>
          </a:r>
          <a:br>
            <a:rPr lang="de-DE" b="0">
              <a:latin typeface="Arial" panose="020B0604020202020204" pitchFamily="34" charset="0"/>
              <a:cs typeface="Arial" panose="020B0604020202020204" pitchFamily="34" charset="0"/>
            </a:rPr>
          </a:br>
          <a:endParaRPr lang="de-DE" b="0">
            <a:latin typeface="Arial" panose="020B0604020202020204" pitchFamily="34" charset="0"/>
            <a:cs typeface="Arial" panose="020B0604020202020204" pitchFamily="34" charset="0"/>
          </a:endParaRPr>
        </a:p>
      </dgm:t>
    </dgm:pt>
    <dgm:pt modelId="{3D5663EA-5E02-46B0-8FDE-5735AA8036B8}" type="parTrans" cxnId="{6752CFA9-EB0A-4185-844D-3553B312731D}">
      <dgm:prSet/>
      <dgm:spPr/>
      <dgm:t>
        <a:bodyPr/>
        <a:lstStyle/>
        <a:p>
          <a:endParaRPr lang="de-DE"/>
        </a:p>
      </dgm:t>
    </dgm:pt>
    <dgm:pt modelId="{6CBD5F1B-7009-4888-A25E-A5574679BB55}" type="sibTrans" cxnId="{6752CFA9-EB0A-4185-844D-3553B312731D}">
      <dgm:prSet/>
      <dgm:spPr/>
      <dgm:t>
        <a:bodyPr/>
        <a:lstStyle/>
        <a:p>
          <a:endParaRPr lang="de-DE"/>
        </a:p>
      </dgm:t>
    </dgm:pt>
    <dgm:pt modelId="{D28FA7E6-3323-4CCC-B5FD-AB09C430A2A3}">
      <dgm:prSet phldrT="[Text]"/>
      <dgm:spPr>
        <a:ln>
          <a:solidFill>
            <a:schemeClr val="bg1">
              <a:lumMod val="50000"/>
            </a:schemeClr>
          </a:solidFill>
        </a:ln>
      </dgm:spPr>
      <dgm:t>
        <a:bodyPr/>
        <a:lstStyle/>
        <a:p>
          <a:r>
            <a:rPr lang="de-DE" b="1">
              <a:latin typeface="Arial" panose="020B0604020202020204" pitchFamily="34" charset="0"/>
              <a:cs typeface="Arial" panose="020B0604020202020204" pitchFamily="34" charset="0"/>
            </a:rPr>
            <a:t>Onthologie</a:t>
          </a:r>
        </a:p>
      </dgm:t>
    </dgm:pt>
    <dgm:pt modelId="{28223094-8FA8-4F9E-9839-0CD760DED5B9}" type="parTrans" cxnId="{7A26125C-E638-4D96-85E1-2396C46B6024}">
      <dgm:prSet/>
      <dgm:spPr/>
      <dgm:t>
        <a:bodyPr/>
        <a:lstStyle/>
        <a:p>
          <a:endParaRPr lang="de-DE"/>
        </a:p>
      </dgm:t>
    </dgm:pt>
    <dgm:pt modelId="{362D0C06-D90D-48B7-A9D7-D5536C09D316}" type="sibTrans" cxnId="{7A26125C-E638-4D96-85E1-2396C46B6024}">
      <dgm:prSet/>
      <dgm:spPr/>
      <dgm:t>
        <a:bodyPr/>
        <a:lstStyle/>
        <a:p>
          <a:endParaRPr lang="de-DE"/>
        </a:p>
      </dgm:t>
    </dgm:pt>
    <dgm:pt modelId="{860606C4-98A2-457A-91FE-6609B1AE24D4}">
      <dgm:prSet phldrT="[Text]"/>
      <dgm:spPr>
        <a:solidFill>
          <a:schemeClr val="bg1">
            <a:lumMod val="50000"/>
          </a:schemeClr>
        </a:solidFill>
      </dgm:spPr>
      <dgm:t>
        <a:bodyPr/>
        <a:lstStyle/>
        <a:p>
          <a:r>
            <a:rPr lang="de-DE">
              <a:latin typeface="Arial" panose="020B0604020202020204" pitchFamily="34" charset="0"/>
              <a:cs typeface="Arial" panose="020B0604020202020204" pitchFamily="34" charset="0"/>
            </a:rPr>
            <a:t>Inferenz- und Integritätsregeln</a:t>
          </a:r>
        </a:p>
      </dgm:t>
    </dgm:pt>
    <dgm:pt modelId="{F58D867E-680D-4221-88FF-9CBE0D78B603}" type="parTrans" cxnId="{6B9C69B6-C672-441C-9149-33F38438CFD0}">
      <dgm:prSet/>
      <dgm:spPr/>
      <dgm:t>
        <a:bodyPr/>
        <a:lstStyle/>
        <a:p>
          <a:endParaRPr lang="de-DE"/>
        </a:p>
      </dgm:t>
    </dgm:pt>
    <dgm:pt modelId="{88D1E2A1-DDD9-49FA-9E1D-FEA0C62F4B85}" type="sibTrans" cxnId="{6B9C69B6-C672-441C-9149-33F38438CFD0}">
      <dgm:prSet/>
      <dgm:spPr/>
      <dgm:t>
        <a:bodyPr/>
        <a:lstStyle/>
        <a:p>
          <a:endParaRPr lang="de-DE"/>
        </a:p>
      </dgm:t>
    </dgm:pt>
    <dgm:pt modelId="{8D973F04-D9C3-47D6-AD47-4C689438296F}">
      <dgm:prSet phldrT="[Text]"/>
      <dgm:spPr>
        <a:ln>
          <a:solidFill>
            <a:schemeClr val="bg1">
              <a:lumMod val="50000"/>
            </a:schemeClr>
          </a:solidFill>
        </a:ln>
      </dgm:spPr>
      <dgm:t>
        <a:bodyPr/>
        <a:lstStyle/>
        <a:p>
          <a:r>
            <a:rPr lang="de-DE">
              <a:latin typeface="Arial" panose="020B0604020202020204" pitchFamily="34" charset="0"/>
              <a:cs typeface="Arial" panose="020B0604020202020204" pitchFamily="34" charset="0"/>
            </a:rPr>
            <a:t>Bsp.:</a:t>
          </a:r>
          <a:br>
            <a:rPr lang="de-DE">
              <a:latin typeface="Arial" panose="020B0604020202020204" pitchFamily="34" charset="0"/>
              <a:cs typeface="Arial" panose="020B0604020202020204" pitchFamily="34" charset="0"/>
            </a:rPr>
          </a:br>
          <a:r>
            <a:rPr lang="de-DE">
              <a:latin typeface="Arial" panose="020B0604020202020204" pitchFamily="34" charset="0"/>
              <a:cs typeface="Arial" panose="020B0604020202020204" pitchFamily="34" charset="0"/>
            </a:rPr>
            <a:t>- Allgemeinmedizin</a:t>
          </a:r>
        </a:p>
        <a:p>
          <a:r>
            <a:rPr lang="de-DE">
              <a:latin typeface="Arial" panose="020B0604020202020204" pitchFamily="34" charset="0"/>
              <a:cs typeface="Arial" panose="020B0604020202020204" pitchFamily="34" charset="0"/>
            </a:rPr>
            <a:t>- Gynäkologie</a:t>
          </a:r>
        </a:p>
        <a:p>
          <a:r>
            <a:rPr lang="de-DE">
              <a:latin typeface="Arial" panose="020B0604020202020204" pitchFamily="34" charset="0"/>
              <a:cs typeface="Arial" panose="020B0604020202020204" pitchFamily="34" charset="0"/>
            </a:rPr>
            <a:t>- Innere Medizin</a:t>
          </a:r>
        </a:p>
        <a:p>
          <a:r>
            <a:rPr lang="de-DE">
              <a:latin typeface="Arial" panose="020B0604020202020204" pitchFamily="34" charset="0"/>
              <a:cs typeface="Arial" panose="020B0604020202020204" pitchFamily="34" charset="0"/>
            </a:rPr>
            <a:t>- Orthopädie</a:t>
          </a:r>
        </a:p>
        <a:p>
          <a:r>
            <a:rPr lang="de-DE">
              <a:latin typeface="Arial" panose="020B0604020202020204" pitchFamily="34" charset="0"/>
              <a:cs typeface="Arial" panose="020B0604020202020204" pitchFamily="34" charset="0"/>
            </a:rPr>
            <a:t>- Pädiatrie</a:t>
          </a:r>
        </a:p>
        <a:p>
          <a:r>
            <a:rPr lang="de-DE">
              <a:latin typeface="Arial" panose="020B0604020202020204" pitchFamily="34" charset="0"/>
              <a:cs typeface="Arial" panose="020B0604020202020204" pitchFamily="34" charset="0"/>
            </a:rPr>
            <a:t>- Urologie</a:t>
          </a:r>
        </a:p>
        <a:p>
          <a:r>
            <a:rPr lang="de-DE">
              <a:latin typeface="Arial" panose="020B0604020202020204" pitchFamily="34" charset="0"/>
              <a:cs typeface="Arial" panose="020B0604020202020204" pitchFamily="34" charset="0"/>
            </a:rPr>
            <a:t>-...</a:t>
          </a:r>
        </a:p>
      </dgm:t>
    </dgm:pt>
    <dgm:pt modelId="{F17C3DF7-2042-4EC4-8876-AA89E6124053}" type="parTrans" cxnId="{42EDAF5D-771C-4A54-BF5C-7D25AF946C31}">
      <dgm:prSet/>
      <dgm:spPr/>
      <dgm:t>
        <a:bodyPr/>
        <a:lstStyle/>
        <a:p>
          <a:endParaRPr lang="de-DE"/>
        </a:p>
      </dgm:t>
    </dgm:pt>
    <dgm:pt modelId="{AB6A4ACB-69CD-4005-8E7F-BC4B21083BA9}" type="sibTrans" cxnId="{42EDAF5D-771C-4A54-BF5C-7D25AF946C31}">
      <dgm:prSet/>
      <dgm:spPr/>
      <dgm:t>
        <a:bodyPr/>
        <a:lstStyle/>
        <a:p>
          <a:endParaRPr lang="de-DE"/>
        </a:p>
      </dgm:t>
    </dgm:pt>
    <dgm:pt modelId="{F4A060D7-A975-421E-8AEE-06723E355715}" type="pres">
      <dgm:prSet presAssocID="{3AD17BF4-CBD7-4BAB-829F-B9176CA2008B}" presName="Name0" presStyleCnt="0">
        <dgm:presLayoutVars>
          <dgm:chMax val="5"/>
          <dgm:chPref val="5"/>
          <dgm:dir/>
          <dgm:animLvl val="lvl"/>
        </dgm:presLayoutVars>
      </dgm:prSet>
      <dgm:spPr/>
    </dgm:pt>
    <dgm:pt modelId="{303742A0-8413-422D-AA03-69175ED0DD5F}" type="pres">
      <dgm:prSet presAssocID="{388D1A4B-8BDE-4DBB-A06B-EC08B2C47DB2}" presName="parentText1" presStyleLbl="node1" presStyleIdx="0" presStyleCnt="4">
        <dgm:presLayoutVars>
          <dgm:chMax/>
          <dgm:chPref val="3"/>
          <dgm:bulletEnabled val="1"/>
        </dgm:presLayoutVars>
      </dgm:prSet>
      <dgm:spPr/>
    </dgm:pt>
    <dgm:pt modelId="{44CFAF38-D50A-4134-A94B-C0BE8D3D04D5}" type="pres">
      <dgm:prSet presAssocID="{388D1A4B-8BDE-4DBB-A06B-EC08B2C47DB2}" presName="childText1" presStyleLbl="solidAlignAcc1" presStyleIdx="0" presStyleCnt="4">
        <dgm:presLayoutVars>
          <dgm:chMax val="0"/>
          <dgm:chPref val="0"/>
          <dgm:bulletEnabled val="1"/>
        </dgm:presLayoutVars>
      </dgm:prSet>
      <dgm:spPr/>
    </dgm:pt>
    <dgm:pt modelId="{899ADA5C-DC69-4899-A66A-E5B511C41121}" type="pres">
      <dgm:prSet presAssocID="{4AC06E22-4633-4BA5-8708-C3DBB85640F1}" presName="parentText2" presStyleLbl="node1" presStyleIdx="1" presStyleCnt="4">
        <dgm:presLayoutVars>
          <dgm:chMax/>
          <dgm:chPref val="3"/>
          <dgm:bulletEnabled val="1"/>
        </dgm:presLayoutVars>
      </dgm:prSet>
      <dgm:spPr/>
    </dgm:pt>
    <dgm:pt modelId="{EAEAD33E-D4F5-49B0-9102-2A88F4E1743A}" type="pres">
      <dgm:prSet presAssocID="{4AC06E22-4633-4BA5-8708-C3DBB85640F1}" presName="childText2" presStyleLbl="solidAlignAcc1" presStyleIdx="1" presStyleCnt="4">
        <dgm:presLayoutVars>
          <dgm:chMax val="0"/>
          <dgm:chPref val="0"/>
          <dgm:bulletEnabled val="1"/>
        </dgm:presLayoutVars>
      </dgm:prSet>
      <dgm:spPr/>
    </dgm:pt>
    <dgm:pt modelId="{CC35B73B-42CD-495E-BB83-B5522D392C40}" type="pres">
      <dgm:prSet presAssocID="{4A5F5D5A-44E2-494B-B2CA-AF3BBC6900C7}" presName="parentText3" presStyleLbl="node1" presStyleIdx="2" presStyleCnt="4">
        <dgm:presLayoutVars>
          <dgm:chMax/>
          <dgm:chPref val="3"/>
          <dgm:bulletEnabled val="1"/>
        </dgm:presLayoutVars>
      </dgm:prSet>
      <dgm:spPr/>
    </dgm:pt>
    <dgm:pt modelId="{CD93BB0B-A971-4C2E-A0BF-9D6A297FA98A}" type="pres">
      <dgm:prSet presAssocID="{4A5F5D5A-44E2-494B-B2CA-AF3BBC6900C7}" presName="childText3" presStyleLbl="solidAlignAcc1" presStyleIdx="2" presStyleCnt="4">
        <dgm:presLayoutVars>
          <dgm:chMax val="0"/>
          <dgm:chPref val="0"/>
          <dgm:bulletEnabled val="1"/>
        </dgm:presLayoutVars>
      </dgm:prSet>
      <dgm:spPr/>
    </dgm:pt>
    <dgm:pt modelId="{F950ED12-D81D-4BCC-BDDB-561B82032A4E}" type="pres">
      <dgm:prSet presAssocID="{860606C4-98A2-457A-91FE-6609B1AE24D4}" presName="parentText4" presStyleLbl="node1" presStyleIdx="3" presStyleCnt="4">
        <dgm:presLayoutVars>
          <dgm:chMax/>
          <dgm:chPref val="3"/>
          <dgm:bulletEnabled val="1"/>
        </dgm:presLayoutVars>
      </dgm:prSet>
      <dgm:spPr/>
    </dgm:pt>
    <dgm:pt modelId="{B39231F0-BEF6-4C82-A67A-E5C6E758EACD}" type="pres">
      <dgm:prSet presAssocID="{860606C4-98A2-457A-91FE-6609B1AE24D4}" presName="childText4" presStyleLbl="solidAlignAcc1" presStyleIdx="3" presStyleCnt="4">
        <dgm:presLayoutVars>
          <dgm:chMax val="0"/>
          <dgm:chPref val="0"/>
          <dgm:bulletEnabled val="1"/>
        </dgm:presLayoutVars>
      </dgm:prSet>
      <dgm:spPr/>
    </dgm:pt>
  </dgm:ptLst>
  <dgm:cxnLst>
    <dgm:cxn modelId="{8625B605-9CD7-485F-B1BB-C2292BD3F03E}" srcId="{4AC06E22-4633-4BA5-8708-C3DBB85640F1}" destId="{8E4AF426-A46D-4028-924C-107499AEC8F6}" srcOrd="0" destOrd="0" parTransId="{97D7412F-EB4C-4AEE-AA68-BE9EB83DEF58}" sibTransId="{313A244E-3A3A-4C84-A78C-9CE07C73FF7C}"/>
    <dgm:cxn modelId="{43FA8E0F-A4CF-41DE-98DB-90D14E97C391}" type="presOf" srcId="{D28FA7E6-3323-4CCC-B5FD-AB09C430A2A3}" destId="{B39231F0-BEF6-4C82-A67A-E5C6E758EACD}" srcOrd="0" destOrd="0" presId="urn:microsoft.com/office/officeart/2009/3/layout/IncreasingArrowsProcess"/>
    <dgm:cxn modelId="{E0E32E27-8379-4011-BF31-C77B6FF5F55D}" type="presOf" srcId="{388D1A4B-8BDE-4DBB-A06B-EC08B2C47DB2}" destId="{303742A0-8413-422D-AA03-69175ED0DD5F}" srcOrd="0" destOrd="0" presId="urn:microsoft.com/office/officeart/2009/3/layout/IncreasingArrowsProcess"/>
    <dgm:cxn modelId="{7A26125C-E638-4D96-85E1-2396C46B6024}" srcId="{860606C4-98A2-457A-91FE-6609B1AE24D4}" destId="{D28FA7E6-3323-4CCC-B5FD-AB09C430A2A3}" srcOrd="0" destOrd="0" parTransId="{28223094-8FA8-4F9E-9839-0CD760DED5B9}" sibTransId="{362D0C06-D90D-48B7-A9D7-D5536C09D316}"/>
    <dgm:cxn modelId="{42EDAF5D-771C-4A54-BF5C-7D25AF946C31}" srcId="{388D1A4B-8BDE-4DBB-A06B-EC08B2C47DB2}" destId="{8D973F04-D9C3-47D6-AD47-4C689438296F}" srcOrd="1" destOrd="0" parTransId="{F17C3DF7-2042-4EC4-8876-AA89E6124053}" sibTransId="{AB6A4ACB-69CD-4005-8E7F-BC4B21083BA9}"/>
    <dgm:cxn modelId="{88EC7663-C78F-4A5B-A6D4-9353E9ED29E4}" type="presOf" srcId="{5ECA36F4-C6AC-429F-8647-66A3C9B8D204}" destId="{44CFAF38-D50A-4134-A94B-C0BE8D3D04D5}" srcOrd="0" destOrd="0" presId="urn:microsoft.com/office/officeart/2009/3/layout/IncreasingArrowsProcess"/>
    <dgm:cxn modelId="{6B0E2F6E-C74C-489A-BD59-113047BC53C2}" srcId="{3AD17BF4-CBD7-4BAB-829F-B9176CA2008B}" destId="{4A5F5D5A-44E2-494B-B2CA-AF3BBC6900C7}" srcOrd="2" destOrd="0" parTransId="{C546E8F2-06E5-4CB6-9A0E-3147FCDE1DF7}" sibTransId="{9487AC4D-49C4-4621-822E-C0CA5C206229}"/>
    <dgm:cxn modelId="{BB51B957-AA35-4585-952A-FDCA49F2A9E2}" type="presOf" srcId="{4A5F5D5A-44E2-494B-B2CA-AF3BBC6900C7}" destId="{CC35B73B-42CD-495E-BB83-B5522D392C40}" srcOrd="0" destOrd="0" presId="urn:microsoft.com/office/officeart/2009/3/layout/IncreasingArrowsProcess"/>
    <dgm:cxn modelId="{1F4F887C-61F4-4122-A66A-1124F148D1CC}" type="presOf" srcId="{860606C4-98A2-457A-91FE-6609B1AE24D4}" destId="{F950ED12-D81D-4BCC-BDDB-561B82032A4E}" srcOrd="0" destOrd="0" presId="urn:microsoft.com/office/officeart/2009/3/layout/IncreasingArrowsProcess"/>
    <dgm:cxn modelId="{680CBC8B-7FEA-44EE-8355-A4CF3846898D}" srcId="{3AD17BF4-CBD7-4BAB-829F-B9176CA2008B}" destId="{4AC06E22-4633-4BA5-8708-C3DBB85640F1}" srcOrd="1" destOrd="0" parTransId="{61073C05-E430-45D3-BC6D-312682A63B53}" sibTransId="{ECDB9BC8-9DE6-4049-8FDB-5ADCD85F515A}"/>
    <dgm:cxn modelId="{6752CFA9-EB0A-4185-844D-3553B312731D}" srcId="{4A5F5D5A-44E2-494B-B2CA-AF3BBC6900C7}" destId="{1EDB943B-B61A-4914-8DDC-3FD38D56B02F}" srcOrd="0" destOrd="0" parTransId="{3D5663EA-5E02-46B0-8FDE-5735AA8036B8}" sibTransId="{6CBD5F1B-7009-4888-A25E-A5574679BB55}"/>
    <dgm:cxn modelId="{6B9C69B6-C672-441C-9149-33F38438CFD0}" srcId="{3AD17BF4-CBD7-4BAB-829F-B9176CA2008B}" destId="{860606C4-98A2-457A-91FE-6609B1AE24D4}" srcOrd="3" destOrd="0" parTransId="{F58D867E-680D-4221-88FF-9CBE0D78B603}" sibTransId="{88D1E2A1-DDD9-49FA-9E1D-FEA0C62F4B85}"/>
    <dgm:cxn modelId="{44F081C8-949B-40AF-AD67-DF0A60A76BC5}" type="presOf" srcId="{3AD17BF4-CBD7-4BAB-829F-B9176CA2008B}" destId="{F4A060D7-A975-421E-8AEE-06723E355715}" srcOrd="0" destOrd="0" presId="urn:microsoft.com/office/officeart/2009/3/layout/IncreasingArrowsProcess"/>
    <dgm:cxn modelId="{CE26ACC9-6716-4BF7-B9AA-2867C844CD4B}" srcId="{388D1A4B-8BDE-4DBB-A06B-EC08B2C47DB2}" destId="{5ECA36F4-C6AC-429F-8647-66A3C9B8D204}" srcOrd="0" destOrd="0" parTransId="{F16696CE-7B7E-41F5-9EFB-CE4D9D11D940}" sibTransId="{5CD78BF6-ACD8-4D1E-819C-77A43B67F994}"/>
    <dgm:cxn modelId="{36CE4CCC-3010-450C-A864-EA6A637DE8E2}" type="presOf" srcId="{1EDB943B-B61A-4914-8DDC-3FD38D56B02F}" destId="{CD93BB0B-A971-4C2E-A0BF-9D6A297FA98A}" srcOrd="0" destOrd="0" presId="urn:microsoft.com/office/officeart/2009/3/layout/IncreasingArrowsProcess"/>
    <dgm:cxn modelId="{DB81B3DE-3428-40AD-A9D6-EE4217360890}" type="presOf" srcId="{8D973F04-D9C3-47D6-AD47-4C689438296F}" destId="{44CFAF38-D50A-4134-A94B-C0BE8D3D04D5}" srcOrd="0" destOrd="1" presId="urn:microsoft.com/office/officeart/2009/3/layout/IncreasingArrowsProcess"/>
    <dgm:cxn modelId="{4B9C8DE7-FC3A-4A1A-A706-AB3C08B602FC}" type="presOf" srcId="{8E4AF426-A46D-4028-924C-107499AEC8F6}" destId="{EAEAD33E-D4F5-49B0-9102-2A88F4E1743A}" srcOrd="0" destOrd="0" presId="urn:microsoft.com/office/officeart/2009/3/layout/IncreasingArrowsProcess"/>
    <dgm:cxn modelId="{FA428DF4-F84C-4C37-8BDC-B170A79AE5CD}" type="presOf" srcId="{4AC06E22-4633-4BA5-8708-C3DBB85640F1}" destId="{899ADA5C-DC69-4899-A66A-E5B511C41121}" srcOrd="0" destOrd="0" presId="urn:microsoft.com/office/officeart/2009/3/layout/IncreasingArrowsProcess"/>
    <dgm:cxn modelId="{AFF6EAFA-A1BA-4277-BC87-0D1F95BE57D3}" srcId="{3AD17BF4-CBD7-4BAB-829F-B9176CA2008B}" destId="{388D1A4B-8BDE-4DBB-A06B-EC08B2C47DB2}" srcOrd="0" destOrd="0" parTransId="{26477D6C-8599-44B5-BF0B-3A75CB2DAC12}" sibTransId="{1E460028-45A8-4F4D-91E0-77F583EAD24A}"/>
    <dgm:cxn modelId="{DF2DD1CE-62FC-4B6C-9E4A-02403D193966}" type="presParOf" srcId="{F4A060D7-A975-421E-8AEE-06723E355715}" destId="{303742A0-8413-422D-AA03-69175ED0DD5F}" srcOrd="0" destOrd="0" presId="urn:microsoft.com/office/officeart/2009/3/layout/IncreasingArrowsProcess"/>
    <dgm:cxn modelId="{23EE484D-879A-4E8A-AF9D-D6698C7A9F9B}" type="presParOf" srcId="{F4A060D7-A975-421E-8AEE-06723E355715}" destId="{44CFAF38-D50A-4134-A94B-C0BE8D3D04D5}" srcOrd="1" destOrd="0" presId="urn:microsoft.com/office/officeart/2009/3/layout/IncreasingArrowsProcess"/>
    <dgm:cxn modelId="{5575FD35-02DF-430D-ABF4-8D1AB6922CB4}" type="presParOf" srcId="{F4A060D7-A975-421E-8AEE-06723E355715}" destId="{899ADA5C-DC69-4899-A66A-E5B511C41121}" srcOrd="2" destOrd="0" presId="urn:microsoft.com/office/officeart/2009/3/layout/IncreasingArrowsProcess"/>
    <dgm:cxn modelId="{FDBE958D-813F-420E-815B-84ADD49C0726}" type="presParOf" srcId="{F4A060D7-A975-421E-8AEE-06723E355715}" destId="{EAEAD33E-D4F5-49B0-9102-2A88F4E1743A}" srcOrd="3" destOrd="0" presId="urn:microsoft.com/office/officeart/2009/3/layout/IncreasingArrowsProcess"/>
    <dgm:cxn modelId="{1F4E6A2A-EA23-4B4E-ABCF-F29AC55B3E1C}" type="presParOf" srcId="{F4A060D7-A975-421E-8AEE-06723E355715}" destId="{CC35B73B-42CD-495E-BB83-B5522D392C40}" srcOrd="4" destOrd="0" presId="urn:microsoft.com/office/officeart/2009/3/layout/IncreasingArrowsProcess"/>
    <dgm:cxn modelId="{EED2CD19-C34D-468B-9C7B-8ED87ED46D87}" type="presParOf" srcId="{F4A060D7-A975-421E-8AEE-06723E355715}" destId="{CD93BB0B-A971-4C2E-A0BF-9D6A297FA98A}" srcOrd="5" destOrd="0" presId="urn:microsoft.com/office/officeart/2009/3/layout/IncreasingArrowsProcess"/>
    <dgm:cxn modelId="{68218837-0DFA-4001-8FB8-1E959FC9C526}" type="presParOf" srcId="{F4A060D7-A975-421E-8AEE-06723E355715}" destId="{F950ED12-D81D-4BCC-BDDB-561B82032A4E}" srcOrd="6" destOrd="0" presId="urn:microsoft.com/office/officeart/2009/3/layout/IncreasingArrowsProcess"/>
    <dgm:cxn modelId="{FF378DBF-04C8-450F-8834-217FA27EFC8F}" type="presParOf" srcId="{F4A060D7-A975-421E-8AEE-06723E355715}" destId="{B39231F0-BEF6-4C82-A67A-E5C6E758EACD}" srcOrd="7" destOrd="0" presId="urn:microsoft.com/office/officeart/2009/3/layout/IncreasingArrowsProcess"/>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3742A0-8413-422D-AA03-69175ED0DD5F}">
      <dsp:nvSpPr>
        <dsp:cNvPr id="0" name=""/>
        <dsp:cNvSpPr/>
      </dsp:nvSpPr>
      <dsp:spPr>
        <a:xfrm>
          <a:off x="0" y="159159"/>
          <a:ext cx="5486400" cy="798737"/>
        </a:xfrm>
        <a:prstGeom prst="rightArrow">
          <a:avLst>
            <a:gd name="adj1" fmla="val 50000"/>
            <a:gd name="adj2" fmla="val 50000"/>
          </a:avLst>
        </a:prstGeom>
        <a:solidFill>
          <a:schemeClr val="bg1">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126800" numCol="1" spcCol="1270" anchor="ctr" anchorCtr="0">
          <a:noAutofit/>
        </a:bodyPr>
        <a:lstStyle/>
        <a:p>
          <a:pPr marL="0" lvl="0" indent="0" algn="l" defTabSz="400050">
            <a:lnSpc>
              <a:spcPct val="90000"/>
            </a:lnSpc>
            <a:spcBef>
              <a:spcPct val="0"/>
            </a:spcBef>
            <a:spcAft>
              <a:spcPct val="35000"/>
            </a:spcAft>
            <a:buNone/>
          </a:pPr>
          <a:r>
            <a:rPr lang="de-DE" sz="900" kern="1200">
              <a:latin typeface="Arial" panose="020B0604020202020204" pitchFamily="34" charset="0"/>
              <a:cs typeface="Arial" panose="020B0604020202020204" pitchFamily="34" charset="0"/>
            </a:rPr>
            <a:t>Beschränkte Terminologien</a:t>
          </a:r>
        </a:p>
      </dsp:txBody>
      <dsp:txXfrm>
        <a:off x="0" y="358843"/>
        <a:ext cx="5286716" cy="399369"/>
      </dsp:txXfrm>
    </dsp:sp>
    <dsp:sp modelId="{44CFAF38-D50A-4134-A94B-C0BE8D3D04D5}">
      <dsp:nvSpPr>
        <dsp:cNvPr id="0" name=""/>
        <dsp:cNvSpPr/>
      </dsp:nvSpPr>
      <dsp:spPr>
        <a:xfrm>
          <a:off x="0" y="776404"/>
          <a:ext cx="1264615" cy="1477423"/>
        </a:xfrm>
        <a:prstGeom prst="rect">
          <a:avLst/>
        </a:prstGeom>
        <a:solidFill>
          <a:schemeClr val="lt1">
            <a:hueOff val="0"/>
            <a:satOff val="0"/>
            <a:lumOff val="0"/>
            <a:alphaOff val="0"/>
          </a:schemeClr>
        </a:solidFill>
        <a:ln w="12700" cap="flat" cmpd="sng" algn="ctr">
          <a:solidFill>
            <a:schemeClr val="bg1">
              <a:lumMod val="5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de-DE" sz="900" b="1" kern="1200">
              <a:latin typeface="Arial" panose="020B0604020202020204" pitchFamily="34" charset="0"/>
              <a:cs typeface="Arial" panose="020B0604020202020204" pitchFamily="34" charset="0"/>
            </a:rPr>
            <a:t>Wortliste</a:t>
          </a:r>
        </a:p>
        <a:p>
          <a:pPr marL="0" lvl="0" indent="0" algn="l" defTabSz="400050">
            <a:lnSpc>
              <a:spcPct val="90000"/>
            </a:lnSpc>
            <a:spcBef>
              <a:spcPct val="0"/>
            </a:spcBef>
            <a:spcAft>
              <a:spcPct val="35000"/>
            </a:spcAft>
            <a:buNone/>
          </a:pPr>
          <a:r>
            <a:rPr lang="de-DE" sz="900" kern="1200">
              <a:latin typeface="Arial" panose="020B0604020202020204" pitchFamily="34" charset="0"/>
              <a:cs typeface="Arial" panose="020B0604020202020204" pitchFamily="34" charset="0"/>
            </a:rPr>
            <a:t>Bsp.:</a:t>
          </a:r>
          <a:br>
            <a:rPr lang="de-DE" sz="900" kern="1200">
              <a:latin typeface="Arial" panose="020B0604020202020204" pitchFamily="34" charset="0"/>
              <a:cs typeface="Arial" panose="020B0604020202020204" pitchFamily="34" charset="0"/>
            </a:rPr>
          </a:br>
          <a:r>
            <a:rPr lang="de-DE" sz="900" kern="1200">
              <a:latin typeface="Arial" panose="020B0604020202020204" pitchFamily="34" charset="0"/>
              <a:cs typeface="Arial" panose="020B0604020202020204" pitchFamily="34" charset="0"/>
            </a:rPr>
            <a:t>- Allgemeinmedizin</a:t>
          </a:r>
        </a:p>
        <a:p>
          <a:pPr marL="0" lvl="0" indent="0" algn="l" defTabSz="400050">
            <a:lnSpc>
              <a:spcPct val="90000"/>
            </a:lnSpc>
            <a:spcBef>
              <a:spcPct val="0"/>
            </a:spcBef>
            <a:spcAft>
              <a:spcPct val="35000"/>
            </a:spcAft>
            <a:buNone/>
          </a:pPr>
          <a:r>
            <a:rPr lang="de-DE" sz="900" kern="1200">
              <a:latin typeface="Arial" panose="020B0604020202020204" pitchFamily="34" charset="0"/>
              <a:cs typeface="Arial" panose="020B0604020202020204" pitchFamily="34" charset="0"/>
            </a:rPr>
            <a:t>- Gynäkologie</a:t>
          </a:r>
        </a:p>
        <a:p>
          <a:pPr marL="0" lvl="0" indent="0" algn="l" defTabSz="400050">
            <a:lnSpc>
              <a:spcPct val="90000"/>
            </a:lnSpc>
            <a:spcBef>
              <a:spcPct val="0"/>
            </a:spcBef>
            <a:spcAft>
              <a:spcPct val="35000"/>
            </a:spcAft>
            <a:buNone/>
          </a:pPr>
          <a:r>
            <a:rPr lang="de-DE" sz="900" kern="1200">
              <a:latin typeface="Arial" panose="020B0604020202020204" pitchFamily="34" charset="0"/>
              <a:cs typeface="Arial" panose="020B0604020202020204" pitchFamily="34" charset="0"/>
            </a:rPr>
            <a:t>- Innere Medizin</a:t>
          </a:r>
        </a:p>
        <a:p>
          <a:pPr marL="0" lvl="0" indent="0" algn="l" defTabSz="400050">
            <a:lnSpc>
              <a:spcPct val="90000"/>
            </a:lnSpc>
            <a:spcBef>
              <a:spcPct val="0"/>
            </a:spcBef>
            <a:spcAft>
              <a:spcPct val="35000"/>
            </a:spcAft>
            <a:buNone/>
          </a:pPr>
          <a:r>
            <a:rPr lang="de-DE" sz="900" kern="1200">
              <a:latin typeface="Arial" panose="020B0604020202020204" pitchFamily="34" charset="0"/>
              <a:cs typeface="Arial" panose="020B0604020202020204" pitchFamily="34" charset="0"/>
            </a:rPr>
            <a:t>- Orthopädie</a:t>
          </a:r>
        </a:p>
        <a:p>
          <a:pPr marL="0" lvl="0" indent="0" algn="l" defTabSz="400050">
            <a:lnSpc>
              <a:spcPct val="90000"/>
            </a:lnSpc>
            <a:spcBef>
              <a:spcPct val="0"/>
            </a:spcBef>
            <a:spcAft>
              <a:spcPct val="35000"/>
            </a:spcAft>
            <a:buNone/>
          </a:pPr>
          <a:r>
            <a:rPr lang="de-DE" sz="900" kern="1200">
              <a:latin typeface="Arial" panose="020B0604020202020204" pitchFamily="34" charset="0"/>
              <a:cs typeface="Arial" panose="020B0604020202020204" pitchFamily="34" charset="0"/>
            </a:rPr>
            <a:t>- Pädiatrie</a:t>
          </a:r>
        </a:p>
        <a:p>
          <a:pPr marL="0" lvl="0" indent="0" algn="l" defTabSz="400050">
            <a:lnSpc>
              <a:spcPct val="90000"/>
            </a:lnSpc>
            <a:spcBef>
              <a:spcPct val="0"/>
            </a:spcBef>
            <a:spcAft>
              <a:spcPct val="35000"/>
            </a:spcAft>
            <a:buNone/>
          </a:pPr>
          <a:r>
            <a:rPr lang="de-DE" sz="900" kern="1200">
              <a:latin typeface="Arial" panose="020B0604020202020204" pitchFamily="34" charset="0"/>
              <a:cs typeface="Arial" panose="020B0604020202020204" pitchFamily="34" charset="0"/>
            </a:rPr>
            <a:t>- Urologie</a:t>
          </a:r>
        </a:p>
        <a:p>
          <a:pPr marL="0" lvl="0" indent="0" algn="l" defTabSz="400050">
            <a:lnSpc>
              <a:spcPct val="90000"/>
            </a:lnSpc>
            <a:spcBef>
              <a:spcPct val="0"/>
            </a:spcBef>
            <a:spcAft>
              <a:spcPct val="35000"/>
            </a:spcAft>
            <a:buNone/>
          </a:pPr>
          <a:r>
            <a:rPr lang="de-DE" sz="900" kern="1200">
              <a:latin typeface="Arial" panose="020B0604020202020204" pitchFamily="34" charset="0"/>
              <a:cs typeface="Arial" panose="020B0604020202020204" pitchFamily="34" charset="0"/>
            </a:rPr>
            <a:t>-...</a:t>
          </a:r>
        </a:p>
      </dsp:txBody>
      <dsp:txXfrm>
        <a:off x="0" y="776404"/>
        <a:ext cx="1264615" cy="1477423"/>
      </dsp:txXfrm>
    </dsp:sp>
    <dsp:sp modelId="{899ADA5C-DC69-4899-A66A-E5B511C41121}">
      <dsp:nvSpPr>
        <dsp:cNvPr id="0" name=""/>
        <dsp:cNvSpPr/>
      </dsp:nvSpPr>
      <dsp:spPr>
        <a:xfrm>
          <a:off x="1264615" y="425311"/>
          <a:ext cx="4221784" cy="798737"/>
        </a:xfrm>
        <a:prstGeom prst="rightArrow">
          <a:avLst>
            <a:gd name="adj1" fmla="val 50000"/>
            <a:gd name="adj2" fmla="val 50000"/>
          </a:avLst>
        </a:prstGeom>
        <a:solidFill>
          <a:schemeClr val="bg1">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126800" numCol="1" spcCol="1270" anchor="ctr" anchorCtr="0">
          <a:noAutofit/>
        </a:bodyPr>
        <a:lstStyle/>
        <a:p>
          <a:pPr marL="0" lvl="0" indent="0" algn="l" defTabSz="400050">
            <a:lnSpc>
              <a:spcPct val="90000"/>
            </a:lnSpc>
            <a:spcBef>
              <a:spcPct val="0"/>
            </a:spcBef>
            <a:spcAft>
              <a:spcPct val="35000"/>
            </a:spcAft>
            <a:buNone/>
          </a:pPr>
          <a:r>
            <a:rPr lang="de-DE" sz="900" kern="1200">
              <a:latin typeface="Arial" panose="020B0604020202020204" pitchFamily="34" charset="0"/>
              <a:cs typeface="Arial" panose="020B0604020202020204" pitchFamily="34" charset="0"/>
            </a:rPr>
            <a:t>Hierarchierelationen</a:t>
          </a:r>
        </a:p>
      </dsp:txBody>
      <dsp:txXfrm>
        <a:off x="1264615" y="624995"/>
        <a:ext cx="4022100" cy="399369"/>
      </dsp:txXfrm>
    </dsp:sp>
    <dsp:sp modelId="{EAEAD33E-D4F5-49B0-9102-2A88F4E1743A}">
      <dsp:nvSpPr>
        <dsp:cNvPr id="0" name=""/>
        <dsp:cNvSpPr/>
      </dsp:nvSpPr>
      <dsp:spPr>
        <a:xfrm>
          <a:off x="1264615" y="1042556"/>
          <a:ext cx="1264615" cy="1439765"/>
        </a:xfrm>
        <a:prstGeom prst="rect">
          <a:avLst/>
        </a:prstGeom>
        <a:solidFill>
          <a:schemeClr val="lt1">
            <a:hueOff val="0"/>
            <a:satOff val="0"/>
            <a:lumOff val="0"/>
            <a:alphaOff val="0"/>
          </a:schemeClr>
        </a:solidFill>
        <a:ln w="12700" cap="flat" cmpd="sng" algn="ctr">
          <a:solidFill>
            <a:schemeClr val="bg1">
              <a:lumMod val="5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de-DE" sz="900" b="1" kern="1200">
              <a:latin typeface="Arial" panose="020B0604020202020204" pitchFamily="34" charset="0"/>
              <a:cs typeface="Arial" panose="020B0604020202020204" pitchFamily="34" charset="0"/>
            </a:rPr>
            <a:t>Taxonomie</a:t>
          </a:r>
        </a:p>
        <a:p>
          <a:pPr marL="0" lvl="0" indent="0" algn="l" defTabSz="400050">
            <a:lnSpc>
              <a:spcPct val="90000"/>
            </a:lnSpc>
            <a:spcBef>
              <a:spcPct val="0"/>
            </a:spcBef>
            <a:spcAft>
              <a:spcPct val="35000"/>
            </a:spcAft>
            <a:buNone/>
          </a:pPr>
          <a:r>
            <a:rPr lang="de-DE" sz="900" b="0" kern="1200">
              <a:latin typeface="Arial" panose="020B0604020202020204" pitchFamily="34" charset="0"/>
              <a:cs typeface="Arial" panose="020B0604020202020204" pitchFamily="34" charset="0"/>
            </a:rPr>
            <a:t>Bsp.:</a:t>
          </a:r>
        </a:p>
        <a:p>
          <a:pPr marL="0" lvl="0" indent="0" algn="l" defTabSz="400050">
            <a:lnSpc>
              <a:spcPct val="90000"/>
            </a:lnSpc>
            <a:spcBef>
              <a:spcPct val="0"/>
            </a:spcBef>
            <a:spcAft>
              <a:spcPct val="35000"/>
            </a:spcAft>
            <a:buNone/>
          </a:pPr>
          <a:r>
            <a:rPr lang="de-DE" sz="900" b="0" kern="1200">
              <a:latin typeface="Arial" panose="020B0604020202020204" pitchFamily="34" charset="0"/>
              <a:cs typeface="Arial" panose="020B0604020202020204" pitchFamily="34" charset="0"/>
            </a:rPr>
            <a:t>Beschäftigte Ärzt:innen </a:t>
          </a:r>
          <a:r>
            <a:rPr lang="de-DE" sz="900" b="1" kern="1200">
              <a:latin typeface="Arial" panose="020B0604020202020204" pitchFamily="34" charset="0"/>
              <a:cs typeface="Arial" panose="020B0604020202020204" pitchFamily="34" charset="0"/>
            </a:rPr>
            <a:t>⊆</a:t>
          </a:r>
          <a:r>
            <a:rPr lang="de-DE" sz="900" b="0" kern="1200">
              <a:latin typeface="Arial" panose="020B0604020202020204" pitchFamily="34" charset="0"/>
              <a:cs typeface="Arial" panose="020B0604020202020204" pitchFamily="34" charset="0"/>
            </a:rPr>
            <a:t> Ambulant arbeitende Ärzt:innen </a:t>
          </a:r>
          <a:r>
            <a:rPr lang="de-DE" sz="900" b="1" kern="1200">
              <a:latin typeface="Arial" panose="020B0604020202020204" pitchFamily="34" charset="0"/>
              <a:cs typeface="Arial" panose="020B0604020202020204" pitchFamily="34" charset="0"/>
            </a:rPr>
            <a:t>⊆</a:t>
          </a:r>
          <a:r>
            <a:rPr lang="de-DE" sz="900" b="0" kern="1200">
              <a:latin typeface="Arial" panose="020B0604020202020204" pitchFamily="34" charset="0"/>
              <a:cs typeface="Arial" panose="020B0604020202020204" pitchFamily="34" charset="0"/>
            </a:rPr>
            <a:t> Niedergelassene Ärzt:innen</a:t>
          </a:r>
        </a:p>
      </dsp:txBody>
      <dsp:txXfrm>
        <a:off x="1264615" y="1042556"/>
        <a:ext cx="1264615" cy="1439765"/>
      </dsp:txXfrm>
    </dsp:sp>
    <dsp:sp modelId="{CC35B73B-42CD-495E-BB83-B5522D392C40}">
      <dsp:nvSpPr>
        <dsp:cNvPr id="0" name=""/>
        <dsp:cNvSpPr/>
      </dsp:nvSpPr>
      <dsp:spPr>
        <a:xfrm>
          <a:off x="2529230" y="691462"/>
          <a:ext cx="2957169" cy="798737"/>
        </a:xfrm>
        <a:prstGeom prst="rightArrow">
          <a:avLst>
            <a:gd name="adj1" fmla="val 50000"/>
            <a:gd name="adj2" fmla="val 50000"/>
          </a:avLst>
        </a:prstGeom>
        <a:solidFill>
          <a:schemeClr val="bg1">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126800" numCol="1" spcCol="1270" anchor="ctr" anchorCtr="0">
          <a:noAutofit/>
        </a:bodyPr>
        <a:lstStyle/>
        <a:p>
          <a:pPr marL="0" lvl="0" indent="0" algn="l" defTabSz="400050">
            <a:lnSpc>
              <a:spcPct val="90000"/>
            </a:lnSpc>
            <a:spcBef>
              <a:spcPct val="0"/>
            </a:spcBef>
            <a:spcAft>
              <a:spcPct val="35000"/>
            </a:spcAft>
            <a:buNone/>
          </a:pPr>
          <a:r>
            <a:rPr lang="de-DE" sz="900" kern="1200">
              <a:latin typeface="Arial" panose="020B0604020202020204" pitchFamily="34" charset="0"/>
              <a:cs typeface="Arial" panose="020B0604020202020204" pitchFamily="34" charset="0"/>
            </a:rPr>
            <a:t>Äkquivalenz- und Assoziationsrelationen</a:t>
          </a:r>
        </a:p>
      </dsp:txBody>
      <dsp:txXfrm>
        <a:off x="2529230" y="891146"/>
        <a:ext cx="2757485" cy="399369"/>
      </dsp:txXfrm>
    </dsp:sp>
    <dsp:sp modelId="{CD93BB0B-A971-4C2E-A0BF-9D6A297FA98A}">
      <dsp:nvSpPr>
        <dsp:cNvPr id="0" name=""/>
        <dsp:cNvSpPr/>
      </dsp:nvSpPr>
      <dsp:spPr>
        <a:xfrm>
          <a:off x="2529230" y="1308707"/>
          <a:ext cx="1264615" cy="1449392"/>
        </a:xfrm>
        <a:prstGeom prst="rect">
          <a:avLst/>
        </a:prstGeom>
        <a:solidFill>
          <a:schemeClr val="lt1">
            <a:hueOff val="0"/>
            <a:satOff val="0"/>
            <a:lumOff val="0"/>
            <a:alphaOff val="0"/>
          </a:schemeClr>
        </a:solidFill>
        <a:ln w="12700" cap="flat" cmpd="sng" algn="ctr">
          <a:solidFill>
            <a:schemeClr val="bg1">
              <a:lumMod val="5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de-DE" sz="900" b="1" kern="1200">
              <a:latin typeface="Arial" panose="020B0604020202020204" pitchFamily="34" charset="0"/>
              <a:cs typeface="Arial" panose="020B0604020202020204" pitchFamily="34" charset="0"/>
            </a:rPr>
            <a:t>Thesaurus</a:t>
          </a:r>
        </a:p>
        <a:p>
          <a:pPr marL="0" lvl="0" indent="0" algn="l" defTabSz="400050">
            <a:lnSpc>
              <a:spcPct val="90000"/>
            </a:lnSpc>
            <a:spcBef>
              <a:spcPct val="0"/>
            </a:spcBef>
            <a:spcAft>
              <a:spcPct val="35000"/>
            </a:spcAft>
            <a:buNone/>
          </a:pPr>
          <a:r>
            <a:rPr lang="de-DE" sz="900" b="0" kern="1200">
              <a:latin typeface="Arial" panose="020B0604020202020204" pitchFamily="34" charset="0"/>
              <a:cs typeface="Arial" panose="020B0604020202020204" pitchFamily="34" charset="0"/>
            </a:rPr>
            <a:t>Bsp.: Gynäkologe</a:t>
          </a:r>
          <a:br>
            <a:rPr lang="de-DE" sz="900" b="0" kern="1200">
              <a:latin typeface="Arial" panose="020B0604020202020204" pitchFamily="34" charset="0"/>
              <a:cs typeface="Arial" panose="020B0604020202020204" pitchFamily="34" charset="0"/>
            </a:rPr>
          </a:br>
          <a:r>
            <a:rPr lang="de-DE" sz="900" b="0" kern="1200">
              <a:latin typeface="Arial" panose="020B0604020202020204" pitchFamily="34" charset="0"/>
              <a:cs typeface="Arial" panose="020B0604020202020204" pitchFamily="34" charset="0"/>
            </a:rPr>
            <a:t>Synonym: Frauenarzt, Frauenheilkundler</a:t>
          </a:r>
          <a:br>
            <a:rPr lang="de-DE" sz="900" b="0" kern="1200">
              <a:latin typeface="Arial" panose="020B0604020202020204" pitchFamily="34" charset="0"/>
              <a:cs typeface="Arial" panose="020B0604020202020204" pitchFamily="34" charset="0"/>
            </a:rPr>
          </a:br>
          <a:r>
            <a:rPr lang="de-DE" sz="900" b="0" kern="1200">
              <a:latin typeface="Arial" panose="020B0604020202020204" pitchFamily="34" charset="0"/>
              <a:cs typeface="Arial" panose="020B0604020202020204" pitchFamily="34" charset="0"/>
            </a:rPr>
            <a:t>Gegenteil: Androloge</a:t>
          </a:r>
          <a:br>
            <a:rPr lang="de-DE" sz="900" b="0" kern="1200">
              <a:latin typeface="Arial" panose="020B0604020202020204" pitchFamily="34" charset="0"/>
              <a:cs typeface="Arial" panose="020B0604020202020204" pitchFamily="34" charset="0"/>
            </a:rPr>
          </a:br>
          <a:r>
            <a:rPr lang="de-DE" sz="900" b="0" kern="1200">
              <a:latin typeface="Arial" panose="020B0604020202020204" pitchFamily="34" charset="0"/>
              <a:cs typeface="Arial" panose="020B0604020202020204" pitchFamily="34" charset="0"/>
            </a:rPr>
            <a:t>Oberbegriff: Facharzt</a:t>
          </a:r>
          <a:br>
            <a:rPr lang="de-DE" sz="900" b="0" kern="1200">
              <a:latin typeface="Arial" panose="020B0604020202020204" pitchFamily="34" charset="0"/>
              <a:cs typeface="Arial" panose="020B0604020202020204" pitchFamily="34" charset="0"/>
            </a:rPr>
          </a:br>
          <a:endParaRPr lang="de-DE" sz="900" b="0" kern="1200">
            <a:latin typeface="Arial" panose="020B0604020202020204" pitchFamily="34" charset="0"/>
            <a:cs typeface="Arial" panose="020B0604020202020204" pitchFamily="34" charset="0"/>
          </a:endParaRPr>
        </a:p>
      </dsp:txBody>
      <dsp:txXfrm>
        <a:off x="2529230" y="1308707"/>
        <a:ext cx="1264615" cy="1449392"/>
      </dsp:txXfrm>
    </dsp:sp>
    <dsp:sp modelId="{F950ED12-D81D-4BCC-BDDB-561B82032A4E}">
      <dsp:nvSpPr>
        <dsp:cNvPr id="0" name=""/>
        <dsp:cNvSpPr/>
      </dsp:nvSpPr>
      <dsp:spPr>
        <a:xfrm>
          <a:off x="3793845" y="957614"/>
          <a:ext cx="1692554" cy="798737"/>
        </a:xfrm>
        <a:prstGeom prst="rightArrow">
          <a:avLst>
            <a:gd name="adj1" fmla="val 50000"/>
            <a:gd name="adj2" fmla="val 50000"/>
          </a:avLst>
        </a:prstGeom>
        <a:solidFill>
          <a:schemeClr val="bg1">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126800" numCol="1" spcCol="1270" anchor="ctr" anchorCtr="0">
          <a:noAutofit/>
        </a:bodyPr>
        <a:lstStyle/>
        <a:p>
          <a:pPr marL="0" lvl="0" indent="0" algn="l" defTabSz="400050">
            <a:lnSpc>
              <a:spcPct val="90000"/>
            </a:lnSpc>
            <a:spcBef>
              <a:spcPct val="0"/>
            </a:spcBef>
            <a:spcAft>
              <a:spcPct val="35000"/>
            </a:spcAft>
            <a:buNone/>
          </a:pPr>
          <a:r>
            <a:rPr lang="de-DE" sz="900" kern="1200">
              <a:latin typeface="Arial" panose="020B0604020202020204" pitchFamily="34" charset="0"/>
              <a:cs typeface="Arial" panose="020B0604020202020204" pitchFamily="34" charset="0"/>
            </a:rPr>
            <a:t>Inferenz- und Integritätsregeln</a:t>
          </a:r>
        </a:p>
      </dsp:txBody>
      <dsp:txXfrm>
        <a:off x="3793845" y="1157298"/>
        <a:ext cx="1492870" cy="399369"/>
      </dsp:txXfrm>
    </dsp:sp>
    <dsp:sp modelId="{B39231F0-BEF6-4C82-A67A-E5C6E758EACD}">
      <dsp:nvSpPr>
        <dsp:cNvPr id="0" name=""/>
        <dsp:cNvSpPr/>
      </dsp:nvSpPr>
      <dsp:spPr>
        <a:xfrm>
          <a:off x="3793845" y="1574858"/>
          <a:ext cx="1276136" cy="1466381"/>
        </a:xfrm>
        <a:prstGeom prst="rect">
          <a:avLst/>
        </a:prstGeom>
        <a:solidFill>
          <a:schemeClr val="lt1">
            <a:hueOff val="0"/>
            <a:satOff val="0"/>
            <a:lumOff val="0"/>
            <a:alphaOff val="0"/>
          </a:schemeClr>
        </a:solidFill>
        <a:ln w="12700" cap="flat" cmpd="sng" algn="ctr">
          <a:solidFill>
            <a:schemeClr val="bg1">
              <a:lumMod val="5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de-DE" sz="900" b="1" kern="1200">
              <a:latin typeface="Arial" panose="020B0604020202020204" pitchFamily="34" charset="0"/>
              <a:cs typeface="Arial" panose="020B0604020202020204" pitchFamily="34" charset="0"/>
            </a:rPr>
            <a:t>Onthologie</a:t>
          </a:r>
        </a:p>
      </dsp:txBody>
      <dsp:txXfrm>
        <a:off x="3793845" y="1574858"/>
        <a:ext cx="1276136" cy="1466381"/>
      </dsp:txXfrm>
    </dsp:sp>
  </dsp:spTree>
</dsp:drawing>
</file>

<file path=word/diagrams/layout1.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2103</Words>
  <Characters>13254</Characters>
  <Application>Microsoft Office Word</Application>
  <DocSecurity>0</DocSecurity>
  <Lines>110</Lines>
  <Paragraphs>30</Paragraphs>
  <ScaleCrop>false</ScaleCrop>
  <HeadingPairs>
    <vt:vector size="2" baseType="variant">
      <vt:variant>
        <vt:lpstr>Titel</vt:lpstr>
      </vt:variant>
      <vt:variant>
        <vt:i4>1</vt:i4>
      </vt:variant>
    </vt:vector>
  </HeadingPairs>
  <TitlesOfParts>
    <vt:vector size="1" baseType="lpstr">
      <vt:lpstr/>
    </vt:vector>
  </TitlesOfParts>
  <Company>Universität Witten/Herdecke</Company>
  <LinksUpToDate>false</LinksUpToDate>
  <CharactersWithSpaces>15327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Mainz, Anne</dc:creator>
  <cp:keywords/>
  <dc:description/>
  <cp:lastModifiedBy>Mainz, Anne</cp:lastModifiedBy>
  <cp:revision>9</cp:revision>
  <cp:lastPrinted>2025-09-19T07:28:00Z</cp:lastPrinted>
  <dcterms:created xsi:type="dcterms:W3CDTF">2025-09-29T16:12:00Z</dcterms:created>
  <dcterms:modified xsi:type="dcterms:W3CDTF">2025-11-10T11:03:00Z</dcterms:modified>
</cp:coreProperties>
</file>