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0F28" w14:textId="77777777" w:rsidR="00263C19" w:rsidRDefault="00000000">
      <w:pPr>
        <w:jc w:val="center"/>
        <w:rPr>
          <w:rFonts w:ascii="Arial" w:hAnsi="Arial" w:cs="Arial"/>
          <w:b/>
          <w:sz w:val="24"/>
          <w:szCs w:val="24"/>
        </w:rPr>
      </w:pPr>
      <w:r>
        <w:rPr>
          <w:rFonts w:ascii="Arial" w:hAnsi="Arial" w:cs="Arial"/>
          <w:b/>
          <w:sz w:val="24"/>
          <w:szCs w:val="24"/>
        </w:rPr>
        <w:t>IX. AG-Fall (Staatsorganisationsrecht)</w:t>
      </w:r>
    </w:p>
    <w:p w14:paraId="17BE6633" w14:textId="314B83A2" w:rsidR="00263C19" w:rsidRDefault="00000000">
      <w:pPr>
        <w:jc w:val="center"/>
        <w:rPr>
          <w:rFonts w:ascii="Arial" w:hAnsi="Arial" w:cs="Arial"/>
          <w:b/>
          <w:sz w:val="24"/>
          <w:szCs w:val="24"/>
        </w:rPr>
      </w:pPr>
      <w:r>
        <w:rPr>
          <w:rFonts w:ascii="Arial" w:hAnsi="Arial" w:cs="Arial"/>
          <w:b/>
          <w:sz w:val="24"/>
          <w:szCs w:val="24"/>
        </w:rPr>
        <w:t>Wintersemester 202</w:t>
      </w:r>
      <w:r w:rsidR="00E6747D">
        <w:rPr>
          <w:rFonts w:ascii="Arial" w:hAnsi="Arial" w:cs="Arial"/>
          <w:b/>
          <w:sz w:val="24"/>
          <w:szCs w:val="24"/>
        </w:rPr>
        <w:t>5</w:t>
      </w:r>
      <w:r>
        <w:rPr>
          <w:rFonts w:ascii="Arial" w:hAnsi="Arial" w:cs="Arial"/>
          <w:b/>
          <w:sz w:val="24"/>
          <w:szCs w:val="24"/>
        </w:rPr>
        <w:t>/202</w:t>
      </w:r>
      <w:r w:rsidR="00E6747D">
        <w:rPr>
          <w:rFonts w:ascii="Arial" w:hAnsi="Arial" w:cs="Arial"/>
          <w:b/>
          <w:sz w:val="24"/>
          <w:szCs w:val="24"/>
        </w:rPr>
        <w:t>6</w:t>
      </w:r>
    </w:p>
    <w:p w14:paraId="7E635EE2" w14:textId="77777777" w:rsidR="00263C19" w:rsidRDefault="00263C19">
      <w:pPr>
        <w:jc w:val="center"/>
        <w:rPr>
          <w:rFonts w:ascii="Arial" w:hAnsi="Arial" w:cs="Arial"/>
          <w:b/>
          <w:sz w:val="24"/>
          <w:szCs w:val="24"/>
        </w:rPr>
      </w:pPr>
    </w:p>
    <w:p w14:paraId="453BF252" w14:textId="77777777" w:rsidR="00263C19" w:rsidRDefault="00000000">
      <w:pPr>
        <w:spacing w:line="360" w:lineRule="auto"/>
        <w:jc w:val="both"/>
        <w:rPr>
          <w:rFonts w:ascii="Arial" w:hAnsi="Arial" w:cs="Arial"/>
          <w:color w:val="000000" w:themeColor="text1"/>
          <w:sz w:val="24"/>
          <w:szCs w:val="24"/>
        </w:rPr>
      </w:pPr>
      <w:r>
        <w:rPr>
          <w:rFonts w:ascii="Arial" w:hAnsi="Arial" w:cs="Arial"/>
          <w:sz w:val="24"/>
          <w:szCs w:val="24"/>
        </w:rPr>
        <w:t xml:space="preserve">Die letzte Bundestagswahl hat einen starken Rechtsruck bewirkt. Die N-Partei zieht als stärkste Partei in den Bundestag ein und stellt die Bundesregierung. Um die „nationale Identität Deutschlands“ zu stärken, arbeitet das Innenministerium ein Gesetz aus, demnach nun die inoffizielle Nationalhymne des Kaiserreichs (1871-1918 [sog. „Kaiserhymne“]) als Nationalhymne der Bundesrepublik Deutschland dienen soll. Über die Regierungsfraktion wird der Gesetzesentwurf in den Bundestag eingebracht. Nach drei Lesungen wird über den Entwurf Beschluss gefasst. Da der neue Bundestagspräsident jedoch dem Trunke zugeneigt ist, vergisst er, das Gesetz an den Bundesrat weiterzuleiten. Erst nach vier Wochen geht das Gesetz dort ein. Innerhalb des Bundesrates zeigt man sich wenig begeistert über das Vorhaben und ruft daher vier Wochen nach Eingang des Gesetzes den Vermittlungsausschuss an. Dieser sieht hinsichtlich des Gesetztes letztendlich keine großen Probleme, verlangt aber, dass zum europäischen Bekenntnis neben der Nationalhymne auch immer die „Europahymne“ zu intonieren ist. </w:t>
      </w:r>
      <w:r>
        <w:rPr>
          <w:rFonts w:ascii="Arial" w:hAnsi="Arial" w:cs="Arial"/>
          <w:color w:val="000000" w:themeColor="text1"/>
          <w:sz w:val="24"/>
          <w:szCs w:val="24"/>
        </w:rPr>
        <w:t xml:space="preserve">Diese Änderung wird vom Bundestag angenommen. Im Bundesrat wird hiergegen jedoch einstimmig Einspruch erhoben. </w:t>
      </w:r>
      <w:r>
        <w:rPr>
          <w:rFonts w:ascii="Arial" w:hAnsi="Arial" w:cs="Arial"/>
          <w:sz w:val="24"/>
          <w:szCs w:val="24"/>
        </w:rPr>
        <w:t>In der folgenden Sitzung des Bundestags haben sich 600 Abgeordnete eingefunden, von denen 380 für die Zurückweisung dieses Einspruchs stimmen. Eine Woche später wird das Gesetz ausgefertigt und verkündet.</w:t>
      </w:r>
    </w:p>
    <w:p w14:paraId="27CC151F" w14:textId="77777777" w:rsidR="00263C19" w:rsidRDefault="00263C19">
      <w:pPr>
        <w:spacing w:line="360" w:lineRule="auto"/>
        <w:jc w:val="both"/>
        <w:rPr>
          <w:rFonts w:ascii="Arial" w:hAnsi="Arial" w:cs="Arial"/>
          <w:sz w:val="24"/>
          <w:szCs w:val="24"/>
        </w:rPr>
      </w:pPr>
    </w:p>
    <w:p w14:paraId="5B531E3A" w14:textId="77777777" w:rsidR="00263C19" w:rsidRDefault="00000000">
      <w:pPr>
        <w:spacing w:line="360" w:lineRule="auto"/>
        <w:jc w:val="both"/>
        <w:rPr>
          <w:rFonts w:ascii="Arial" w:hAnsi="Arial" w:cs="Arial"/>
        </w:rPr>
      </w:pPr>
      <w:r>
        <w:rPr>
          <w:rFonts w:ascii="Arial" w:hAnsi="Arial" w:cs="Arial"/>
          <w:sz w:val="24"/>
          <w:szCs w:val="24"/>
        </w:rPr>
        <w:t>Die Landesregierung des Landes L ist empört und möchte gegen das Gesetz vorgehen. Sie ist überzeugt, dass das Gesetz gegen Art. 20 GG verstößt und außerdem auch unter formellen Gesichtspunkten verfassungswidrig ist.</w:t>
      </w:r>
    </w:p>
    <w:p w14:paraId="1EBB7A5A" w14:textId="77777777" w:rsidR="00263C19" w:rsidRDefault="00263C19">
      <w:pPr>
        <w:spacing w:line="360" w:lineRule="auto"/>
        <w:jc w:val="both"/>
        <w:rPr>
          <w:rFonts w:ascii="Arial" w:hAnsi="Arial" w:cs="Arial"/>
          <w:sz w:val="24"/>
          <w:szCs w:val="24"/>
        </w:rPr>
      </w:pPr>
    </w:p>
    <w:p w14:paraId="19519C06" w14:textId="77777777" w:rsidR="00263C19" w:rsidRDefault="00000000">
      <w:pPr>
        <w:spacing w:line="360" w:lineRule="auto"/>
        <w:jc w:val="both"/>
        <w:rPr>
          <w:rFonts w:ascii="Arial" w:hAnsi="Arial" w:cs="Arial"/>
          <w:b/>
          <w:sz w:val="24"/>
          <w:szCs w:val="24"/>
        </w:rPr>
      </w:pPr>
      <w:r>
        <w:rPr>
          <w:rFonts w:ascii="Arial" w:hAnsi="Arial" w:cs="Arial"/>
          <w:b/>
          <w:sz w:val="24"/>
          <w:szCs w:val="24"/>
        </w:rPr>
        <w:t>Hat der Antrag Aussicht auf Erfolg?</w:t>
      </w:r>
    </w:p>
    <w:p w14:paraId="6ADB5709" w14:textId="77777777" w:rsidR="00263C19" w:rsidRDefault="00000000">
      <w:pPr>
        <w:spacing w:line="360" w:lineRule="auto"/>
        <w:jc w:val="both"/>
        <w:rPr>
          <w:rFonts w:ascii="Arial" w:hAnsi="Arial" w:cs="Arial"/>
          <w:sz w:val="24"/>
          <w:szCs w:val="24"/>
        </w:rPr>
      </w:pPr>
      <w:r>
        <w:rPr>
          <w:rFonts w:ascii="Arial" w:hAnsi="Arial" w:cs="Arial"/>
          <w:sz w:val="24"/>
          <w:szCs w:val="24"/>
        </w:rPr>
        <w:br w:type="page" w:clear="all"/>
      </w:r>
    </w:p>
    <w:p w14:paraId="7BA6F1B2" w14:textId="77777777" w:rsidR="00263C19" w:rsidRDefault="00000000">
      <w:pPr>
        <w:spacing w:line="360" w:lineRule="auto"/>
        <w:jc w:val="both"/>
        <w:rPr>
          <w:rFonts w:ascii="Arial" w:hAnsi="Arial" w:cs="Arial"/>
          <w:b/>
          <w:sz w:val="24"/>
          <w:szCs w:val="24"/>
        </w:rPr>
      </w:pPr>
      <w:r>
        <w:rPr>
          <w:rFonts w:ascii="Arial" w:hAnsi="Arial" w:cs="Arial"/>
          <w:b/>
          <w:sz w:val="24"/>
          <w:szCs w:val="24"/>
        </w:rPr>
        <w:lastRenderedPageBreak/>
        <w:t>Lösungsvorschlag</w:t>
      </w:r>
    </w:p>
    <w:p w14:paraId="4E933C90" w14:textId="77777777" w:rsidR="00263C19" w:rsidRDefault="00000000">
      <w:pPr>
        <w:spacing w:line="360" w:lineRule="auto"/>
        <w:jc w:val="both"/>
        <w:rPr>
          <w:rFonts w:ascii="Arial" w:hAnsi="Arial" w:cs="Arial"/>
          <w:b/>
          <w:sz w:val="24"/>
          <w:szCs w:val="24"/>
        </w:rPr>
      </w:pPr>
      <w:r>
        <w:rPr>
          <w:rFonts w:ascii="Arial" w:hAnsi="Arial" w:cs="Arial"/>
          <w:b/>
          <w:sz w:val="24"/>
          <w:szCs w:val="24"/>
        </w:rPr>
        <w:t>A. Zulässigkeit</w:t>
      </w:r>
    </w:p>
    <w:p w14:paraId="018746BE" w14:textId="77777777" w:rsidR="00263C19" w:rsidRDefault="00000000">
      <w:pPr>
        <w:spacing w:line="360" w:lineRule="auto"/>
        <w:jc w:val="both"/>
        <w:rPr>
          <w:rFonts w:ascii="Arial" w:hAnsi="Arial" w:cs="Arial"/>
          <w:b/>
          <w:sz w:val="24"/>
          <w:szCs w:val="24"/>
        </w:rPr>
      </w:pPr>
      <w:r>
        <w:rPr>
          <w:rFonts w:ascii="Arial" w:hAnsi="Arial" w:cs="Arial"/>
          <w:b/>
          <w:sz w:val="24"/>
          <w:szCs w:val="24"/>
        </w:rPr>
        <w:t>I. Zuständigkeit des BVerfG</w:t>
      </w:r>
    </w:p>
    <w:p w14:paraId="3DB1A61D" w14:textId="77777777" w:rsidR="00263C19" w:rsidRDefault="00000000">
      <w:pPr>
        <w:spacing w:line="360" w:lineRule="auto"/>
        <w:jc w:val="both"/>
        <w:rPr>
          <w:rFonts w:ascii="Arial" w:hAnsi="Arial" w:cs="Arial"/>
          <w:bCs/>
          <w:sz w:val="24"/>
          <w:szCs w:val="24"/>
          <w:lang w:val="en-US"/>
        </w:rPr>
      </w:pPr>
      <w:r>
        <w:rPr>
          <w:rFonts w:ascii="Arial" w:hAnsi="Arial" w:cs="Arial"/>
          <w:bCs/>
          <w:sz w:val="24"/>
          <w:szCs w:val="24"/>
          <w:lang w:val="en-US"/>
        </w:rPr>
        <w:t>Art. 93 I Nr. 2 GG, §§ 13 Nr. 6, 76 ff. BVerfGG</w:t>
      </w:r>
    </w:p>
    <w:p w14:paraId="633E7E20" w14:textId="77777777" w:rsidR="00263C19" w:rsidRDefault="00263C19">
      <w:pPr>
        <w:spacing w:line="360" w:lineRule="auto"/>
        <w:jc w:val="both"/>
        <w:rPr>
          <w:rFonts w:ascii="Arial" w:hAnsi="Arial" w:cs="Arial"/>
          <w:sz w:val="24"/>
          <w:szCs w:val="24"/>
          <w:lang w:val="en-US"/>
        </w:rPr>
      </w:pPr>
    </w:p>
    <w:p w14:paraId="6F7983E3"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II. Antragsberechtigung</w:t>
      </w:r>
    </w:p>
    <w:p w14:paraId="23C59BBE" w14:textId="77777777" w:rsidR="00263C19" w:rsidRDefault="00000000">
      <w:pPr>
        <w:spacing w:line="360" w:lineRule="auto"/>
        <w:jc w:val="both"/>
        <w:rPr>
          <w:rFonts w:ascii="Arial" w:hAnsi="Arial" w:cs="Arial"/>
          <w:sz w:val="24"/>
          <w:szCs w:val="24"/>
        </w:rPr>
      </w:pPr>
      <w:r>
        <w:rPr>
          <w:rFonts w:ascii="Arial" w:hAnsi="Arial" w:cs="Arial"/>
          <w:sz w:val="24"/>
          <w:szCs w:val="24"/>
        </w:rPr>
        <w:t>§ 76 BVerfGG: Landesregierung des Landes L</w:t>
      </w:r>
    </w:p>
    <w:p w14:paraId="6EF4A0A9" w14:textId="77777777" w:rsidR="00263C19" w:rsidRDefault="00263C19">
      <w:pPr>
        <w:spacing w:line="360" w:lineRule="auto"/>
        <w:jc w:val="both"/>
        <w:rPr>
          <w:rFonts w:ascii="Arial" w:hAnsi="Arial" w:cs="Arial"/>
          <w:sz w:val="24"/>
          <w:szCs w:val="24"/>
        </w:rPr>
      </w:pPr>
    </w:p>
    <w:p w14:paraId="39C46F07"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III. Antragsgegenstand</w:t>
      </w:r>
    </w:p>
    <w:p w14:paraId="3FE42E4B" w14:textId="77777777" w:rsidR="00263C19" w:rsidRDefault="00000000">
      <w:pPr>
        <w:spacing w:line="360" w:lineRule="auto"/>
        <w:jc w:val="both"/>
        <w:rPr>
          <w:rFonts w:ascii="Arial" w:hAnsi="Arial" w:cs="Arial"/>
          <w:sz w:val="24"/>
          <w:szCs w:val="24"/>
        </w:rPr>
      </w:pPr>
      <w:r>
        <w:rPr>
          <w:rFonts w:ascii="Arial" w:hAnsi="Arial" w:cs="Arial"/>
          <w:sz w:val="24"/>
          <w:szCs w:val="24"/>
        </w:rPr>
        <w:t>Formelles Gesetz: Nationalhymnengesetz</w:t>
      </w:r>
    </w:p>
    <w:p w14:paraId="2FD0C96A" w14:textId="77777777" w:rsidR="00263C19" w:rsidRDefault="00263C19">
      <w:pPr>
        <w:spacing w:line="360" w:lineRule="auto"/>
        <w:jc w:val="both"/>
        <w:rPr>
          <w:rFonts w:ascii="Arial" w:hAnsi="Arial" w:cs="Arial"/>
          <w:sz w:val="24"/>
          <w:szCs w:val="24"/>
        </w:rPr>
      </w:pPr>
    </w:p>
    <w:p w14:paraId="77CBBCFF"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IV. Antragsgrund</w:t>
      </w:r>
    </w:p>
    <w:p w14:paraId="5E1E8C81" w14:textId="77777777" w:rsidR="00263C19" w:rsidRDefault="00000000">
      <w:pPr>
        <w:spacing w:line="360" w:lineRule="auto"/>
        <w:jc w:val="both"/>
        <w:rPr>
          <w:rFonts w:ascii="Arial" w:hAnsi="Arial" w:cs="Arial"/>
          <w:sz w:val="24"/>
          <w:szCs w:val="24"/>
        </w:rPr>
      </w:pPr>
      <w:r>
        <w:rPr>
          <w:rFonts w:ascii="Arial" w:hAnsi="Arial" w:cs="Arial"/>
          <w:sz w:val="24"/>
          <w:szCs w:val="24"/>
        </w:rPr>
        <w:t>§ 76 Nr. 1 BVerfGG (+), Land L hält Norm (Bundesgesetz) für nichtig</w:t>
      </w:r>
    </w:p>
    <w:p w14:paraId="55011318" w14:textId="77777777" w:rsidR="00263C19" w:rsidRDefault="00263C19">
      <w:pPr>
        <w:spacing w:line="360" w:lineRule="auto"/>
        <w:jc w:val="both"/>
        <w:rPr>
          <w:rFonts w:ascii="Arial" w:hAnsi="Arial" w:cs="Arial"/>
          <w:sz w:val="24"/>
          <w:szCs w:val="24"/>
        </w:rPr>
      </w:pPr>
    </w:p>
    <w:p w14:paraId="25465E94"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V. Form</w:t>
      </w:r>
    </w:p>
    <w:p w14:paraId="17A72BF6" w14:textId="77777777" w:rsidR="00263C19" w:rsidRDefault="00000000">
      <w:pPr>
        <w:spacing w:line="360" w:lineRule="auto"/>
        <w:jc w:val="both"/>
        <w:rPr>
          <w:rFonts w:ascii="Arial" w:hAnsi="Arial" w:cs="Arial"/>
          <w:sz w:val="24"/>
          <w:szCs w:val="24"/>
        </w:rPr>
      </w:pPr>
      <w:r>
        <w:rPr>
          <w:rFonts w:ascii="Arial" w:hAnsi="Arial" w:cs="Arial"/>
          <w:sz w:val="24"/>
          <w:szCs w:val="24"/>
        </w:rPr>
        <w:t>§ 23 BVerfGG</w:t>
      </w:r>
    </w:p>
    <w:p w14:paraId="034E27D4" w14:textId="77777777" w:rsidR="00263C19" w:rsidRDefault="00263C19">
      <w:pPr>
        <w:spacing w:line="360" w:lineRule="auto"/>
        <w:jc w:val="both"/>
        <w:rPr>
          <w:rFonts w:ascii="Arial" w:hAnsi="Arial" w:cs="Arial"/>
          <w:sz w:val="24"/>
          <w:szCs w:val="24"/>
        </w:rPr>
      </w:pPr>
    </w:p>
    <w:p w14:paraId="685AB0FA"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VI. Objektives Klarstellungsinteresse</w:t>
      </w:r>
    </w:p>
    <w:p w14:paraId="7A44532A" w14:textId="77777777" w:rsidR="00263C19" w:rsidRDefault="00000000">
      <w:pPr>
        <w:spacing w:line="360" w:lineRule="auto"/>
        <w:jc w:val="both"/>
        <w:rPr>
          <w:rFonts w:ascii="Arial" w:hAnsi="Arial" w:cs="Arial"/>
          <w:sz w:val="24"/>
          <w:szCs w:val="24"/>
        </w:rPr>
      </w:pPr>
      <w:r>
        <w:rPr>
          <w:rFonts w:ascii="Arial" w:hAnsi="Arial" w:cs="Arial"/>
          <w:sz w:val="24"/>
          <w:szCs w:val="24"/>
        </w:rPr>
        <w:t>(+)</w:t>
      </w:r>
    </w:p>
    <w:p w14:paraId="2A377C21" w14:textId="77777777" w:rsidR="00263C19" w:rsidRDefault="00263C19">
      <w:pPr>
        <w:spacing w:line="360" w:lineRule="auto"/>
        <w:jc w:val="both"/>
        <w:rPr>
          <w:rFonts w:ascii="Arial" w:hAnsi="Arial" w:cs="Arial"/>
          <w:b/>
          <w:bCs/>
          <w:sz w:val="24"/>
          <w:szCs w:val="24"/>
        </w:rPr>
      </w:pPr>
    </w:p>
    <w:p w14:paraId="2DA1B9DC"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B. Begründetheit</w:t>
      </w:r>
    </w:p>
    <w:p w14:paraId="3063E56B" w14:textId="77777777" w:rsidR="00263C19" w:rsidRDefault="00000000">
      <w:pPr>
        <w:spacing w:line="360" w:lineRule="auto"/>
        <w:jc w:val="both"/>
        <w:rPr>
          <w:rFonts w:ascii="Arial" w:hAnsi="Arial" w:cs="Arial"/>
          <w:b/>
          <w:sz w:val="24"/>
          <w:szCs w:val="24"/>
        </w:rPr>
      </w:pPr>
      <w:r>
        <w:rPr>
          <w:rFonts w:ascii="Arial" w:hAnsi="Arial" w:cs="Arial"/>
          <w:b/>
          <w:sz w:val="24"/>
          <w:szCs w:val="24"/>
        </w:rPr>
        <w:t>I. Formelle Verfassungswidrigkeit</w:t>
      </w:r>
    </w:p>
    <w:p w14:paraId="03651211" w14:textId="77777777" w:rsidR="00263C19" w:rsidRDefault="00000000">
      <w:pPr>
        <w:spacing w:line="360" w:lineRule="auto"/>
        <w:jc w:val="both"/>
        <w:rPr>
          <w:rFonts w:ascii="Arial" w:hAnsi="Arial" w:cs="Arial"/>
          <w:b/>
          <w:sz w:val="24"/>
          <w:szCs w:val="24"/>
        </w:rPr>
      </w:pPr>
      <w:r>
        <w:rPr>
          <w:rFonts w:ascii="Arial" w:hAnsi="Arial" w:cs="Arial"/>
          <w:b/>
          <w:sz w:val="24"/>
          <w:szCs w:val="24"/>
        </w:rPr>
        <w:t>1. Gesetzgebungskompetenz</w:t>
      </w:r>
    </w:p>
    <w:p w14:paraId="5772C1A2" w14:textId="77777777" w:rsidR="00263C19" w:rsidRDefault="00000000">
      <w:pPr>
        <w:spacing w:line="360" w:lineRule="auto"/>
        <w:jc w:val="both"/>
        <w:rPr>
          <w:rFonts w:ascii="Arial" w:hAnsi="Arial" w:cs="Arial"/>
          <w:color w:val="000000" w:themeColor="text1"/>
          <w:sz w:val="24"/>
          <w:szCs w:val="24"/>
        </w:rPr>
      </w:pPr>
      <w:r>
        <w:rPr>
          <w:rFonts w:ascii="Arial" w:hAnsi="Arial" w:cs="Arial"/>
          <w:sz w:val="24"/>
          <w:szCs w:val="24"/>
        </w:rPr>
        <w:t xml:space="preserve">Ungeschriebene Gesetzgebungskompetenz zugunsten des Bundes: Kraft Natur der Sache </w:t>
      </w:r>
      <w:r>
        <w:rPr>
          <w:rFonts w:ascii="Arial" w:hAnsi="Arial" w:cs="Arial"/>
          <w:color w:val="000000" w:themeColor="text1"/>
          <w:sz w:val="24"/>
          <w:szCs w:val="24"/>
        </w:rPr>
        <w:t xml:space="preserve">(siehe: </w:t>
      </w:r>
      <w:r>
        <w:rPr>
          <w:rFonts w:ascii="Arial" w:hAnsi="Arial" w:cs="Arial"/>
          <w:i/>
          <w:iCs/>
          <w:color w:val="000000" w:themeColor="text1"/>
          <w:sz w:val="24"/>
          <w:szCs w:val="24"/>
        </w:rPr>
        <w:t>Degenhart</w:t>
      </w:r>
      <w:r>
        <w:rPr>
          <w:rFonts w:ascii="Arial" w:hAnsi="Arial" w:cs="Arial"/>
          <w:color w:val="000000" w:themeColor="text1"/>
          <w:sz w:val="24"/>
          <w:szCs w:val="24"/>
        </w:rPr>
        <w:t xml:space="preserve">, Staatsorganisationsrecht, 39. Auflage 2023, Rn. 180) </w:t>
      </w:r>
    </w:p>
    <w:p w14:paraId="687B4B2D" w14:textId="77777777" w:rsidR="00263C19" w:rsidRDefault="00000000">
      <w:pPr>
        <w:spacing w:line="360" w:lineRule="auto"/>
        <w:jc w:val="both"/>
        <w:rPr>
          <w:rFonts w:ascii="Arial" w:hAnsi="Arial" w:cs="Arial"/>
          <w:sz w:val="24"/>
          <w:szCs w:val="24"/>
        </w:rPr>
      </w:pPr>
      <w:r>
        <w:rPr>
          <w:rFonts w:ascii="Wingdings" w:eastAsia="Wingdings" w:hAnsi="Wingdings" w:cs="Wingdings"/>
        </w:rPr>
        <w:lastRenderedPageBreak/>
        <w:t>à</w:t>
      </w:r>
      <w:r>
        <w:rPr>
          <w:rFonts w:ascii="Arial" w:hAnsi="Arial" w:cs="Arial"/>
          <w:sz w:val="24"/>
          <w:szCs w:val="24"/>
        </w:rPr>
        <w:t xml:space="preserve"> Nationalhymne (+) (Siehe zum Streit, ob es für die Festlegung der Nationalhymne eines Gesetzes bedarf: </w:t>
      </w:r>
      <w:r>
        <w:rPr>
          <w:rFonts w:ascii="Arial" w:hAnsi="Arial" w:cs="Arial"/>
          <w:i/>
          <w:iCs/>
          <w:color w:val="000000" w:themeColor="text1"/>
          <w:sz w:val="24"/>
          <w:szCs w:val="24"/>
        </w:rPr>
        <w:t xml:space="preserve">Dürig/Herzog/Scholz/Scholz, </w:t>
      </w:r>
      <w:r>
        <w:rPr>
          <w:rFonts w:ascii="Arial" w:hAnsi="Arial" w:cs="Arial"/>
          <w:color w:val="000000" w:themeColor="text1"/>
          <w:sz w:val="24"/>
          <w:szCs w:val="24"/>
        </w:rPr>
        <w:t>104. EL April 2024, GG Art. 22 Rn. 55 (beck-online),</w:t>
      </w:r>
      <w:r>
        <w:rPr>
          <w:rFonts w:ascii="Arial" w:hAnsi="Arial" w:cs="Arial"/>
          <w:i/>
          <w:iCs/>
          <w:color w:val="000000" w:themeColor="text1"/>
          <w:sz w:val="24"/>
          <w:szCs w:val="24"/>
        </w:rPr>
        <w:t xml:space="preserve"> Hellenthal,</w:t>
      </w:r>
      <w:r>
        <w:rPr>
          <w:rFonts w:ascii="Arial" w:hAnsi="Arial" w:cs="Arial"/>
          <w:color w:val="000000" w:themeColor="text1"/>
          <w:sz w:val="24"/>
          <w:szCs w:val="24"/>
        </w:rPr>
        <w:t xml:space="preserve"> NJW 1988, 1294 ff.; </w:t>
      </w:r>
      <w:r>
        <w:rPr>
          <w:rFonts w:ascii="Arial" w:hAnsi="Arial" w:cs="Arial"/>
          <w:i/>
          <w:iCs/>
          <w:color w:val="000000" w:themeColor="text1"/>
          <w:sz w:val="24"/>
          <w:szCs w:val="24"/>
        </w:rPr>
        <w:t>Hümmerich/Beucher</w:t>
      </w:r>
      <w:r>
        <w:rPr>
          <w:rFonts w:ascii="Arial" w:hAnsi="Arial" w:cs="Arial"/>
          <w:color w:val="000000" w:themeColor="text1"/>
          <w:sz w:val="24"/>
          <w:szCs w:val="24"/>
        </w:rPr>
        <w:t xml:space="preserve">, NJW 1987, 3227 ff. Zur Frage der Organkompetenz des Bundestags: </w:t>
      </w:r>
      <w:r>
        <w:rPr>
          <w:rFonts w:ascii="Arial" w:hAnsi="Arial" w:cs="Arial"/>
          <w:i/>
          <w:iCs/>
          <w:color w:val="000000" w:themeColor="text1"/>
          <w:sz w:val="24"/>
          <w:szCs w:val="24"/>
        </w:rPr>
        <w:t xml:space="preserve">Dürig/Herzog/Scholz/Scholz, </w:t>
      </w:r>
      <w:r>
        <w:rPr>
          <w:rFonts w:ascii="Arial" w:hAnsi="Arial" w:cs="Arial"/>
          <w:color w:val="000000" w:themeColor="text1"/>
          <w:sz w:val="24"/>
          <w:szCs w:val="24"/>
        </w:rPr>
        <w:t>104. EL April 2024, GG Art. 22 Rn. 44, (beck-online))</w:t>
      </w:r>
    </w:p>
    <w:p w14:paraId="5CFFE9B1" w14:textId="77777777" w:rsidR="00263C19" w:rsidRDefault="00263C19">
      <w:pPr>
        <w:spacing w:line="360" w:lineRule="auto"/>
        <w:jc w:val="both"/>
        <w:rPr>
          <w:rFonts w:ascii="Arial" w:hAnsi="Arial" w:cs="Arial"/>
          <w:sz w:val="24"/>
          <w:szCs w:val="24"/>
        </w:rPr>
      </w:pPr>
    </w:p>
    <w:p w14:paraId="60B51E2A"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2. Gesetzgebungsverfahren</w:t>
      </w:r>
    </w:p>
    <w:p w14:paraId="1F531C8F"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a. Gesetzgebungsinitiative</w:t>
      </w:r>
    </w:p>
    <w:p w14:paraId="527B519F" w14:textId="77777777" w:rsidR="00263C19" w:rsidRDefault="00000000">
      <w:pPr>
        <w:pStyle w:val="Listenabsatz"/>
        <w:numPr>
          <w:ilvl w:val="0"/>
          <w:numId w:val="13"/>
        </w:numPr>
        <w:spacing w:line="360" w:lineRule="auto"/>
        <w:jc w:val="both"/>
        <w:rPr>
          <w:rFonts w:ascii="Arial" w:hAnsi="Arial" w:cs="Arial"/>
          <w:sz w:val="24"/>
          <w:szCs w:val="24"/>
        </w:rPr>
      </w:pPr>
      <w:r>
        <w:rPr>
          <w:rFonts w:ascii="Arial" w:hAnsi="Arial" w:cs="Arial"/>
          <w:b/>
          <w:bCs/>
          <w:sz w:val="24"/>
          <w:szCs w:val="24"/>
        </w:rPr>
        <w:t xml:space="preserve">P! Umgehung von Art. 76 II GG durch Gesetzesvorlage aus der Mitte des Bundestags? </w:t>
      </w:r>
      <w:r>
        <w:rPr>
          <w:rFonts w:ascii="Arial" w:hAnsi="Arial" w:cs="Arial"/>
          <w:color w:val="000000" w:themeColor="text1"/>
          <w:sz w:val="24"/>
          <w:szCs w:val="24"/>
        </w:rPr>
        <w:t>(</w:t>
      </w:r>
      <w:r>
        <w:rPr>
          <w:rFonts w:ascii="Arial" w:hAnsi="Arial" w:cs="Arial"/>
          <w:i/>
          <w:iCs/>
          <w:color w:val="000000" w:themeColor="text1"/>
          <w:sz w:val="24"/>
          <w:szCs w:val="24"/>
        </w:rPr>
        <w:t>Degenhart</w:t>
      </w:r>
      <w:r>
        <w:rPr>
          <w:rFonts w:ascii="Arial" w:hAnsi="Arial" w:cs="Arial"/>
          <w:color w:val="000000" w:themeColor="text1"/>
          <w:sz w:val="24"/>
          <w:szCs w:val="24"/>
        </w:rPr>
        <w:t>, Staatsorganisationsrecht, 39. Auflage 2023, Rn. 216)</w:t>
      </w:r>
    </w:p>
    <w:p w14:paraId="5FF71907" w14:textId="77777777" w:rsidR="00263C19" w:rsidRDefault="00000000">
      <w:pPr>
        <w:spacing w:line="360" w:lineRule="auto"/>
        <w:ind w:left="360"/>
        <w:jc w:val="both"/>
        <w:rPr>
          <w:rFonts w:ascii="Arial" w:hAnsi="Arial" w:cs="Arial"/>
          <w:sz w:val="24"/>
          <w:szCs w:val="24"/>
        </w:rPr>
      </w:pPr>
      <w:r>
        <w:rPr>
          <w:rFonts w:ascii="Arial" w:hAnsi="Arial" w:cs="Arial"/>
          <w:sz w:val="24"/>
          <w:szCs w:val="24"/>
        </w:rPr>
        <w:t>Hintergrund: Die Gesetzesvorlage beruhte auf einem Entwurf des Innenministeriums und hätte durch die Bundesregierung statt durch die Fraktion eingebracht werden können, was wiederum das Stellungnahmeerfordernis aus Art. 76 II GG ausgelöst hätte.</w:t>
      </w:r>
    </w:p>
    <w:p w14:paraId="2587FA56" w14:textId="77777777" w:rsidR="00263C19" w:rsidRDefault="00000000">
      <w:pPr>
        <w:spacing w:line="360" w:lineRule="auto"/>
        <w:ind w:left="360"/>
        <w:jc w:val="both"/>
        <w:rPr>
          <w:rFonts w:ascii="Arial" w:hAnsi="Arial" w:cs="Arial"/>
          <w:sz w:val="24"/>
          <w:szCs w:val="24"/>
        </w:rPr>
      </w:pPr>
      <w:r>
        <w:rPr>
          <w:rFonts w:ascii="Arial" w:hAnsi="Arial" w:cs="Arial"/>
          <w:sz w:val="24"/>
          <w:szCs w:val="24"/>
        </w:rPr>
        <w:t>i. Erg. unschädlich, da es sich nur um eine Verfahrensgestaltung innerhalb des parlamentarischen Systems handelt; außerdem bleiben die sonstigen Handlungsoptionen (Anrufung des Vermittlungsausschusses; Einspruch/Zustimmung) unangetastet.</w:t>
      </w:r>
    </w:p>
    <w:p w14:paraId="6C9B7215" w14:textId="77777777" w:rsidR="00263C19" w:rsidRDefault="00263C19">
      <w:pPr>
        <w:spacing w:line="360" w:lineRule="auto"/>
        <w:jc w:val="both"/>
        <w:rPr>
          <w:rFonts w:ascii="Arial" w:hAnsi="Arial" w:cs="Arial"/>
          <w:sz w:val="24"/>
          <w:szCs w:val="24"/>
        </w:rPr>
      </w:pPr>
    </w:p>
    <w:p w14:paraId="22747C5A"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b. Hauptverfahren</w:t>
      </w:r>
    </w:p>
    <w:p w14:paraId="69D351C0"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aa. Beschlussfassung im Bundestag, Art. 77 I GG</w:t>
      </w:r>
    </w:p>
    <w:p w14:paraId="6AF41068" w14:textId="77777777" w:rsidR="00263C19" w:rsidRDefault="00000000">
      <w:pPr>
        <w:spacing w:line="360" w:lineRule="auto"/>
        <w:jc w:val="both"/>
        <w:rPr>
          <w:rFonts w:ascii="Arial" w:hAnsi="Arial" w:cs="Arial"/>
          <w:sz w:val="24"/>
          <w:szCs w:val="24"/>
        </w:rPr>
      </w:pPr>
      <w:r>
        <w:rPr>
          <w:rFonts w:ascii="Arial" w:hAnsi="Arial" w:cs="Arial"/>
          <w:sz w:val="24"/>
          <w:szCs w:val="24"/>
        </w:rPr>
        <w:t>(+)</w:t>
      </w:r>
    </w:p>
    <w:p w14:paraId="302667EF" w14:textId="77777777" w:rsidR="00263C19" w:rsidRDefault="00263C19">
      <w:pPr>
        <w:spacing w:line="360" w:lineRule="auto"/>
        <w:jc w:val="both"/>
        <w:rPr>
          <w:rFonts w:ascii="Arial" w:hAnsi="Arial" w:cs="Arial"/>
          <w:sz w:val="24"/>
          <w:szCs w:val="24"/>
        </w:rPr>
      </w:pPr>
    </w:p>
    <w:p w14:paraId="4C6E02EE"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bb. Fehlerhafte Weiterleitung durch den Bundestagspräsidenten, Art. 77 I 2 GG</w:t>
      </w:r>
    </w:p>
    <w:p w14:paraId="33734CC3" w14:textId="77777777" w:rsidR="00263C19" w:rsidRDefault="00000000">
      <w:pPr>
        <w:spacing w:line="360" w:lineRule="auto"/>
        <w:jc w:val="both"/>
        <w:rPr>
          <w:rFonts w:ascii="Arial" w:hAnsi="Arial" w:cs="Arial"/>
          <w:sz w:val="24"/>
          <w:szCs w:val="24"/>
        </w:rPr>
      </w:pPr>
      <w:r>
        <w:rPr>
          <w:rFonts w:ascii="Arial" w:hAnsi="Arial" w:cs="Arial"/>
          <w:sz w:val="24"/>
          <w:szCs w:val="24"/>
        </w:rPr>
        <w:t>(+), keine unverzügliche Weiterleitung, sondern erst vier Wochen nach Bundestagsbeschluss</w:t>
      </w:r>
    </w:p>
    <w:p w14:paraId="6954A8AF" w14:textId="77777777" w:rsidR="00263C19" w:rsidRDefault="00000000">
      <w:pPr>
        <w:spacing w:line="360" w:lineRule="auto"/>
        <w:jc w:val="both"/>
        <w:rPr>
          <w:rFonts w:ascii="Arial" w:hAnsi="Arial" w:cs="Arial"/>
          <w:sz w:val="24"/>
          <w:szCs w:val="24"/>
        </w:rPr>
      </w:pPr>
      <w:r>
        <w:rPr>
          <w:rFonts w:ascii="Arial" w:hAnsi="Arial" w:cs="Arial"/>
          <w:sz w:val="24"/>
          <w:szCs w:val="24"/>
        </w:rPr>
        <w:t>Rechtsfolge: Verfassungswidrigkeit des Gesetzes?</w:t>
      </w:r>
    </w:p>
    <w:p w14:paraId="6FD8253A" w14:textId="77777777" w:rsidR="00263C19" w:rsidRDefault="00000000">
      <w:pPr>
        <w:spacing w:line="360" w:lineRule="auto"/>
        <w:jc w:val="both"/>
        <w:rPr>
          <w:rFonts w:ascii="Arial" w:hAnsi="Arial" w:cs="Arial"/>
          <w:sz w:val="24"/>
          <w:szCs w:val="24"/>
        </w:rPr>
      </w:pPr>
      <w:r>
        <w:rPr>
          <w:rFonts w:ascii="Arial" w:hAnsi="Arial" w:cs="Arial"/>
          <w:sz w:val="24"/>
          <w:szCs w:val="24"/>
        </w:rPr>
        <w:lastRenderedPageBreak/>
        <w:t xml:space="preserve">Nein, Art. 77 I 2 GG dient der Beschleunigung des Verfahrens und soll sicherstellen, dass der Bundesrat von seinen nach Art. 77 II-IV GG eingeräumten Mitwirkungsrechten Gebrauch machen kann </w:t>
      </w:r>
      <w:r>
        <w:rPr>
          <w:rFonts w:ascii="Arial" w:hAnsi="Arial" w:cs="Arial"/>
          <w:color w:val="000000" w:themeColor="text1"/>
          <w:sz w:val="24"/>
          <w:szCs w:val="24"/>
        </w:rPr>
        <w:t xml:space="preserve">(Dreier/Brosius-Gersdorf, Grundgesetz Kommentar, 3. Aufl. 2015, Art. 77 Rn. 29, beck-online). </w:t>
      </w:r>
      <w:r>
        <w:rPr>
          <w:rFonts w:ascii="Arial" w:hAnsi="Arial" w:cs="Arial"/>
          <w:sz w:val="24"/>
          <w:szCs w:val="24"/>
        </w:rPr>
        <w:t>Die Verletzung dieser Rechtspflicht kann höchstens zu Konsequenzen für den Bundestagspräsidenten führen, bewirkt aber nicht die Verfassungswidrigkeit des Gesetzes.</w:t>
      </w:r>
    </w:p>
    <w:p w14:paraId="5219123D" w14:textId="77777777" w:rsidR="00263C19" w:rsidRDefault="00000000">
      <w:pPr>
        <w:spacing w:line="360" w:lineRule="auto"/>
        <w:jc w:val="both"/>
        <w:rPr>
          <w:rFonts w:ascii="Arial" w:hAnsi="Arial" w:cs="Arial"/>
          <w:sz w:val="24"/>
          <w:szCs w:val="24"/>
        </w:rPr>
      </w:pPr>
      <w:r>
        <w:rPr>
          <w:rFonts w:ascii="Arial" w:hAnsi="Arial" w:cs="Arial"/>
          <w:sz w:val="24"/>
          <w:szCs w:val="24"/>
        </w:rPr>
        <w:t>Arg.: sonst käme dem BTP ein faktisches Veto-Recht zu</w:t>
      </w:r>
    </w:p>
    <w:p w14:paraId="26DD84DB" w14:textId="77777777" w:rsidR="00263C19" w:rsidRDefault="00000000">
      <w:pPr>
        <w:spacing w:line="360" w:lineRule="auto"/>
        <w:jc w:val="both"/>
        <w:rPr>
          <w:rFonts w:ascii="Arial" w:hAnsi="Arial" w:cs="Arial"/>
          <w:sz w:val="24"/>
          <w:szCs w:val="24"/>
        </w:rPr>
      </w:pPr>
      <w:r>
        <w:rPr>
          <w:rFonts w:ascii="Arial" w:hAnsi="Arial" w:cs="Arial"/>
          <w:sz w:val="24"/>
          <w:szCs w:val="24"/>
        </w:rPr>
        <w:t xml:space="preserve">(Zu den praktischen Gepflogenheiten bei der Zuleitung des Gesetzesbeschlusses: </w:t>
      </w:r>
      <w:r>
        <w:rPr>
          <w:rFonts w:ascii="Arial" w:hAnsi="Arial" w:cs="Arial"/>
          <w:i/>
          <w:iCs/>
          <w:color w:val="000000" w:themeColor="text1"/>
          <w:sz w:val="24"/>
          <w:szCs w:val="24"/>
        </w:rPr>
        <w:t>BeckOK GG/Dietlein, 58. Ed. 15.6.2024, GG Art. 77 Rn. 17.1, beck-online</w:t>
      </w:r>
      <w:r>
        <w:rPr>
          <w:rFonts w:ascii="Arial" w:hAnsi="Arial" w:cs="Arial"/>
          <w:color w:val="000000" w:themeColor="text1"/>
          <w:sz w:val="24"/>
          <w:szCs w:val="24"/>
        </w:rPr>
        <w:t>)</w:t>
      </w:r>
    </w:p>
    <w:p w14:paraId="1B3E7F1B" w14:textId="77777777" w:rsidR="00263C19" w:rsidRDefault="00000000">
      <w:pPr>
        <w:spacing w:line="360" w:lineRule="auto"/>
        <w:jc w:val="both"/>
        <w:rPr>
          <w:rFonts w:ascii="Arial" w:hAnsi="Arial" w:cs="Arial"/>
          <w:b/>
          <w:bCs/>
          <w:sz w:val="24"/>
          <w:szCs w:val="24"/>
        </w:rPr>
      </w:pPr>
      <w:r>
        <w:rPr>
          <w:rFonts w:ascii="Arial" w:hAnsi="Arial" w:cs="Arial"/>
          <w:b/>
          <w:bCs/>
          <w:sz w:val="24"/>
          <w:szCs w:val="24"/>
        </w:rPr>
        <w:t>cc. Befassung durch den Vermittlungsausschuss</w:t>
      </w:r>
    </w:p>
    <w:p w14:paraId="479EF577" w14:textId="77777777" w:rsidR="00263C19" w:rsidRDefault="00000000">
      <w:pPr>
        <w:pStyle w:val="Listenabsatz"/>
        <w:numPr>
          <w:ilvl w:val="0"/>
          <w:numId w:val="21"/>
        </w:numPr>
        <w:spacing w:line="360" w:lineRule="auto"/>
        <w:jc w:val="both"/>
        <w:rPr>
          <w:rFonts w:ascii="Arial" w:hAnsi="Arial" w:cs="Arial"/>
          <w:b/>
          <w:sz w:val="24"/>
          <w:szCs w:val="24"/>
        </w:rPr>
      </w:pPr>
      <w:r>
        <w:rPr>
          <w:rFonts w:ascii="Arial" w:hAnsi="Arial" w:cs="Arial"/>
          <w:b/>
          <w:sz w:val="24"/>
          <w:szCs w:val="24"/>
        </w:rPr>
        <w:t>P! Schädlichkeit der Fristüberschreitung, vgl. Art. 77 II 1 GG</w:t>
      </w:r>
    </w:p>
    <w:p w14:paraId="383BBB16" w14:textId="77777777" w:rsidR="00263C19" w:rsidRDefault="00000000">
      <w:pPr>
        <w:spacing w:line="360" w:lineRule="auto"/>
        <w:ind w:left="360"/>
        <w:jc w:val="both"/>
        <w:rPr>
          <w:rFonts w:ascii="Arial" w:hAnsi="Arial" w:cs="Arial"/>
          <w:sz w:val="24"/>
          <w:szCs w:val="28"/>
        </w:rPr>
      </w:pPr>
      <w:r>
        <w:rPr>
          <w:rFonts w:ascii="Arial" w:hAnsi="Arial" w:cs="Arial"/>
          <w:sz w:val="24"/>
          <w:szCs w:val="24"/>
        </w:rPr>
        <w:t xml:space="preserve">Ob die Abweichung von der Dreiwochenfrist einen verfassungsrechtlich relevanten Fehler darstellt, bemisst sich danach, ob es sich um eine zwingende Vorschrift oder um eine Ordnungsvorschrift handelt. Eine Vorschrift ist dann zwingend, wenn ohne ihre Beachtung insbesondere Verfahrensrechte anderer Beteiligter verletzt werden. Schutzzweck der Dreiwochenfrist: Zum einen soll eine Verfahrensbeschleunigung sichergestellt werden; zum anderen soll der BT nach Ablauf der Frist die Planungssicherheit bekommen, dass das von ihm beschlossene Gesetz nicht durch die Einberufung eines Vermittlungsausschusses noch einmal geändert werden könnte. </w:t>
      </w:r>
      <w:r>
        <w:rPr>
          <w:rFonts w:ascii="Arial" w:hAnsi="Arial" w:cs="Arial"/>
          <w:sz w:val="24"/>
          <w:szCs w:val="28"/>
        </w:rPr>
        <w:t xml:space="preserve">Gerade aus letzterem Schutzzweck könnte resultieren, dass es sich um eine zwingende Norm handelt. </w:t>
      </w:r>
    </w:p>
    <w:p w14:paraId="66850133" w14:textId="77777777" w:rsidR="00263C19" w:rsidRDefault="00000000">
      <w:pPr>
        <w:spacing w:line="360" w:lineRule="auto"/>
        <w:ind w:left="360"/>
        <w:jc w:val="both"/>
        <w:rPr>
          <w:rFonts w:ascii="Arial" w:hAnsi="Arial" w:cs="Arial"/>
          <w:sz w:val="24"/>
          <w:szCs w:val="28"/>
        </w:rPr>
      </w:pPr>
      <w:r>
        <w:rPr>
          <w:rFonts w:ascii="Arial" w:hAnsi="Arial" w:cs="Arial"/>
          <w:sz w:val="24"/>
          <w:szCs w:val="28"/>
        </w:rPr>
        <w:t>Aber: Es muss in Rechnung gestellt werden, dass sich der BT, indem er dem Gesuch auf Einberufung des Ausschusses folgeleistet und es durch Entsendung von Mitgliedern konkludent unterstützt, freiwillig auf diesen Schutz verzichtet hat, sodass im konkreten Fall die Verfristung unschädlich ist.</w:t>
      </w:r>
    </w:p>
    <w:p w14:paraId="178BE2F0" w14:textId="77777777" w:rsidR="00263C19" w:rsidRDefault="00263C19">
      <w:pPr>
        <w:spacing w:line="360" w:lineRule="auto"/>
        <w:ind w:left="360"/>
        <w:rPr>
          <w:rFonts w:ascii="Arial" w:hAnsi="Arial" w:cs="Arial"/>
          <w:sz w:val="24"/>
          <w:szCs w:val="28"/>
        </w:rPr>
      </w:pPr>
    </w:p>
    <w:p w14:paraId="6C8DC9C2" w14:textId="77777777" w:rsidR="00263C19" w:rsidRDefault="00000000">
      <w:pPr>
        <w:pStyle w:val="Listenabsatz"/>
        <w:numPr>
          <w:ilvl w:val="0"/>
          <w:numId w:val="21"/>
        </w:numPr>
        <w:spacing w:line="360" w:lineRule="auto"/>
        <w:rPr>
          <w:rFonts w:ascii="Arial" w:hAnsi="Arial" w:cs="Arial"/>
          <w:b/>
          <w:bCs/>
          <w:sz w:val="24"/>
          <w:szCs w:val="24"/>
        </w:rPr>
      </w:pPr>
      <w:r>
        <w:rPr>
          <w:rFonts w:ascii="Arial" w:hAnsi="Arial" w:cs="Arial"/>
          <w:b/>
          <w:bCs/>
          <w:sz w:val="24"/>
          <w:szCs w:val="24"/>
        </w:rPr>
        <w:t>P! Kompetenzüberschreitung durch den Vermittlungsausschuss</w:t>
      </w:r>
    </w:p>
    <w:p w14:paraId="1681F6A3" w14:textId="77777777" w:rsidR="00263C19" w:rsidRDefault="00000000">
      <w:pPr>
        <w:spacing w:line="360" w:lineRule="auto"/>
        <w:ind w:left="360"/>
        <w:jc w:val="both"/>
        <w:rPr>
          <w:rFonts w:ascii="Arial" w:hAnsi="Arial" w:cs="Arial"/>
          <w:bCs/>
          <w:sz w:val="24"/>
          <w:szCs w:val="24"/>
        </w:rPr>
      </w:pPr>
      <w:r>
        <w:rPr>
          <w:rFonts w:ascii="Arial" w:hAnsi="Arial" w:cs="Arial"/>
          <w:bCs/>
          <w:sz w:val="24"/>
          <w:szCs w:val="24"/>
        </w:rPr>
        <w:t>Konkret: Änderungsvorschlag noch vom Beratungsauftrag (vgl. Art. 77 II 1 „für die gemeinsame Beratung“) erfasst?</w:t>
      </w:r>
    </w:p>
    <w:p w14:paraId="12DF9912" w14:textId="77777777" w:rsidR="00263C19" w:rsidRDefault="00000000">
      <w:pPr>
        <w:spacing w:line="360" w:lineRule="auto"/>
        <w:ind w:left="360"/>
        <w:jc w:val="both"/>
        <w:rPr>
          <w:rFonts w:ascii="Arial" w:hAnsi="Arial" w:cs="Arial"/>
          <w:color w:val="000000" w:themeColor="text1"/>
          <w:sz w:val="24"/>
          <w:szCs w:val="24"/>
        </w:rPr>
      </w:pPr>
      <w:r>
        <w:rPr>
          <w:rFonts w:ascii="Arial" w:hAnsi="Arial" w:cs="Arial"/>
          <w:sz w:val="24"/>
          <w:szCs w:val="24"/>
        </w:rPr>
        <w:lastRenderedPageBreak/>
        <w:t xml:space="preserve">Der Vermittlungsausschuss dient der gemeinsamen Beratung, vgl. Art. 77 II 1 GG. Ihm steht </w:t>
      </w:r>
      <w:r>
        <w:rPr>
          <w:rFonts w:ascii="Arial" w:hAnsi="Arial" w:cs="Arial"/>
          <w:b/>
          <w:bCs/>
          <w:sz w:val="24"/>
          <w:szCs w:val="24"/>
        </w:rPr>
        <w:t>kein eigenes Initiativrecht</w:t>
      </w:r>
      <w:r>
        <w:rPr>
          <w:rFonts w:ascii="Arial" w:hAnsi="Arial" w:cs="Arial"/>
          <w:sz w:val="24"/>
          <w:szCs w:val="24"/>
        </w:rPr>
        <w:t xml:space="preserve">, sondern eben nur ein Beratungsrecht zu, vgl. Art. 76 I GG. Aus dieser grammatikalisch-systematischen Auslegung resultiert, dass er das Grundkonstrukt eines Gesetzes nicht antasten darf, sondern nur zu kleineren Modifikationen des beschlossenen Gesetzes (Art. 77 I 1 GG) berechtigt ist </w:t>
      </w:r>
      <w:r>
        <w:rPr>
          <w:rFonts w:ascii="Arial" w:hAnsi="Arial" w:cs="Arial"/>
          <w:color w:val="000000" w:themeColor="text1"/>
          <w:sz w:val="24"/>
          <w:szCs w:val="24"/>
        </w:rPr>
        <w:t xml:space="preserve">(ausführlich </w:t>
      </w:r>
      <w:r>
        <w:rPr>
          <w:rFonts w:ascii="Arial" w:hAnsi="Arial" w:cs="Arial"/>
          <w:i/>
          <w:iCs/>
          <w:color w:val="000000" w:themeColor="text1"/>
          <w:sz w:val="24"/>
          <w:szCs w:val="24"/>
        </w:rPr>
        <w:t>Degenhart</w:t>
      </w:r>
      <w:r>
        <w:rPr>
          <w:rFonts w:ascii="Arial" w:hAnsi="Arial" w:cs="Arial"/>
          <w:color w:val="000000" w:themeColor="text1"/>
          <w:sz w:val="24"/>
          <w:szCs w:val="24"/>
        </w:rPr>
        <w:t xml:space="preserve">, Staatsorganisationsrecht, 39. Auflage 2023, Rn. 225 ff.; BeckOK GG/Dietlein, 58. Ed. 15.6.2024, GG Art. 77 Rn. 38 ff., beck-online). </w:t>
      </w:r>
      <w:r>
        <w:rPr>
          <w:rFonts w:ascii="Arial" w:hAnsi="Arial" w:cs="Arial"/>
          <w:color w:val="000000" w:themeColor="text1"/>
          <w:sz w:val="24"/>
          <w:szCs w:val="24"/>
        </w:rPr>
        <w:br/>
      </w:r>
      <w:r>
        <w:rPr>
          <w:rFonts w:ascii="Arial" w:hAnsi="Arial" w:cs="Arial"/>
          <w:sz w:val="24"/>
          <w:szCs w:val="24"/>
        </w:rPr>
        <w:t>Es muss immer die Gesetzesidentität gewahrt bleiben und die Änderung dem Parlament zurechenbar sein (</w:t>
      </w:r>
      <w:r>
        <w:rPr>
          <w:rFonts w:ascii="Arial" w:hAnsi="Arial" w:cs="Arial"/>
          <w:color w:val="000000" w:themeColor="text1"/>
          <w:sz w:val="24"/>
          <w:szCs w:val="24"/>
        </w:rPr>
        <w:t>BVerfG NVwZ 2019, 870, 871, beck-online).</w:t>
      </w:r>
    </w:p>
    <w:p w14:paraId="26FFF074" w14:textId="77777777" w:rsidR="00263C19" w:rsidRDefault="00263C19">
      <w:pPr>
        <w:spacing w:line="360" w:lineRule="auto"/>
        <w:ind w:left="360"/>
        <w:jc w:val="both"/>
        <w:rPr>
          <w:rFonts w:ascii="Arial" w:hAnsi="Arial" w:cs="Arial"/>
          <w:sz w:val="24"/>
          <w:szCs w:val="24"/>
        </w:rPr>
      </w:pPr>
    </w:p>
    <w:p w14:paraId="43B84C5C" w14:textId="77777777" w:rsidR="00263C19" w:rsidRDefault="00000000">
      <w:pPr>
        <w:spacing w:line="360" w:lineRule="auto"/>
        <w:ind w:left="360"/>
        <w:jc w:val="both"/>
        <w:rPr>
          <w:rFonts w:ascii="Arial" w:hAnsi="Arial" w:cs="Arial"/>
          <w:sz w:val="24"/>
          <w:szCs w:val="24"/>
        </w:rPr>
      </w:pPr>
      <w:r>
        <w:rPr>
          <w:rFonts w:ascii="Arial" w:hAnsi="Arial" w:cs="Arial"/>
          <w:sz w:val="24"/>
          <w:szCs w:val="24"/>
        </w:rPr>
        <w:t>Die zusätzliche Hymne lässt die Gesetzesidentität unangetastet, da es nur um einen Regelungsgegenstand erweitert wird (a. A. gut vertretbar. So könnte man vertreten, dass durch die Europahymne als Zeichen der europäischen Integration die ursprüngliche Gesetzesintention [Stärkung der „nationalen Identität Deutschlands“] eher abgeschwächt würde. Das hätte zur Folge, dass das Gesetz unter diesem Aspekt schon verfassungswidrig ist.)</w:t>
      </w:r>
    </w:p>
    <w:p w14:paraId="1056446F" w14:textId="77777777" w:rsidR="00263C19" w:rsidRDefault="00263C19">
      <w:pPr>
        <w:spacing w:line="360" w:lineRule="auto"/>
        <w:ind w:left="360"/>
        <w:jc w:val="both"/>
        <w:rPr>
          <w:rFonts w:ascii="Arial" w:hAnsi="Arial" w:cs="Arial"/>
          <w:bCs/>
          <w:sz w:val="24"/>
          <w:szCs w:val="24"/>
        </w:rPr>
      </w:pPr>
    </w:p>
    <w:p w14:paraId="588C1616" w14:textId="77777777" w:rsidR="00263C19" w:rsidRDefault="00000000">
      <w:pPr>
        <w:spacing w:line="360" w:lineRule="auto"/>
        <w:jc w:val="both"/>
        <w:rPr>
          <w:rFonts w:ascii="Arial" w:hAnsi="Arial" w:cs="Arial"/>
          <w:b/>
          <w:sz w:val="24"/>
          <w:szCs w:val="24"/>
        </w:rPr>
      </w:pPr>
      <w:r>
        <w:rPr>
          <w:rFonts w:ascii="Arial" w:hAnsi="Arial" w:cs="Arial"/>
          <w:b/>
          <w:sz w:val="24"/>
          <w:szCs w:val="24"/>
        </w:rPr>
        <w:t>dd. Erneute Beschlussfassung im BT Art. 77 II 4 GG, (+)</w:t>
      </w:r>
    </w:p>
    <w:p w14:paraId="113839F0" w14:textId="77777777" w:rsidR="00263C19" w:rsidRDefault="00263C19">
      <w:pPr>
        <w:spacing w:line="360" w:lineRule="auto"/>
        <w:jc w:val="both"/>
        <w:rPr>
          <w:rFonts w:ascii="Arial" w:hAnsi="Arial" w:cs="Arial"/>
          <w:bCs/>
          <w:sz w:val="24"/>
          <w:szCs w:val="24"/>
        </w:rPr>
      </w:pPr>
    </w:p>
    <w:p w14:paraId="35136DE7" w14:textId="77777777" w:rsidR="00263C19" w:rsidRDefault="00000000">
      <w:pPr>
        <w:spacing w:line="360" w:lineRule="auto"/>
        <w:jc w:val="both"/>
        <w:rPr>
          <w:rFonts w:ascii="Arial" w:hAnsi="Arial" w:cs="Arial"/>
          <w:b/>
          <w:sz w:val="24"/>
          <w:szCs w:val="24"/>
        </w:rPr>
      </w:pPr>
      <w:r>
        <w:rPr>
          <w:rFonts w:ascii="Arial" w:hAnsi="Arial" w:cs="Arial"/>
          <w:b/>
          <w:sz w:val="24"/>
          <w:szCs w:val="24"/>
        </w:rPr>
        <w:t>ee. Mitwirkung des Bundesrates, Art. 50, 77 III GG</w:t>
      </w:r>
    </w:p>
    <w:p w14:paraId="456BF5DC" w14:textId="77777777" w:rsidR="00263C19" w:rsidRDefault="00000000">
      <w:pPr>
        <w:pStyle w:val="Listenabsatz"/>
        <w:numPr>
          <w:ilvl w:val="0"/>
          <w:numId w:val="22"/>
        </w:numPr>
        <w:spacing w:line="360" w:lineRule="auto"/>
        <w:jc w:val="both"/>
        <w:rPr>
          <w:rFonts w:ascii="Arial" w:hAnsi="Arial" w:cs="Arial"/>
          <w:bCs/>
          <w:sz w:val="24"/>
          <w:szCs w:val="24"/>
        </w:rPr>
      </w:pPr>
      <w:r>
        <w:rPr>
          <w:rFonts w:ascii="Arial" w:hAnsi="Arial" w:cs="Arial"/>
          <w:bCs/>
          <w:sz w:val="24"/>
          <w:szCs w:val="24"/>
        </w:rPr>
        <w:t>Hier: Einstimmiger (!) Einspruch (Art. 77 III GG) gegen das Gesetz</w:t>
      </w:r>
    </w:p>
    <w:p w14:paraId="59C3C293" w14:textId="77777777" w:rsidR="00263C19" w:rsidRDefault="00000000">
      <w:pPr>
        <w:spacing w:line="360" w:lineRule="auto"/>
        <w:jc w:val="both"/>
        <w:rPr>
          <w:rFonts w:ascii="Arial" w:hAnsi="Arial" w:cs="Arial"/>
          <w:bCs/>
          <w:sz w:val="24"/>
          <w:szCs w:val="24"/>
        </w:rPr>
      </w:pPr>
      <w:r>
        <w:rPr>
          <w:rFonts w:ascii="Arial" w:hAnsi="Arial" w:cs="Arial"/>
          <w:bCs/>
          <w:sz w:val="24"/>
          <w:szCs w:val="24"/>
        </w:rPr>
        <w:t>Beachte: Zurückweisung des Einspruchs durch Beharrungsbeschluss</w:t>
      </w:r>
      <w:r>
        <w:rPr>
          <w:rFonts w:ascii="Arial" w:hAnsi="Arial" w:cs="Arial"/>
          <w:sz w:val="24"/>
          <w:szCs w:val="24"/>
        </w:rPr>
        <w:t>, vgl. Art. 77 IV 2 GG</w:t>
      </w:r>
      <w:r>
        <w:rPr>
          <w:rFonts w:ascii="Arial" w:hAnsi="Arial" w:cs="Arial"/>
          <w:bCs/>
          <w:sz w:val="24"/>
          <w:szCs w:val="24"/>
        </w:rPr>
        <w:t>?</w:t>
      </w:r>
    </w:p>
    <w:p w14:paraId="460C7072" w14:textId="77777777" w:rsidR="00263C19" w:rsidRDefault="00000000">
      <w:pPr>
        <w:spacing w:line="360" w:lineRule="auto"/>
        <w:jc w:val="both"/>
        <w:rPr>
          <w:rFonts w:ascii="Arial" w:hAnsi="Arial" w:cs="Arial"/>
          <w:sz w:val="24"/>
          <w:szCs w:val="24"/>
        </w:rPr>
      </w:pPr>
      <w:r>
        <w:rPr>
          <w:rFonts w:ascii="Arial" w:hAnsi="Arial" w:cs="Arial"/>
          <w:sz w:val="24"/>
          <w:szCs w:val="24"/>
        </w:rPr>
        <w:t xml:space="preserve">Voraussetzung: Zwei Drittel der Stimmen, gleichzeitig aber auch die Mehrheit der Mitglieder des BTs müssten für die Zurückweisung des Einspruches gestimmt haben. </w:t>
      </w:r>
    </w:p>
    <w:p w14:paraId="6642A698" w14:textId="77777777" w:rsidR="00263C19" w:rsidRDefault="00000000">
      <w:pPr>
        <w:spacing w:line="360" w:lineRule="auto"/>
        <w:jc w:val="both"/>
        <w:rPr>
          <w:rFonts w:ascii="Arial" w:hAnsi="Arial" w:cs="Arial"/>
          <w:sz w:val="24"/>
          <w:szCs w:val="24"/>
        </w:rPr>
      </w:pPr>
      <w:r>
        <w:rPr>
          <w:rFonts w:ascii="Arial" w:hAnsi="Arial" w:cs="Arial"/>
          <w:sz w:val="24"/>
          <w:szCs w:val="24"/>
        </w:rPr>
        <w:t xml:space="preserve">Es haben 380 Abgeordnete für die Zurückweisung gestimmt, sodass die Mehrheit der Mitglieder des BTs (630) für die Zurückweisung gestimmt haben. Um dem qualifizierten Stimmenmehrheitserfordernis zu genügen, müssten aber auch 400 von den 600 Anwesenden für den Zurückweisungsbeschluss gestimmt haben (vgl. Art. 42 II 1, </w:t>
      </w:r>
      <w:r>
        <w:rPr>
          <w:rFonts w:ascii="Arial" w:hAnsi="Arial" w:cs="Arial"/>
          <w:sz w:val="24"/>
          <w:szCs w:val="24"/>
        </w:rPr>
        <w:lastRenderedPageBreak/>
        <w:t>2. Hs. GG). Es waren indes nur 380, sodass kein wirksamer Beharrungsbeschluss gefasst wurde. Der Einspruch wurde also nicht mit der erforderlichen Mehrheit zurückgewiesen (Art. 77 IV 2 GG), sodass kein Gesetz zustande gekommen ist, vgl. Art. 78 Alt. 5 GG.</w:t>
      </w:r>
    </w:p>
    <w:p w14:paraId="25FE059D" w14:textId="77777777" w:rsidR="00263C19" w:rsidRDefault="00000000">
      <w:pPr>
        <w:rPr>
          <w:rFonts w:ascii="Arial" w:hAnsi="Arial" w:cs="Arial"/>
          <w:sz w:val="24"/>
          <w:szCs w:val="24"/>
        </w:rPr>
      </w:pPr>
      <w:r>
        <w:rPr>
          <w:rFonts w:ascii="Arial" w:hAnsi="Arial" w:cs="Arial"/>
          <w:sz w:val="24"/>
          <w:szCs w:val="24"/>
        </w:rPr>
        <w:t>Das Gesetz ist mithin insgesamt formell verfassungswidrig.</w:t>
      </w:r>
    </w:p>
    <w:p w14:paraId="1D2A1D32" w14:textId="77777777" w:rsidR="00263C19" w:rsidRDefault="00263C19">
      <w:pPr>
        <w:spacing w:line="360" w:lineRule="auto"/>
        <w:jc w:val="both"/>
        <w:rPr>
          <w:rFonts w:ascii="Arial" w:hAnsi="Arial" w:cs="Arial"/>
          <w:bCs/>
          <w:sz w:val="24"/>
          <w:szCs w:val="24"/>
        </w:rPr>
      </w:pPr>
    </w:p>
    <w:p w14:paraId="73AED3BD" w14:textId="77777777" w:rsidR="00263C19" w:rsidRDefault="00000000">
      <w:pPr>
        <w:spacing w:line="360" w:lineRule="auto"/>
        <w:jc w:val="both"/>
        <w:rPr>
          <w:rFonts w:ascii="Arial" w:hAnsi="Arial" w:cs="Arial"/>
          <w:b/>
          <w:sz w:val="24"/>
          <w:szCs w:val="24"/>
        </w:rPr>
      </w:pPr>
      <w:r>
        <w:rPr>
          <w:rFonts w:ascii="Arial" w:hAnsi="Arial" w:cs="Arial"/>
          <w:b/>
          <w:sz w:val="24"/>
          <w:szCs w:val="24"/>
        </w:rPr>
        <w:t>II. Materielle Verfassungswidrigkeit</w:t>
      </w:r>
    </w:p>
    <w:p w14:paraId="14FDEBEE" w14:textId="77777777" w:rsidR="00263C19" w:rsidRDefault="00000000">
      <w:pPr>
        <w:spacing w:line="360" w:lineRule="auto"/>
        <w:jc w:val="both"/>
        <w:rPr>
          <w:rFonts w:ascii="Arial" w:hAnsi="Arial" w:cs="Arial"/>
          <w:b/>
          <w:sz w:val="24"/>
          <w:szCs w:val="24"/>
        </w:rPr>
      </w:pPr>
      <w:r>
        <w:rPr>
          <w:rFonts w:ascii="Arial" w:hAnsi="Arial" w:cs="Arial"/>
          <w:b/>
          <w:sz w:val="24"/>
          <w:szCs w:val="24"/>
        </w:rPr>
        <w:t>1. Verstoß gegen Art. 20 I GG</w:t>
      </w:r>
    </w:p>
    <w:p w14:paraId="6C50BD16" w14:textId="77777777" w:rsidR="00263C19" w:rsidRDefault="00000000">
      <w:pPr>
        <w:spacing w:line="360" w:lineRule="auto"/>
        <w:jc w:val="both"/>
        <w:rPr>
          <w:rFonts w:ascii="Arial" w:hAnsi="Arial" w:cs="Arial"/>
          <w:bCs/>
          <w:sz w:val="24"/>
          <w:szCs w:val="24"/>
        </w:rPr>
      </w:pPr>
      <w:r>
        <w:rPr>
          <w:rFonts w:ascii="Arial" w:hAnsi="Arial" w:cs="Arial"/>
          <w:bCs/>
          <w:sz w:val="24"/>
          <w:szCs w:val="24"/>
        </w:rPr>
        <w:t xml:space="preserve">Die „Kaiserhymne“ als Symbol einer autokratischen Monarchie könnte mit dem Republikprinzip unvereinbar sein. </w:t>
      </w:r>
      <w:r>
        <w:rPr>
          <w:rFonts w:ascii="Wingdings" w:eastAsia="Wingdings" w:hAnsi="Wingdings" w:cs="Wingdings"/>
          <w:bCs/>
          <w:sz w:val="24"/>
          <w:szCs w:val="24"/>
        </w:rPr>
        <w:t>à</w:t>
      </w:r>
      <w:r>
        <w:rPr>
          <w:rFonts w:ascii="Arial" w:hAnsi="Arial" w:cs="Arial"/>
          <w:bCs/>
          <w:sz w:val="24"/>
          <w:szCs w:val="24"/>
        </w:rPr>
        <w:t xml:space="preserve"> Wohl ja, da das GG als Gegenentwurf zu totalitären Staatsapparaten gilt (vgl. BVerfGE Band 124, 300 [dort allerdings Bezugnahme auf 1933-1945]).</w:t>
      </w:r>
    </w:p>
    <w:p w14:paraId="7072D499" w14:textId="77777777" w:rsidR="00263C19" w:rsidRDefault="00263C19">
      <w:pPr>
        <w:spacing w:line="360" w:lineRule="auto"/>
        <w:jc w:val="both"/>
        <w:rPr>
          <w:rFonts w:ascii="Arial" w:hAnsi="Arial" w:cs="Arial"/>
          <w:bCs/>
          <w:sz w:val="24"/>
          <w:szCs w:val="24"/>
        </w:rPr>
      </w:pPr>
    </w:p>
    <w:p w14:paraId="0052E919" w14:textId="77777777" w:rsidR="00263C19" w:rsidRDefault="00000000">
      <w:pPr>
        <w:spacing w:line="360" w:lineRule="auto"/>
        <w:jc w:val="both"/>
        <w:rPr>
          <w:rFonts w:ascii="Arial" w:hAnsi="Arial" w:cs="Arial"/>
          <w:b/>
          <w:sz w:val="24"/>
          <w:szCs w:val="24"/>
        </w:rPr>
      </w:pPr>
      <w:r>
        <w:rPr>
          <w:rFonts w:ascii="Arial" w:hAnsi="Arial" w:cs="Arial"/>
          <w:b/>
          <w:sz w:val="24"/>
          <w:szCs w:val="24"/>
        </w:rPr>
        <w:t>2. Ergebnis</w:t>
      </w:r>
    </w:p>
    <w:p w14:paraId="07C50CC6" w14:textId="77777777" w:rsidR="00263C19" w:rsidRDefault="00000000">
      <w:pPr>
        <w:spacing w:line="360" w:lineRule="auto"/>
        <w:jc w:val="both"/>
        <w:rPr>
          <w:rFonts w:ascii="Arial" w:hAnsi="Arial" w:cs="Arial"/>
          <w:bCs/>
          <w:sz w:val="24"/>
          <w:szCs w:val="24"/>
        </w:rPr>
      </w:pPr>
      <w:r>
        <w:rPr>
          <w:rFonts w:ascii="Arial" w:hAnsi="Arial" w:cs="Arial"/>
          <w:bCs/>
          <w:sz w:val="24"/>
          <w:szCs w:val="24"/>
        </w:rPr>
        <w:t>Das Hymnengesetz verstößt gegen Art. 20 I GG.</w:t>
      </w:r>
    </w:p>
    <w:p w14:paraId="2D87AD3F" w14:textId="77777777" w:rsidR="00263C19" w:rsidRDefault="00263C19">
      <w:pPr>
        <w:spacing w:line="360" w:lineRule="auto"/>
        <w:jc w:val="both"/>
        <w:rPr>
          <w:rFonts w:ascii="Arial" w:hAnsi="Arial" w:cs="Arial"/>
          <w:bCs/>
          <w:sz w:val="24"/>
          <w:szCs w:val="24"/>
        </w:rPr>
      </w:pPr>
    </w:p>
    <w:p w14:paraId="490E1D46" w14:textId="77777777" w:rsidR="00263C19" w:rsidRDefault="00000000">
      <w:pPr>
        <w:spacing w:line="360" w:lineRule="auto"/>
        <w:jc w:val="both"/>
        <w:rPr>
          <w:rFonts w:ascii="Arial" w:hAnsi="Arial" w:cs="Arial"/>
          <w:b/>
          <w:sz w:val="24"/>
          <w:szCs w:val="24"/>
        </w:rPr>
      </w:pPr>
      <w:r>
        <w:rPr>
          <w:rFonts w:ascii="Arial" w:hAnsi="Arial" w:cs="Arial"/>
          <w:b/>
          <w:sz w:val="24"/>
          <w:szCs w:val="24"/>
        </w:rPr>
        <w:t>III. Zwischenergebnis</w:t>
      </w:r>
    </w:p>
    <w:p w14:paraId="3D85D764" w14:textId="77777777" w:rsidR="00263C19" w:rsidRDefault="00000000">
      <w:pPr>
        <w:spacing w:line="360" w:lineRule="auto"/>
        <w:jc w:val="both"/>
        <w:rPr>
          <w:rFonts w:ascii="Arial" w:hAnsi="Arial" w:cs="Arial"/>
          <w:bCs/>
          <w:sz w:val="24"/>
          <w:szCs w:val="24"/>
        </w:rPr>
      </w:pPr>
      <w:r>
        <w:rPr>
          <w:rFonts w:ascii="Arial" w:hAnsi="Arial" w:cs="Arial"/>
          <w:bCs/>
          <w:sz w:val="24"/>
          <w:szCs w:val="24"/>
        </w:rPr>
        <w:t>Das Gesetz ist sowohl formell als auch materiell verfassungswidrig.</w:t>
      </w:r>
    </w:p>
    <w:p w14:paraId="52A4E81A" w14:textId="77777777" w:rsidR="00263C19" w:rsidRDefault="00263C19">
      <w:pPr>
        <w:spacing w:line="360" w:lineRule="auto"/>
        <w:jc w:val="both"/>
        <w:rPr>
          <w:rFonts w:ascii="Arial" w:hAnsi="Arial" w:cs="Arial"/>
          <w:bCs/>
          <w:sz w:val="24"/>
          <w:szCs w:val="24"/>
        </w:rPr>
      </w:pPr>
    </w:p>
    <w:p w14:paraId="1B68FFF2" w14:textId="77777777" w:rsidR="00263C19" w:rsidRDefault="00000000">
      <w:pPr>
        <w:spacing w:line="360" w:lineRule="auto"/>
        <w:jc w:val="both"/>
        <w:rPr>
          <w:rFonts w:ascii="Arial" w:hAnsi="Arial" w:cs="Arial"/>
          <w:b/>
          <w:sz w:val="24"/>
          <w:szCs w:val="24"/>
        </w:rPr>
      </w:pPr>
      <w:r>
        <w:rPr>
          <w:rFonts w:ascii="Arial" w:hAnsi="Arial" w:cs="Arial"/>
          <w:b/>
          <w:sz w:val="24"/>
          <w:szCs w:val="24"/>
        </w:rPr>
        <w:t>C. Ergebnis</w:t>
      </w:r>
    </w:p>
    <w:p w14:paraId="05FB7F3E" w14:textId="40696C6F" w:rsidR="00263C19" w:rsidRPr="00E6747D" w:rsidRDefault="00000000" w:rsidP="00E6747D">
      <w:pPr>
        <w:spacing w:line="360" w:lineRule="auto"/>
        <w:jc w:val="both"/>
        <w:rPr>
          <w:rFonts w:ascii="Arial" w:hAnsi="Arial" w:cs="Arial"/>
          <w:bCs/>
          <w:sz w:val="24"/>
          <w:szCs w:val="24"/>
        </w:rPr>
      </w:pPr>
      <w:r>
        <w:rPr>
          <w:rFonts w:ascii="Arial" w:hAnsi="Arial" w:cs="Arial"/>
          <w:bCs/>
          <w:sz w:val="24"/>
          <w:szCs w:val="24"/>
        </w:rPr>
        <w:t>Der Antrag des Landes L ist zulässig und begründet und hat daher Erfolg.</w:t>
      </w:r>
    </w:p>
    <w:sectPr w:rsidR="00263C19" w:rsidRPr="00E6747D">
      <w:footerReference w:type="default" r:id="rId8"/>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0EC9" w14:textId="77777777" w:rsidR="00180A06" w:rsidRDefault="00180A06">
      <w:pPr>
        <w:spacing w:after="0" w:line="240" w:lineRule="auto"/>
      </w:pPr>
      <w:r>
        <w:separator/>
      </w:r>
    </w:p>
  </w:endnote>
  <w:endnote w:type="continuationSeparator" w:id="0">
    <w:p w14:paraId="370A04E6" w14:textId="77777777" w:rsidR="00180A06" w:rsidRDefault="0018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Content>
      <w:p w14:paraId="1DD3BF2C" w14:textId="77777777" w:rsidR="00263C19" w:rsidRDefault="00000000">
        <w:pPr>
          <w:pStyle w:val="Fuzeile"/>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6747" w14:textId="77777777" w:rsidR="00180A06" w:rsidRDefault="00180A06">
      <w:pPr>
        <w:spacing w:after="0" w:line="240" w:lineRule="auto"/>
      </w:pPr>
      <w:r>
        <w:separator/>
      </w:r>
    </w:p>
  </w:footnote>
  <w:footnote w:type="continuationSeparator" w:id="0">
    <w:p w14:paraId="7F734FE9" w14:textId="77777777" w:rsidR="00180A06" w:rsidRDefault="00180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4A1"/>
    <w:multiLevelType w:val="multilevel"/>
    <w:tmpl w:val="68CE135A"/>
    <w:lvl w:ilvl="0">
      <w:start w:val="28"/>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C483C"/>
    <w:multiLevelType w:val="multilevel"/>
    <w:tmpl w:val="B484CE2A"/>
    <w:lvl w:ilvl="0">
      <w:start w:val="1"/>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500923"/>
    <w:multiLevelType w:val="multilevel"/>
    <w:tmpl w:val="79AA0CE4"/>
    <w:lvl w:ilvl="0">
      <w:start w:val="2"/>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14BE8"/>
    <w:multiLevelType w:val="multilevel"/>
    <w:tmpl w:val="78EA3AB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EC34B5"/>
    <w:multiLevelType w:val="multilevel"/>
    <w:tmpl w:val="8CCE65A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0FC1C3B"/>
    <w:multiLevelType w:val="multilevel"/>
    <w:tmpl w:val="5EBA680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0229D5"/>
    <w:multiLevelType w:val="multilevel"/>
    <w:tmpl w:val="354858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58D5E5E"/>
    <w:multiLevelType w:val="multilevel"/>
    <w:tmpl w:val="30D00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CF231E"/>
    <w:multiLevelType w:val="multilevel"/>
    <w:tmpl w:val="C60A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DF0AE7"/>
    <w:multiLevelType w:val="multilevel"/>
    <w:tmpl w:val="E9864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C11CBA"/>
    <w:multiLevelType w:val="multilevel"/>
    <w:tmpl w:val="8E1EA120"/>
    <w:lvl w:ilvl="0">
      <w:start w:val="28"/>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295E72"/>
    <w:multiLevelType w:val="multilevel"/>
    <w:tmpl w:val="F9EED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FB4F6F"/>
    <w:multiLevelType w:val="multilevel"/>
    <w:tmpl w:val="42A41E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B81E85"/>
    <w:multiLevelType w:val="multilevel"/>
    <w:tmpl w:val="326A6F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B30310"/>
    <w:multiLevelType w:val="multilevel"/>
    <w:tmpl w:val="5EFC8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BC2CFD"/>
    <w:multiLevelType w:val="multilevel"/>
    <w:tmpl w:val="543E3598"/>
    <w:lvl w:ilvl="0">
      <w:start w:val="29"/>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0F6FCF"/>
    <w:multiLevelType w:val="multilevel"/>
    <w:tmpl w:val="3A0C7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932C0A"/>
    <w:multiLevelType w:val="multilevel"/>
    <w:tmpl w:val="F4504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9866E5"/>
    <w:multiLevelType w:val="multilevel"/>
    <w:tmpl w:val="5BCC22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542929"/>
    <w:multiLevelType w:val="multilevel"/>
    <w:tmpl w:val="6B589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FB5D0B"/>
    <w:multiLevelType w:val="multilevel"/>
    <w:tmpl w:val="705A9CC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58632D"/>
    <w:multiLevelType w:val="multilevel"/>
    <w:tmpl w:val="02944FBC"/>
    <w:lvl w:ilvl="0">
      <w:start w:val="3"/>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877839"/>
    <w:multiLevelType w:val="multilevel"/>
    <w:tmpl w:val="E8C69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C116EE"/>
    <w:multiLevelType w:val="multilevel"/>
    <w:tmpl w:val="9688672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7DF04486"/>
    <w:multiLevelType w:val="multilevel"/>
    <w:tmpl w:val="3B6647E0"/>
    <w:lvl w:ilvl="0">
      <w:start w:val="30"/>
      <w:numFmt w:val="bullet"/>
      <w:lvlText w:val="-"/>
      <w:lvlJc w:val="left"/>
      <w:pPr>
        <w:ind w:left="360" w:hanging="360"/>
      </w:pPr>
      <w:rPr>
        <w:rFonts w:ascii="Arial" w:eastAsiaTheme="minorHAns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20137403">
    <w:abstractNumId w:val="3"/>
  </w:num>
  <w:num w:numId="2" w16cid:durableId="1680155863">
    <w:abstractNumId w:val="5"/>
  </w:num>
  <w:num w:numId="3" w16cid:durableId="767312846">
    <w:abstractNumId w:val="11"/>
  </w:num>
  <w:num w:numId="4" w16cid:durableId="1887137856">
    <w:abstractNumId w:val="6"/>
  </w:num>
  <w:num w:numId="5" w16cid:durableId="2067534598">
    <w:abstractNumId w:val="14"/>
  </w:num>
  <w:num w:numId="6" w16cid:durableId="883055808">
    <w:abstractNumId w:val="17"/>
  </w:num>
  <w:num w:numId="7" w16cid:durableId="800150931">
    <w:abstractNumId w:val="13"/>
  </w:num>
  <w:num w:numId="8" w16cid:durableId="903030692">
    <w:abstractNumId w:val="16"/>
  </w:num>
  <w:num w:numId="9" w16cid:durableId="1328635170">
    <w:abstractNumId w:val="9"/>
  </w:num>
  <w:num w:numId="10" w16cid:durableId="699745481">
    <w:abstractNumId w:val="19"/>
  </w:num>
  <w:num w:numId="11" w16cid:durableId="1970280554">
    <w:abstractNumId w:val="20"/>
  </w:num>
  <w:num w:numId="12" w16cid:durableId="1270040233">
    <w:abstractNumId w:val="0"/>
  </w:num>
  <w:num w:numId="13" w16cid:durableId="1061369194">
    <w:abstractNumId w:val="22"/>
  </w:num>
  <w:num w:numId="14" w16cid:durableId="1203323892">
    <w:abstractNumId w:val="8"/>
  </w:num>
  <w:num w:numId="15" w16cid:durableId="806167806">
    <w:abstractNumId w:val="7"/>
  </w:num>
  <w:num w:numId="16" w16cid:durableId="1337924940">
    <w:abstractNumId w:val="4"/>
  </w:num>
  <w:num w:numId="17" w16cid:durableId="1867786623">
    <w:abstractNumId w:val="10"/>
  </w:num>
  <w:num w:numId="18" w16cid:durableId="760225235">
    <w:abstractNumId w:val="23"/>
  </w:num>
  <w:num w:numId="19" w16cid:durableId="1987778167">
    <w:abstractNumId w:val="12"/>
  </w:num>
  <w:num w:numId="20" w16cid:durableId="519007526">
    <w:abstractNumId w:val="15"/>
  </w:num>
  <w:num w:numId="21" w16cid:durableId="1459183952">
    <w:abstractNumId w:val="18"/>
  </w:num>
  <w:num w:numId="22" w16cid:durableId="1098061362">
    <w:abstractNumId w:val="24"/>
  </w:num>
  <w:num w:numId="23" w16cid:durableId="1955096946">
    <w:abstractNumId w:val="1"/>
  </w:num>
  <w:num w:numId="24" w16cid:durableId="1897618111">
    <w:abstractNumId w:val="2"/>
  </w:num>
  <w:num w:numId="25" w16cid:durableId="11928409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19"/>
    <w:rsid w:val="00180A06"/>
    <w:rsid w:val="00263C19"/>
    <w:rsid w:val="00692AE7"/>
    <w:rsid w:val="00E6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98C0"/>
  <w15:docId w15:val="{CE6AE02A-29C1-41E1-87B2-AB7845B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Absatz-Standardschriftart"/>
    <w:uiPriority w:val="99"/>
    <w:semiHidden/>
    <w:rPr>
      <w:sz w:val="20"/>
      <w:szCs w:val="20"/>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unhideWhenUse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rPr>
      <w:rFonts w:ascii="Times New Roman" w:hAnsi="Times New Roman"/>
      <w:sz w:val="20"/>
      <w:szCs w:val="20"/>
    </w:rPr>
  </w:style>
  <w:style w:type="character" w:styleId="Funotenzeichen">
    <w:name w:val="footnote reference"/>
    <w:basedOn w:val="Absatz-Standardschriftart"/>
    <w:uiPriority w:val="99"/>
    <w:unhideWhenUse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Pr>
      <w:rFonts w:ascii="Times New Roman" w:hAnsi="Times New Roman"/>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8"/>
      <w:szCs w:val="18"/>
    </w:rPr>
  </w:style>
  <w:style w:type="paragraph" w:styleId="Kommentartext">
    <w:name w:val="annotation text"/>
    <w:basedOn w:val="Standard"/>
    <w:link w:val="KommentartextZchn"/>
    <w:uiPriority w:val="99"/>
    <w:semiHidden/>
    <w:unhideWhenUsed/>
    <w:pPr>
      <w:spacing w:line="240" w:lineRule="auto"/>
    </w:pPr>
    <w:rPr>
      <w:sz w:val="24"/>
      <w:szCs w:val="24"/>
    </w:rPr>
  </w:style>
  <w:style w:type="character" w:customStyle="1" w:styleId="KommentartextZchn">
    <w:name w:val="Kommentartext Zchn"/>
    <w:basedOn w:val="Absatz-Standardschriftart"/>
    <w:link w:val="Kommentartext"/>
    <w:uiPriority w:val="99"/>
    <w:semiHidden/>
    <w:rPr>
      <w:sz w:val="24"/>
      <w:szCs w:val="24"/>
    </w:rPr>
  </w:style>
  <w:style w:type="paragraph" w:styleId="Kommentarthema">
    <w:name w:val="annotation subject"/>
    <w:basedOn w:val="Kommentartext"/>
    <w:next w:val="Kommentartext"/>
    <w:link w:val="KommentarthemaZchn"/>
    <w:uiPriority w:val="99"/>
    <w:semiHidden/>
    <w:unhideWhenUsed/>
    <w:rPr>
      <w:b/>
      <w:bCs/>
      <w:sz w:val="20"/>
      <w:szCs w:val="20"/>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berarbeitung">
    <w:name w:val="Revision"/>
    <w:hidden/>
    <w:uiPriority w:val="99"/>
    <w:semiHidden/>
    <w:pPr>
      <w:spacing w:after="0" w:line="240" w:lineRule="auto"/>
    </w:p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768F4-497F-440B-8E70-7ED44D6B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1153</Words>
  <Characters>7268</Characters>
  <Application>Microsoft Office Word</Application>
  <DocSecurity>0</DocSecurity>
  <Lines>60</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9</cp:revision>
  <dcterms:created xsi:type="dcterms:W3CDTF">2024-09-13T10:07:00Z</dcterms:created>
  <dcterms:modified xsi:type="dcterms:W3CDTF">2025-09-24T14:46:00Z</dcterms:modified>
</cp:coreProperties>
</file>