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63344" w14:textId="77777777" w:rsidR="00D177E2" w:rsidRDefault="00000000">
      <w:pPr>
        <w:jc w:val="center"/>
        <w:rPr>
          <w:rFonts w:ascii="Arial" w:hAnsi="Arial" w:cs="Arial"/>
          <w:b/>
          <w:sz w:val="24"/>
          <w:szCs w:val="24"/>
        </w:rPr>
      </w:pPr>
      <w:r>
        <w:rPr>
          <w:rFonts w:ascii="Arial" w:hAnsi="Arial" w:cs="Arial"/>
          <w:b/>
          <w:sz w:val="24"/>
          <w:szCs w:val="24"/>
        </w:rPr>
        <w:t>VIII. AG-Fall (Staatsorganisationsrecht)</w:t>
      </w:r>
    </w:p>
    <w:p w14:paraId="3A897F43" w14:textId="171434B2" w:rsidR="00D177E2" w:rsidRDefault="00000000">
      <w:pPr>
        <w:jc w:val="center"/>
        <w:rPr>
          <w:rFonts w:ascii="Arial" w:hAnsi="Arial" w:cs="Arial"/>
          <w:b/>
          <w:sz w:val="24"/>
          <w:szCs w:val="24"/>
        </w:rPr>
      </w:pPr>
      <w:r>
        <w:rPr>
          <w:rFonts w:ascii="Arial" w:hAnsi="Arial" w:cs="Arial"/>
          <w:b/>
          <w:sz w:val="24"/>
          <w:szCs w:val="24"/>
        </w:rPr>
        <w:t>Wintersemester 202</w:t>
      </w:r>
      <w:r w:rsidR="00671F55">
        <w:rPr>
          <w:rFonts w:ascii="Arial" w:hAnsi="Arial" w:cs="Arial"/>
          <w:b/>
          <w:sz w:val="24"/>
          <w:szCs w:val="24"/>
        </w:rPr>
        <w:t>5</w:t>
      </w:r>
      <w:r>
        <w:rPr>
          <w:rFonts w:ascii="Arial" w:hAnsi="Arial" w:cs="Arial"/>
          <w:b/>
          <w:sz w:val="24"/>
          <w:szCs w:val="24"/>
        </w:rPr>
        <w:t>/202</w:t>
      </w:r>
      <w:r w:rsidR="00671F55">
        <w:rPr>
          <w:rFonts w:ascii="Arial" w:hAnsi="Arial" w:cs="Arial"/>
          <w:b/>
          <w:sz w:val="24"/>
          <w:szCs w:val="24"/>
        </w:rPr>
        <w:t>6</w:t>
      </w:r>
    </w:p>
    <w:p w14:paraId="47E3F2B9" w14:textId="77777777" w:rsidR="00D177E2" w:rsidRDefault="00D177E2">
      <w:pPr>
        <w:spacing w:line="360" w:lineRule="auto"/>
        <w:jc w:val="both"/>
        <w:rPr>
          <w:rFonts w:ascii="Arial" w:hAnsi="Arial" w:cs="Arial"/>
          <w:sz w:val="24"/>
          <w:szCs w:val="24"/>
        </w:rPr>
      </w:pPr>
    </w:p>
    <w:p w14:paraId="0EE384B1" w14:textId="77777777" w:rsidR="00D177E2" w:rsidRDefault="00000000">
      <w:pPr>
        <w:spacing w:line="360" w:lineRule="auto"/>
        <w:jc w:val="both"/>
        <w:rPr>
          <w:rFonts w:ascii="Arial" w:hAnsi="Arial" w:cs="Arial"/>
          <w:sz w:val="24"/>
          <w:szCs w:val="24"/>
        </w:rPr>
      </w:pPr>
      <w:r>
        <w:rPr>
          <w:rFonts w:ascii="Arial" w:hAnsi="Arial" w:cs="Arial"/>
          <w:sz w:val="24"/>
          <w:szCs w:val="24"/>
        </w:rPr>
        <w:t xml:space="preserve">Nachdem sowohl durch die Corona-Politik als auch durch die mangelhafte staatliche Krisenvorsorge während des Jahrhunderthochwassers im Sommer 2024 den Bürgerinnen und Bürgern der Bundesrepublik erhebliche Schäden entstanden sind, kommt der Abgeordneten X die Idee, endlich ein sog. </w:t>
      </w:r>
      <w:r>
        <w:rPr>
          <w:rFonts w:ascii="Arial" w:hAnsi="Arial" w:cs="Arial"/>
          <w:i/>
          <w:iCs/>
          <w:sz w:val="24"/>
          <w:szCs w:val="24"/>
        </w:rPr>
        <w:t>„Staatshaftungsgesetz“</w:t>
      </w:r>
      <w:r>
        <w:rPr>
          <w:rFonts w:ascii="Arial" w:hAnsi="Arial" w:cs="Arial"/>
          <w:sz w:val="24"/>
          <w:szCs w:val="24"/>
        </w:rPr>
        <w:t xml:space="preserve"> zu schaffen. Dieses Gesetz soll die genuin öffentlich-rechtliche Haftung juristischer Personen des öffentlichen Rechts für rechtswidriges Handeln ihrer Organe und Sachwalter regeln und den Bürgerinnen und Bürgern die Chance geben, sich beim Fiskus schadlos zu halten. Mit Hilfe des Vereins „Fiskalhaftung“ arbeitet sie daher einen Gesetzesentwurf aus, der auf einer Vorlage des Vereins beruht, und bringt ihn schließlich in den Bundestag ein. Dort wird über den Vorschlag in zwei Lesungen beraten. Während der finalen Abstimmung stimmen 101 Abgeordnete für und 100 Abgeordnete gegen das Gesetz.</w:t>
      </w:r>
    </w:p>
    <w:p w14:paraId="496639D7" w14:textId="77777777" w:rsidR="00D177E2" w:rsidRDefault="00000000">
      <w:pPr>
        <w:pStyle w:val="StandardWeb"/>
        <w:spacing w:line="360" w:lineRule="auto"/>
        <w:jc w:val="both"/>
        <w:rPr>
          <w:rFonts w:ascii="Arial" w:hAnsi="Arial" w:cs="Arial"/>
        </w:rPr>
      </w:pPr>
      <w:r>
        <w:rPr>
          <w:rFonts w:ascii="Arial" w:hAnsi="Arial" w:cs="Arial"/>
        </w:rPr>
        <w:t>Weniger einfach gestalten sich die Verhältnisse im Bundesrat. Dort kommt es bereits im Vorfeld der Sitzung zu heftigen Auseinandersetzungen, da einige Länder eine viel zu „engmaschige Haftung“ befürchten. Das führt dazu, dass den drei Stimmen des von einer großen Koalition geführten Landes W entscheidende Bedeutung zukommt, da nur eine Zustimmung des Landes W zum Gesetz die notwendige Mehrheit (35 von derzeit 69 Stimmen) sicherstellt. Nachdem in der entscheidenden Sitzung bislang 32 Stimmen für und 34 Stimmen gegen das Gesetz gezählt worden sind, kommt das Land W an die Reihe. Ein Minister stimmt mit „Ja“, der zweite zugleich mit „Nein“. Der opponierende Minister hatte schon in den vergangenen Tagen – auch dem Bundesratspräsidenten gegenüber – mehrmals zu erkennen gegeben, dass er unter keinen Umständen dem Gesetz zustimmen werde. Daraufhin stellt der Bundesratspräsident eine uneinheitliche Abstimmung fest und befragt den Ministerpräsidenten als dritten Vertreter des Landes. Obwohl der Koalitionsvertrag der großen Koalition für Fälle der Uneinigkeit eine Enthaltung im Bundesrat vorschreibt, erklärt der Ministerpräsident „für das Land W“, dass er mit „Ja“ abstimme; er beruft sich auf die Landesverfassung, die ihn mit der Vertretung des Landes nach außen betraut. Nunmehr stellt der Bundesratspräsident unter dem Protest der Oppositionsvertreter fest, dass der Bundesrat dem Gesetzesvorschlag mit der notwendigen Mehrheit zugestimmt hat.</w:t>
      </w:r>
    </w:p>
    <w:p w14:paraId="71C5C824" w14:textId="77777777" w:rsidR="00D177E2" w:rsidRDefault="00000000">
      <w:pPr>
        <w:pStyle w:val="StandardWeb"/>
        <w:spacing w:line="360" w:lineRule="auto"/>
        <w:jc w:val="both"/>
        <w:rPr>
          <w:rFonts w:ascii="Arial" w:hAnsi="Arial" w:cs="Arial"/>
        </w:rPr>
      </w:pPr>
      <w:r>
        <w:rPr>
          <w:rFonts w:ascii="Arial" w:hAnsi="Arial" w:cs="Arial"/>
        </w:rPr>
        <w:lastRenderedPageBreak/>
        <w:t xml:space="preserve">Das Gesetz wird daraufhin von der Bundespräsidentin ausgefertigt und im Bundesgesetzblatt verkündet. Die Regierung des Bundeslandes L ist jedoch der Ansicht, dass das Verfahren im Bundesrat den grundgesetzlichen Anforderungen nicht genügt, und hält das Gesetz für nichtig. Außerdem mangele es auch an der Gesetzgebungskompetenz des Bundes. Daher beantragt sie beim Bundesverfassungsgericht, das Gesetz für nichtig zu erklären. </w:t>
      </w:r>
    </w:p>
    <w:p w14:paraId="4B9C0184" w14:textId="77777777" w:rsidR="00D177E2" w:rsidRDefault="00D177E2">
      <w:pPr>
        <w:spacing w:line="360" w:lineRule="auto"/>
        <w:jc w:val="both"/>
        <w:rPr>
          <w:rFonts w:ascii="Arial" w:hAnsi="Arial" w:cs="Arial"/>
          <w:sz w:val="24"/>
          <w:szCs w:val="24"/>
        </w:rPr>
      </w:pPr>
    </w:p>
    <w:p w14:paraId="3AF30948" w14:textId="77777777" w:rsidR="00D177E2" w:rsidRDefault="00000000">
      <w:pPr>
        <w:spacing w:line="360" w:lineRule="auto"/>
        <w:jc w:val="both"/>
        <w:rPr>
          <w:rFonts w:ascii="Arial" w:hAnsi="Arial" w:cs="Arial"/>
          <w:b/>
          <w:sz w:val="24"/>
          <w:szCs w:val="24"/>
        </w:rPr>
      </w:pPr>
      <w:r>
        <w:rPr>
          <w:rFonts w:ascii="Arial" w:hAnsi="Arial" w:cs="Arial"/>
          <w:b/>
          <w:sz w:val="24"/>
          <w:szCs w:val="24"/>
        </w:rPr>
        <w:t>Hat der Antrag Aussicht auf Erfolg?</w:t>
      </w:r>
    </w:p>
    <w:p w14:paraId="18B7F151" w14:textId="77777777" w:rsidR="00D177E2" w:rsidRDefault="00000000">
      <w:pPr>
        <w:spacing w:line="360" w:lineRule="auto"/>
        <w:jc w:val="both"/>
        <w:rPr>
          <w:rFonts w:ascii="Arial" w:hAnsi="Arial" w:cs="Arial"/>
          <w:sz w:val="24"/>
          <w:szCs w:val="24"/>
        </w:rPr>
      </w:pPr>
      <w:r>
        <w:rPr>
          <w:rFonts w:ascii="Arial" w:hAnsi="Arial" w:cs="Arial"/>
          <w:sz w:val="24"/>
          <w:szCs w:val="24"/>
        </w:rPr>
        <w:br w:type="page" w:clear="all"/>
      </w:r>
    </w:p>
    <w:p w14:paraId="63B161F4" w14:textId="77777777" w:rsidR="00D177E2" w:rsidRDefault="00000000">
      <w:pPr>
        <w:spacing w:line="360" w:lineRule="auto"/>
        <w:jc w:val="both"/>
        <w:rPr>
          <w:rFonts w:ascii="Arial" w:hAnsi="Arial" w:cs="Arial"/>
          <w:b/>
          <w:sz w:val="24"/>
          <w:szCs w:val="24"/>
        </w:rPr>
      </w:pPr>
      <w:r>
        <w:rPr>
          <w:rFonts w:ascii="Arial" w:hAnsi="Arial" w:cs="Arial"/>
          <w:b/>
          <w:sz w:val="24"/>
          <w:szCs w:val="24"/>
        </w:rPr>
        <w:lastRenderedPageBreak/>
        <w:t>Lösungsvorschlag</w:t>
      </w:r>
    </w:p>
    <w:p w14:paraId="2707A9F4" w14:textId="77777777" w:rsidR="00D177E2" w:rsidRDefault="00000000">
      <w:pPr>
        <w:spacing w:line="360" w:lineRule="auto"/>
        <w:jc w:val="both"/>
        <w:rPr>
          <w:rFonts w:ascii="Arial" w:hAnsi="Arial" w:cs="Arial"/>
          <w:b/>
          <w:sz w:val="24"/>
          <w:szCs w:val="24"/>
        </w:rPr>
      </w:pPr>
      <w:r>
        <w:rPr>
          <w:rFonts w:ascii="Arial" w:hAnsi="Arial" w:cs="Arial"/>
          <w:b/>
          <w:sz w:val="24"/>
          <w:szCs w:val="24"/>
        </w:rPr>
        <w:t>A. Zulässigkeit</w:t>
      </w:r>
    </w:p>
    <w:p w14:paraId="6C0FC716" w14:textId="77777777" w:rsidR="00D177E2" w:rsidRDefault="00000000">
      <w:pPr>
        <w:spacing w:line="360" w:lineRule="auto"/>
        <w:jc w:val="both"/>
        <w:rPr>
          <w:rFonts w:ascii="Arial" w:hAnsi="Arial" w:cs="Arial"/>
          <w:b/>
          <w:sz w:val="24"/>
          <w:szCs w:val="24"/>
        </w:rPr>
      </w:pPr>
      <w:r>
        <w:rPr>
          <w:rFonts w:ascii="Arial" w:hAnsi="Arial" w:cs="Arial"/>
          <w:b/>
          <w:sz w:val="24"/>
          <w:szCs w:val="24"/>
        </w:rPr>
        <w:t>I. Zuständigkeit des BVerfG</w:t>
      </w:r>
    </w:p>
    <w:p w14:paraId="345581D7" w14:textId="77777777" w:rsidR="00D177E2" w:rsidRDefault="00000000">
      <w:pPr>
        <w:spacing w:line="360" w:lineRule="auto"/>
        <w:jc w:val="both"/>
        <w:rPr>
          <w:rFonts w:ascii="Arial" w:hAnsi="Arial" w:cs="Arial"/>
          <w:bCs/>
          <w:sz w:val="24"/>
          <w:szCs w:val="24"/>
          <w:lang w:val="en-US"/>
        </w:rPr>
      </w:pPr>
      <w:r>
        <w:rPr>
          <w:rFonts w:ascii="Arial" w:hAnsi="Arial" w:cs="Arial"/>
          <w:bCs/>
          <w:sz w:val="24"/>
          <w:szCs w:val="24"/>
          <w:lang w:val="en-US"/>
        </w:rPr>
        <w:t>Art. 93 I Nr. 2 GG, §§ 13 Nr. 6, 76 ff. BVerfGG</w:t>
      </w:r>
    </w:p>
    <w:p w14:paraId="4F62EFD8" w14:textId="77777777" w:rsidR="00D177E2" w:rsidRDefault="00D177E2">
      <w:pPr>
        <w:spacing w:line="360" w:lineRule="auto"/>
        <w:jc w:val="both"/>
        <w:rPr>
          <w:rFonts w:ascii="Arial" w:hAnsi="Arial" w:cs="Arial"/>
          <w:sz w:val="24"/>
          <w:szCs w:val="24"/>
          <w:lang w:val="en-US"/>
        </w:rPr>
      </w:pPr>
    </w:p>
    <w:p w14:paraId="21980A09" w14:textId="77777777" w:rsidR="00D177E2" w:rsidRDefault="00000000">
      <w:pPr>
        <w:spacing w:line="360" w:lineRule="auto"/>
        <w:jc w:val="both"/>
        <w:rPr>
          <w:rFonts w:ascii="Arial" w:hAnsi="Arial" w:cs="Arial"/>
          <w:b/>
          <w:bCs/>
          <w:sz w:val="24"/>
          <w:szCs w:val="24"/>
        </w:rPr>
      </w:pPr>
      <w:r>
        <w:rPr>
          <w:rFonts w:ascii="Arial" w:hAnsi="Arial" w:cs="Arial"/>
          <w:b/>
          <w:bCs/>
          <w:sz w:val="24"/>
          <w:szCs w:val="24"/>
        </w:rPr>
        <w:t>II. Antragsberechtigung</w:t>
      </w:r>
    </w:p>
    <w:p w14:paraId="60C5C991" w14:textId="77777777" w:rsidR="00D177E2" w:rsidRDefault="00000000">
      <w:pPr>
        <w:spacing w:line="360" w:lineRule="auto"/>
        <w:jc w:val="both"/>
        <w:rPr>
          <w:rFonts w:ascii="Arial" w:hAnsi="Arial" w:cs="Arial"/>
          <w:sz w:val="24"/>
          <w:szCs w:val="24"/>
        </w:rPr>
      </w:pPr>
      <w:r>
        <w:rPr>
          <w:rFonts w:ascii="Arial" w:hAnsi="Arial" w:cs="Arial"/>
          <w:sz w:val="24"/>
          <w:szCs w:val="24"/>
        </w:rPr>
        <w:t>§ 76 BVerfGG: Land L</w:t>
      </w:r>
    </w:p>
    <w:p w14:paraId="1ED2B8C3" w14:textId="77777777" w:rsidR="00D177E2" w:rsidRDefault="00D177E2">
      <w:pPr>
        <w:spacing w:line="360" w:lineRule="auto"/>
        <w:jc w:val="both"/>
        <w:rPr>
          <w:rFonts w:ascii="Arial" w:hAnsi="Arial" w:cs="Arial"/>
          <w:sz w:val="24"/>
          <w:szCs w:val="24"/>
        </w:rPr>
      </w:pPr>
    </w:p>
    <w:p w14:paraId="1506D8B3" w14:textId="77777777" w:rsidR="00D177E2" w:rsidRDefault="00000000">
      <w:pPr>
        <w:spacing w:line="360" w:lineRule="auto"/>
        <w:jc w:val="both"/>
        <w:rPr>
          <w:rFonts w:ascii="Arial" w:hAnsi="Arial" w:cs="Arial"/>
          <w:b/>
          <w:bCs/>
          <w:sz w:val="24"/>
          <w:szCs w:val="24"/>
        </w:rPr>
      </w:pPr>
      <w:r>
        <w:rPr>
          <w:rFonts w:ascii="Arial" w:hAnsi="Arial" w:cs="Arial"/>
          <w:b/>
          <w:bCs/>
          <w:sz w:val="24"/>
          <w:szCs w:val="24"/>
        </w:rPr>
        <w:t>III. Antragsgegenstand</w:t>
      </w:r>
    </w:p>
    <w:p w14:paraId="42B405EC" w14:textId="77777777" w:rsidR="00D177E2" w:rsidRDefault="00000000">
      <w:pPr>
        <w:spacing w:line="360" w:lineRule="auto"/>
        <w:jc w:val="both"/>
        <w:rPr>
          <w:rFonts w:ascii="Arial" w:hAnsi="Arial" w:cs="Arial"/>
          <w:sz w:val="24"/>
          <w:szCs w:val="24"/>
        </w:rPr>
      </w:pPr>
      <w:r>
        <w:rPr>
          <w:rFonts w:ascii="Arial" w:hAnsi="Arial" w:cs="Arial"/>
          <w:sz w:val="24"/>
          <w:szCs w:val="24"/>
        </w:rPr>
        <w:t>Formelles Gesetz: Staatshaftungsgesetz</w:t>
      </w:r>
    </w:p>
    <w:p w14:paraId="0F53FFBC" w14:textId="77777777" w:rsidR="00D177E2" w:rsidRDefault="00D177E2">
      <w:pPr>
        <w:spacing w:line="360" w:lineRule="auto"/>
        <w:jc w:val="both"/>
        <w:rPr>
          <w:rFonts w:ascii="Arial" w:hAnsi="Arial" w:cs="Arial"/>
          <w:sz w:val="24"/>
          <w:szCs w:val="24"/>
        </w:rPr>
      </w:pPr>
    </w:p>
    <w:p w14:paraId="24869056" w14:textId="77777777" w:rsidR="00D177E2" w:rsidRDefault="00000000">
      <w:pPr>
        <w:spacing w:line="360" w:lineRule="auto"/>
        <w:jc w:val="both"/>
        <w:rPr>
          <w:rFonts w:ascii="Arial" w:hAnsi="Arial" w:cs="Arial"/>
          <w:b/>
          <w:bCs/>
          <w:sz w:val="24"/>
          <w:szCs w:val="24"/>
        </w:rPr>
      </w:pPr>
      <w:r>
        <w:rPr>
          <w:rFonts w:ascii="Arial" w:hAnsi="Arial" w:cs="Arial"/>
          <w:b/>
          <w:bCs/>
          <w:sz w:val="24"/>
          <w:szCs w:val="24"/>
        </w:rPr>
        <w:t>IV. Antragsgrund</w:t>
      </w:r>
    </w:p>
    <w:p w14:paraId="595C0031" w14:textId="77777777" w:rsidR="00D177E2" w:rsidRDefault="00000000">
      <w:pPr>
        <w:spacing w:line="360" w:lineRule="auto"/>
        <w:jc w:val="both"/>
        <w:rPr>
          <w:rFonts w:ascii="Arial" w:hAnsi="Arial" w:cs="Arial"/>
          <w:sz w:val="24"/>
          <w:szCs w:val="24"/>
        </w:rPr>
      </w:pPr>
      <w:r>
        <w:rPr>
          <w:rFonts w:ascii="Arial" w:hAnsi="Arial" w:cs="Arial"/>
          <w:sz w:val="24"/>
          <w:szCs w:val="24"/>
        </w:rPr>
        <w:t>§ 76 Nr. 1 BVerfGG (+), Land L hält Norm (Bundesgesetz) für nichtig</w:t>
      </w:r>
    </w:p>
    <w:p w14:paraId="3980468C" w14:textId="77777777" w:rsidR="00D177E2" w:rsidRDefault="00D177E2">
      <w:pPr>
        <w:spacing w:line="360" w:lineRule="auto"/>
        <w:jc w:val="both"/>
        <w:rPr>
          <w:rFonts w:ascii="Arial" w:hAnsi="Arial" w:cs="Arial"/>
          <w:sz w:val="24"/>
          <w:szCs w:val="24"/>
        </w:rPr>
      </w:pPr>
    </w:p>
    <w:p w14:paraId="091F2E2C" w14:textId="77777777" w:rsidR="00D177E2" w:rsidRDefault="00000000">
      <w:pPr>
        <w:spacing w:line="360" w:lineRule="auto"/>
        <w:jc w:val="both"/>
        <w:rPr>
          <w:rFonts w:ascii="Arial" w:hAnsi="Arial" w:cs="Arial"/>
          <w:b/>
          <w:bCs/>
          <w:sz w:val="24"/>
          <w:szCs w:val="24"/>
        </w:rPr>
      </w:pPr>
      <w:r>
        <w:rPr>
          <w:rFonts w:ascii="Arial" w:hAnsi="Arial" w:cs="Arial"/>
          <w:b/>
          <w:bCs/>
          <w:sz w:val="24"/>
          <w:szCs w:val="24"/>
        </w:rPr>
        <w:t>V. Form</w:t>
      </w:r>
    </w:p>
    <w:p w14:paraId="0C3B0223" w14:textId="77777777" w:rsidR="00D177E2" w:rsidRDefault="00000000">
      <w:pPr>
        <w:spacing w:line="360" w:lineRule="auto"/>
        <w:jc w:val="both"/>
        <w:rPr>
          <w:rFonts w:ascii="Arial" w:hAnsi="Arial" w:cs="Arial"/>
          <w:sz w:val="24"/>
          <w:szCs w:val="24"/>
        </w:rPr>
      </w:pPr>
      <w:r>
        <w:rPr>
          <w:rFonts w:ascii="Arial" w:hAnsi="Arial" w:cs="Arial"/>
          <w:sz w:val="24"/>
          <w:szCs w:val="24"/>
        </w:rPr>
        <w:t>§ 23 BVerfGG</w:t>
      </w:r>
    </w:p>
    <w:p w14:paraId="4ECDBC60" w14:textId="77777777" w:rsidR="00D177E2" w:rsidRDefault="00D177E2">
      <w:pPr>
        <w:spacing w:line="360" w:lineRule="auto"/>
        <w:jc w:val="both"/>
        <w:rPr>
          <w:rFonts w:ascii="Arial" w:hAnsi="Arial" w:cs="Arial"/>
          <w:sz w:val="24"/>
          <w:szCs w:val="24"/>
        </w:rPr>
      </w:pPr>
    </w:p>
    <w:p w14:paraId="45C0898A" w14:textId="77777777" w:rsidR="00D177E2" w:rsidRDefault="00000000">
      <w:pPr>
        <w:spacing w:line="360" w:lineRule="auto"/>
        <w:jc w:val="both"/>
        <w:rPr>
          <w:rFonts w:ascii="Arial" w:hAnsi="Arial" w:cs="Arial"/>
          <w:b/>
          <w:bCs/>
          <w:sz w:val="24"/>
          <w:szCs w:val="24"/>
        </w:rPr>
      </w:pPr>
      <w:r>
        <w:rPr>
          <w:rFonts w:ascii="Arial" w:hAnsi="Arial" w:cs="Arial"/>
          <w:b/>
          <w:bCs/>
          <w:sz w:val="24"/>
          <w:szCs w:val="24"/>
        </w:rPr>
        <w:t>VI. Objektives Klarstellungsinteresse</w:t>
      </w:r>
    </w:p>
    <w:p w14:paraId="066944BC" w14:textId="77777777" w:rsidR="00D177E2" w:rsidRDefault="00000000">
      <w:pPr>
        <w:spacing w:line="360" w:lineRule="auto"/>
        <w:jc w:val="both"/>
        <w:rPr>
          <w:rFonts w:ascii="Arial" w:hAnsi="Arial" w:cs="Arial"/>
          <w:sz w:val="24"/>
          <w:szCs w:val="24"/>
        </w:rPr>
      </w:pPr>
      <w:r>
        <w:rPr>
          <w:rFonts w:ascii="Arial" w:hAnsi="Arial" w:cs="Arial"/>
          <w:sz w:val="24"/>
          <w:szCs w:val="24"/>
        </w:rPr>
        <w:t>(+)</w:t>
      </w:r>
    </w:p>
    <w:p w14:paraId="0F7E8C5C" w14:textId="77777777" w:rsidR="00D177E2" w:rsidRDefault="00D177E2">
      <w:pPr>
        <w:spacing w:line="360" w:lineRule="auto"/>
        <w:jc w:val="both"/>
        <w:rPr>
          <w:rFonts w:ascii="Arial" w:hAnsi="Arial" w:cs="Arial"/>
          <w:b/>
          <w:bCs/>
          <w:sz w:val="24"/>
          <w:szCs w:val="24"/>
        </w:rPr>
      </w:pPr>
    </w:p>
    <w:p w14:paraId="04DB5169" w14:textId="77777777" w:rsidR="00D177E2" w:rsidRDefault="00000000">
      <w:pPr>
        <w:spacing w:line="360" w:lineRule="auto"/>
        <w:jc w:val="both"/>
        <w:rPr>
          <w:rFonts w:ascii="Arial" w:hAnsi="Arial" w:cs="Arial"/>
          <w:b/>
          <w:bCs/>
          <w:sz w:val="24"/>
          <w:szCs w:val="24"/>
        </w:rPr>
      </w:pPr>
      <w:r>
        <w:rPr>
          <w:rFonts w:ascii="Arial" w:hAnsi="Arial" w:cs="Arial"/>
          <w:b/>
          <w:bCs/>
          <w:sz w:val="24"/>
          <w:szCs w:val="24"/>
        </w:rPr>
        <w:t>B. Begründetheit</w:t>
      </w:r>
    </w:p>
    <w:p w14:paraId="6CCECE28" w14:textId="77777777" w:rsidR="00D177E2" w:rsidRDefault="00000000">
      <w:pPr>
        <w:spacing w:line="360" w:lineRule="auto"/>
        <w:jc w:val="both"/>
        <w:rPr>
          <w:rFonts w:ascii="Arial" w:hAnsi="Arial" w:cs="Arial"/>
          <w:b/>
          <w:sz w:val="24"/>
          <w:szCs w:val="24"/>
        </w:rPr>
      </w:pPr>
      <w:r>
        <w:rPr>
          <w:rFonts w:ascii="Arial" w:hAnsi="Arial" w:cs="Arial"/>
          <w:b/>
          <w:sz w:val="24"/>
          <w:szCs w:val="24"/>
        </w:rPr>
        <w:t>I. Formelle Verfassungswidrigkeit</w:t>
      </w:r>
    </w:p>
    <w:p w14:paraId="54C7CA64" w14:textId="77777777" w:rsidR="00D177E2" w:rsidRDefault="00000000">
      <w:pPr>
        <w:spacing w:line="360" w:lineRule="auto"/>
        <w:jc w:val="both"/>
        <w:rPr>
          <w:rFonts w:ascii="Arial" w:hAnsi="Arial" w:cs="Arial"/>
          <w:b/>
          <w:sz w:val="24"/>
          <w:szCs w:val="24"/>
        </w:rPr>
      </w:pPr>
      <w:r>
        <w:rPr>
          <w:rFonts w:ascii="Arial" w:hAnsi="Arial" w:cs="Arial"/>
          <w:b/>
          <w:sz w:val="24"/>
          <w:szCs w:val="24"/>
        </w:rPr>
        <w:t>1. Gesetzgebungskompetenz</w:t>
      </w:r>
    </w:p>
    <w:p w14:paraId="0FAC53E5" w14:textId="77777777" w:rsidR="00D177E2" w:rsidRDefault="00000000">
      <w:pPr>
        <w:pStyle w:val="Listenabsatz"/>
        <w:numPr>
          <w:ilvl w:val="0"/>
          <w:numId w:val="13"/>
        </w:numPr>
        <w:spacing w:line="360" w:lineRule="auto"/>
        <w:jc w:val="both"/>
        <w:rPr>
          <w:rFonts w:ascii="Arial" w:hAnsi="Arial" w:cs="Arial"/>
          <w:sz w:val="24"/>
          <w:szCs w:val="24"/>
        </w:rPr>
      </w:pPr>
      <w:r>
        <w:rPr>
          <w:rFonts w:ascii="Arial" w:hAnsi="Arial" w:cs="Arial"/>
          <w:sz w:val="24"/>
          <w:szCs w:val="24"/>
        </w:rPr>
        <w:t>Art. 72, 74 Nr. 25 GG</w:t>
      </w:r>
    </w:p>
    <w:p w14:paraId="611B2B71" w14:textId="77777777" w:rsidR="00D177E2" w:rsidRDefault="00000000">
      <w:pPr>
        <w:pStyle w:val="Listenabsatz"/>
        <w:numPr>
          <w:ilvl w:val="0"/>
          <w:numId w:val="13"/>
        </w:numPr>
        <w:spacing w:line="360" w:lineRule="auto"/>
        <w:jc w:val="both"/>
        <w:rPr>
          <w:rFonts w:ascii="Arial" w:hAnsi="Arial" w:cs="Arial"/>
          <w:sz w:val="24"/>
          <w:szCs w:val="24"/>
        </w:rPr>
      </w:pPr>
      <w:r>
        <w:rPr>
          <w:rFonts w:ascii="Arial" w:hAnsi="Arial" w:cs="Arial"/>
          <w:sz w:val="24"/>
          <w:szCs w:val="24"/>
        </w:rPr>
        <w:lastRenderedPageBreak/>
        <w:t xml:space="preserve">Erforderlichkeitsklausel, Art. 72 II GG </w:t>
      </w:r>
      <w:r>
        <w:rPr>
          <w:rFonts w:ascii="Arial" w:hAnsi="Arial" w:cs="Arial"/>
          <w:color w:val="000000" w:themeColor="text1"/>
          <w:sz w:val="24"/>
          <w:szCs w:val="24"/>
        </w:rPr>
        <w:t xml:space="preserve">(dazu </w:t>
      </w:r>
      <w:r>
        <w:rPr>
          <w:rFonts w:ascii="Arial" w:hAnsi="Arial" w:cs="Arial"/>
          <w:i/>
          <w:iCs/>
          <w:color w:val="000000" w:themeColor="text1"/>
          <w:sz w:val="24"/>
          <w:szCs w:val="24"/>
        </w:rPr>
        <w:t>Degenhart</w:t>
      </w:r>
      <w:r>
        <w:rPr>
          <w:rFonts w:ascii="Arial" w:hAnsi="Arial" w:cs="Arial"/>
          <w:color w:val="000000" w:themeColor="text1"/>
          <w:sz w:val="24"/>
          <w:szCs w:val="24"/>
        </w:rPr>
        <w:t>, Staatsorganisationsrecht, 39. Auflage 2023, Rn. 188)</w:t>
      </w:r>
    </w:p>
    <w:p w14:paraId="6A5E712E" w14:textId="77777777" w:rsidR="00D177E2" w:rsidRDefault="00000000">
      <w:pPr>
        <w:pStyle w:val="Listenabsatz"/>
        <w:spacing w:line="360" w:lineRule="auto"/>
        <w:jc w:val="both"/>
        <w:rPr>
          <w:rFonts w:ascii="Arial" w:hAnsi="Arial" w:cs="Arial"/>
          <w:sz w:val="24"/>
          <w:szCs w:val="24"/>
        </w:rPr>
      </w:pPr>
      <w:r>
        <w:rPr>
          <w:rFonts w:ascii="Arial" w:hAnsi="Arial" w:cs="Arial"/>
          <w:sz w:val="24"/>
          <w:szCs w:val="24"/>
        </w:rPr>
        <w:t>Bundeseinheitliches Staatshaftungsgesetz ist erforderlich, um einer Rechtszersplitterung vorzubeugen (a. A. vertretbar)</w:t>
      </w:r>
    </w:p>
    <w:p w14:paraId="4428D777" w14:textId="77777777" w:rsidR="00D177E2" w:rsidRDefault="00000000">
      <w:pPr>
        <w:spacing w:line="360" w:lineRule="auto"/>
        <w:jc w:val="both"/>
        <w:rPr>
          <w:rFonts w:ascii="Arial" w:hAnsi="Arial" w:cs="Arial"/>
          <w:b/>
          <w:bCs/>
          <w:sz w:val="24"/>
          <w:szCs w:val="24"/>
        </w:rPr>
      </w:pPr>
      <w:r>
        <w:rPr>
          <w:rFonts w:ascii="Arial" w:hAnsi="Arial" w:cs="Arial"/>
          <w:b/>
          <w:bCs/>
          <w:sz w:val="24"/>
          <w:szCs w:val="24"/>
        </w:rPr>
        <w:t>2. Gesetzgebungsverfahren</w:t>
      </w:r>
    </w:p>
    <w:p w14:paraId="6DDEBD54" w14:textId="77777777" w:rsidR="00D177E2" w:rsidRDefault="00000000">
      <w:pPr>
        <w:spacing w:line="360" w:lineRule="auto"/>
        <w:jc w:val="both"/>
        <w:rPr>
          <w:rFonts w:ascii="Arial" w:hAnsi="Arial" w:cs="Arial"/>
          <w:b/>
          <w:bCs/>
          <w:sz w:val="24"/>
          <w:szCs w:val="24"/>
        </w:rPr>
      </w:pPr>
      <w:r>
        <w:rPr>
          <w:rFonts w:ascii="Arial" w:hAnsi="Arial" w:cs="Arial"/>
          <w:b/>
          <w:bCs/>
          <w:sz w:val="24"/>
          <w:szCs w:val="24"/>
        </w:rPr>
        <w:t>a. Gesetzgebungsinitiative / Einleitungsverfahren</w:t>
      </w:r>
    </w:p>
    <w:p w14:paraId="15123C33" w14:textId="77777777" w:rsidR="00D177E2" w:rsidRDefault="00000000">
      <w:pPr>
        <w:pStyle w:val="Listenabsatz"/>
        <w:numPr>
          <w:ilvl w:val="0"/>
          <w:numId w:val="14"/>
        </w:numPr>
        <w:spacing w:line="360" w:lineRule="auto"/>
        <w:jc w:val="both"/>
        <w:rPr>
          <w:rFonts w:ascii="Arial" w:hAnsi="Arial" w:cs="Arial"/>
          <w:sz w:val="24"/>
          <w:szCs w:val="24"/>
        </w:rPr>
      </w:pPr>
      <w:r>
        <w:rPr>
          <w:rFonts w:ascii="Arial" w:hAnsi="Arial" w:cs="Arial"/>
          <w:b/>
          <w:bCs/>
          <w:sz w:val="24"/>
          <w:szCs w:val="24"/>
        </w:rPr>
        <w:t xml:space="preserve">P! Unzulässige Initiative wegen Verstoßes gegen das Demokratieprinzip </w:t>
      </w:r>
      <w:r>
        <w:rPr>
          <w:rFonts w:ascii="Arial" w:hAnsi="Arial" w:cs="Arial"/>
          <w:sz w:val="24"/>
          <w:szCs w:val="24"/>
        </w:rPr>
        <w:t xml:space="preserve">(Stichwort: </w:t>
      </w:r>
      <w:r>
        <w:rPr>
          <w:rFonts w:ascii="Arial" w:hAnsi="Arial" w:cs="Arial"/>
          <w:i/>
          <w:iCs/>
          <w:sz w:val="24"/>
          <w:szCs w:val="24"/>
        </w:rPr>
        <w:t>„Gesetzgebungsoutsourcing“</w:t>
      </w:r>
      <w:r>
        <w:rPr>
          <w:rFonts w:ascii="Arial" w:hAnsi="Arial" w:cs="Arial"/>
          <w:sz w:val="24"/>
          <w:szCs w:val="24"/>
        </w:rPr>
        <w:t xml:space="preserve"> [</w:t>
      </w:r>
      <w:r>
        <w:rPr>
          <w:rFonts w:ascii="Arial" w:hAnsi="Arial" w:cs="Arial"/>
          <w:color w:val="000000" w:themeColor="text1"/>
          <w:sz w:val="24"/>
          <w:szCs w:val="24"/>
        </w:rPr>
        <w:t xml:space="preserve">dazu: </w:t>
      </w:r>
      <w:r>
        <w:rPr>
          <w:rFonts w:ascii="Arial" w:hAnsi="Arial" w:cs="Arial"/>
          <w:i/>
          <w:iCs/>
          <w:color w:val="000000" w:themeColor="text1"/>
          <w:sz w:val="24"/>
          <w:szCs w:val="24"/>
        </w:rPr>
        <w:t>Degenhart</w:t>
      </w:r>
      <w:r>
        <w:rPr>
          <w:rFonts w:ascii="Arial" w:hAnsi="Arial" w:cs="Arial"/>
          <w:color w:val="000000" w:themeColor="text1"/>
          <w:sz w:val="24"/>
          <w:szCs w:val="24"/>
        </w:rPr>
        <w:t>, Staatsorganisationsrecht, 39. Auflage 2023, Rn. 217])</w:t>
      </w:r>
    </w:p>
    <w:p w14:paraId="779C2D97" w14:textId="77777777" w:rsidR="00D177E2" w:rsidRDefault="00000000">
      <w:pPr>
        <w:spacing w:line="360" w:lineRule="auto"/>
        <w:ind w:left="360"/>
        <w:jc w:val="both"/>
        <w:rPr>
          <w:rFonts w:ascii="Arial" w:hAnsi="Arial" w:cs="Arial"/>
          <w:sz w:val="24"/>
          <w:szCs w:val="24"/>
        </w:rPr>
      </w:pPr>
      <w:r>
        <w:rPr>
          <w:rFonts w:ascii="Arial" w:hAnsi="Arial" w:cs="Arial"/>
          <w:sz w:val="24"/>
          <w:szCs w:val="24"/>
        </w:rPr>
        <w:t>Hintergrund: Gesetzesvorlage beruht auf dem Entwurf eines privatrechtlichen Vereins, sodass möglicherweise ein Verstoß gegen Art. 20 II GG gegeben sein könnte.</w:t>
      </w:r>
    </w:p>
    <w:p w14:paraId="3D8DFB7B" w14:textId="77777777" w:rsidR="00D177E2" w:rsidRDefault="00000000">
      <w:pPr>
        <w:spacing w:line="360" w:lineRule="auto"/>
        <w:ind w:left="360"/>
        <w:jc w:val="both"/>
        <w:rPr>
          <w:rFonts w:ascii="Arial" w:hAnsi="Arial" w:cs="Arial"/>
          <w:sz w:val="24"/>
          <w:szCs w:val="24"/>
        </w:rPr>
      </w:pPr>
      <w:r>
        <w:rPr>
          <w:rFonts w:ascii="Arial" w:hAnsi="Arial" w:cs="Arial"/>
          <w:sz w:val="24"/>
          <w:szCs w:val="24"/>
        </w:rPr>
        <w:t>i. Erg. (-), da der demokratische Willensbildungsprozess durch die Ausarbeitung des Entwurfs erst »gestartet« wird. Entscheidend ist, dass die weiteren Verfahrensschritte in den demokratisch legitimierten Institutionen erfolgen (Einbringung der Gesetzesvorlage in das parlamentarische Verfahren durch Bundesregierung, Bundesrat oder aus der Mitte des Bundestages; Beratung und Beschlussfassung im Bundestag; Beteiligung des Bundesrates usw.).</w:t>
      </w:r>
    </w:p>
    <w:p w14:paraId="0AF580D1" w14:textId="77777777" w:rsidR="00D177E2" w:rsidRDefault="00D177E2">
      <w:pPr>
        <w:spacing w:line="360" w:lineRule="auto"/>
        <w:ind w:left="360"/>
        <w:jc w:val="both"/>
        <w:rPr>
          <w:rFonts w:ascii="Arial" w:hAnsi="Arial" w:cs="Arial"/>
          <w:sz w:val="24"/>
          <w:szCs w:val="24"/>
        </w:rPr>
      </w:pPr>
    </w:p>
    <w:p w14:paraId="075B9152" w14:textId="77777777" w:rsidR="00D177E2" w:rsidRDefault="00000000">
      <w:pPr>
        <w:pStyle w:val="Listenabsatz"/>
        <w:numPr>
          <w:ilvl w:val="0"/>
          <w:numId w:val="14"/>
        </w:numPr>
        <w:spacing w:line="360" w:lineRule="auto"/>
        <w:jc w:val="both"/>
        <w:rPr>
          <w:rFonts w:ascii="Arial" w:hAnsi="Arial" w:cs="Arial"/>
          <w:b/>
          <w:bCs/>
          <w:i/>
          <w:iCs/>
          <w:sz w:val="24"/>
          <w:szCs w:val="24"/>
        </w:rPr>
      </w:pPr>
      <w:r>
        <w:rPr>
          <w:rFonts w:ascii="Arial" w:hAnsi="Arial" w:cs="Arial"/>
          <w:b/>
          <w:bCs/>
          <w:sz w:val="24"/>
          <w:szCs w:val="24"/>
        </w:rPr>
        <w:t xml:space="preserve">Art. 76 I GG </w:t>
      </w:r>
      <w:r>
        <w:rPr>
          <w:rFonts w:ascii="Wingdings" w:eastAsia="Wingdings" w:hAnsi="Wingdings" w:cs="Wingdings"/>
        </w:rPr>
        <w:t>à</w:t>
      </w:r>
      <w:r>
        <w:rPr>
          <w:rFonts w:ascii="Arial" w:hAnsi="Arial" w:cs="Arial"/>
          <w:b/>
          <w:bCs/>
          <w:sz w:val="24"/>
          <w:szCs w:val="24"/>
        </w:rPr>
        <w:t xml:space="preserve"> P! Einzelner Abgeordneter = </w:t>
      </w:r>
      <w:r>
        <w:rPr>
          <w:rFonts w:ascii="Arial" w:hAnsi="Arial" w:cs="Arial"/>
          <w:b/>
          <w:bCs/>
          <w:i/>
          <w:iCs/>
          <w:sz w:val="24"/>
          <w:szCs w:val="24"/>
        </w:rPr>
        <w:t>„Mitte des deutschen Bundestags“</w:t>
      </w:r>
    </w:p>
    <w:p w14:paraId="5EE29D87" w14:textId="77777777" w:rsidR="00D177E2" w:rsidRDefault="00D177E2">
      <w:pPr>
        <w:pStyle w:val="Listenabsatz"/>
        <w:rPr>
          <w:rFonts w:ascii="Arial" w:hAnsi="Arial" w:cs="Arial"/>
          <w:sz w:val="24"/>
          <w:szCs w:val="24"/>
        </w:rPr>
      </w:pPr>
    </w:p>
    <w:p w14:paraId="36C21A5C" w14:textId="77777777" w:rsidR="00D177E2" w:rsidRDefault="00000000">
      <w:pPr>
        <w:pStyle w:val="Listenabsatz"/>
        <w:numPr>
          <w:ilvl w:val="1"/>
          <w:numId w:val="14"/>
        </w:numPr>
        <w:spacing w:line="360" w:lineRule="auto"/>
        <w:jc w:val="both"/>
        <w:rPr>
          <w:rFonts w:ascii="Arial" w:hAnsi="Arial" w:cs="Arial"/>
          <w:sz w:val="24"/>
          <w:szCs w:val="24"/>
        </w:rPr>
      </w:pPr>
      <w:r>
        <w:rPr>
          <w:rFonts w:ascii="Arial" w:hAnsi="Arial" w:cs="Arial"/>
          <w:sz w:val="24"/>
          <w:szCs w:val="24"/>
        </w:rPr>
        <w:t>Konkretisierung durch GOBT</w:t>
      </w:r>
    </w:p>
    <w:p w14:paraId="4F7A1EDA" w14:textId="77777777" w:rsidR="00D177E2" w:rsidRDefault="00000000">
      <w:pPr>
        <w:spacing w:line="360" w:lineRule="auto"/>
        <w:ind w:left="1080"/>
        <w:jc w:val="both"/>
        <w:rPr>
          <w:rFonts w:ascii="Arial" w:hAnsi="Arial" w:cs="Arial"/>
          <w:sz w:val="24"/>
          <w:szCs w:val="24"/>
          <w:lang w:val="en-US"/>
        </w:rPr>
      </w:pPr>
      <w:r>
        <w:rPr>
          <w:rFonts w:ascii="Arial" w:hAnsi="Arial" w:cs="Arial"/>
          <w:sz w:val="24"/>
          <w:szCs w:val="24"/>
          <w:lang w:val="en-US"/>
        </w:rPr>
        <w:t>Art. 40 I 2 GG, §§ 75 I lit. a), 76 I GOBT</w:t>
      </w:r>
    </w:p>
    <w:p w14:paraId="1AFE6C76" w14:textId="77777777" w:rsidR="00D177E2" w:rsidRDefault="00000000">
      <w:pPr>
        <w:spacing w:line="360" w:lineRule="auto"/>
        <w:ind w:left="1080"/>
        <w:jc w:val="both"/>
        <w:rPr>
          <w:rFonts w:ascii="Arial" w:hAnsi="Arial" w:cs="Arial"/>
          <w:sz w:val="24"/>
          <w:szCs w:val="24"/>
        </w:rPr>
      </w:pPr>
      <w:r>
        <w:rPr>
          <w:rFonts w:ascii="Arial" w:hAnsi="Arial" w:cs="Arial"/>
          <w:sz w:val="24"/>
          <w:szCs w:val="24"/>
        </w:rPr>
        <w:t>Einzelner Abgeordneter somit nicht Mitte des dt. BT</w:t>
      </w:r>
    </w:p>
    <w:p w14:paraId="2D93A77C" w14:textId="77777777" w:rsidR="00D177E2" w:rsidRDefault="00000000">
      <w:pPr>
        <w:pStyle w:val="Listenabsatz"/>
        <w:numPr>
          <w:ilvl w:val="0"/>
          <w:numId w:val="16"/>
        </w:numPr>
        <w:spacing w:line="360" w:lineRule="auto"/>
        <w:jc w:val="both"/>
        <w:rPr>
          <w:rFonts w:ascii="Arial" w:hAnsi="Arial" w:cs="Arial"/>
          <w:sz w:val="24"/>
          <w:szCs w:val="24"/>
        </w:rPr>
      </w:pPr>
      <w:r>
        <w:rPr>
          <w:rFonts w:ascii="Arial" w:hAnsi="Arial" w:cs="Arial"/>
          <w:sz w:val="24"/>
          <w:szCs w:val="24"/>
        </w:rPr>
        <w:t>Abweichung gem. § 126 GOBT? (-)</w:t>
      </w:r>
    </w:p>
    <w:p w14:paraId="148D17DE" w14:textId="77777777" w:rsidR="00D177E2" w:rsidRDefault="00000000">
      <w:pPr>
        <w:pStyle w:val="Listenabsatz"/>
        <w:numPr>
          <w:ilvl w:val="1"/>
          <w:numId w:val="14"/>
        </w:numPr>
        <w:spacing w:line="360" w:lineRule="auto"/>
        <w:jc w:val="both"/>
        <w:rPr>
          <w:rFonts w:ascii="Arial" w:hAnsi="Arial" w:cs="Arial"/>
          <w:sz w:val="24"/>
          <w:szCs w:val="24"/>
        </w:rPr>
      </w:pPr>
      <w:r>
        <w:rPr>
          <w:rFonts w:ascii="Arial" w:hAnsi="Arial" w:cs="Arial"/>
          <w:sz w:val="24"/>
          <w:szCs w:val="24"/>
        </w:rPr>
        <w:t>Unbeachtlicher Verfahrensverstoß? (</w:t>
      </w:r>
      <w:r>
        <w:rPr>
          <w:rFonts w:ascii="Arial" w:hAnsi="Arial" w:cs="Arial"/>
          <w:color w:val="000000" w:themeColor="text1"/>
          <w:sz w:val="24"/>
          <w:szCs w:val="24"/>
        </w:rPr>
        <w:t xml:space="preserve">dazu: </w:t>
      </w:r>
      <w:r>
        <w:rPr>
          <w:rFonts w:ascii="Arial" w:hAnsi="Arial" w:cs="Arial"/>
          <w:i/>
          <w:iCs/>
          <w:color w:val="000000" w:themeColor="text1"/>
          <w:sz w:val="24"/>
          <w:szCs w:val="24"/>
        </w:rPr>
        <w:t>Degenhart</w:t>
      </w:r>
      <w:r>
        <w:rPr>
          <w:rFonts w:ascii="Arial" w:hAnsi="Arial" w:cs="Arial"/>
          <w:color w:val="000000" w:themeColor="text1"/>
          <w:sz w:val="24"/>
          <w:szCs w:val="24"/>
        </w:rPr>
        <w:t>, Staatsorganisationsrecht, 39. Auflage 2023, Rn. 209 ff.)</w:t>
      </w:r>
    </w:p>
    <w:p w14:paraId="03D94EA2" w14:textId="77777777" w:rsidR="00D177E2" w:rsidRDefault="00000000">
      <w:pPr>
        <w:spacing w:line="360" w:lineRule="auto"/>
        <w:ind w:left="1080"/>
        <w:jc w:val="both"/>
        <w:rPr>
          <w:rFonts w:ascii="Arial" w:hAnsi="Arial" w:cs="Arial"/>
          <w:sz w:val="24"/>
          <w:szCs w:val="24"/>
        </w:rPr>
      </w:pPr>
      <w:r>
        <w:rPr>
          <w:rFonts w:ascii="Arial" w:hAnsi="Arial" w:cs="Arial"/>
          <w:sz w:val="24"/>
          <w:szCs w:val="24"/>
        </w:rPr>
        <w:t>Ja, siehe Art. 82 GG („nach den Vorschriften dieses GG“), außerdem begibt sich BT des eigenen Schutzes, wenn er sich die Vorlage durch Beschlussfassung zu eigen macht; Verstoß gegen Art. 76 I GG daher unbeachtlich</w:t>
      </w:r>
    </w:p>
    <w:p w14:paraId="42AA4C0E" w14:textId="77777777" w:rsidR="00D177E2" w:rsidRDefault="00D177E2">
      <w:pPr>
        <w:spacing w:line="360" w:lineRule="auto"/>
        <w:jc w:val="both"/>
        <w:rPr>
          <w:rFonts w:ascii="Arial" w:hAnsi="Arial" w:cs="Arial"/>
          <w:sz w:val="24"/>
          <w:szCs w:val="24"/>
        </w:rPr>
      </w:pPr>
    </w:p>
    <w:p w14:paraId="1A349F90" w14:textId="77777777" w:rsidR="00D177E2" w:rsidRDefault="00000000">
      <w:pPr>
        <w:spacing w:line="360" w:lineRule="auto"/>
        <w:jc w:val="both"/>
        <w:rPr>
          <w:rFonts w:ascii="Arial" w:hAnsi="Arial" w:cs="Arial"/>
          <w:b/>
          <w:bCs/>
          <w:sz w:val="24"/>
          <w:szCs w:val="24"/>
        </w:rPr>
      </w:pPr>
      <w:r>
        <w:rPr>
          <w:rFonts w:ascii="Arial" w:hAnsi="Arial" w:cs="Arial"/>
          <w:b/>
          <w:bCs/>
          <w:sz w:val="24"/>
          <w:szCs w:val="24"/>
        </w:rPr>
        <w:t>b. Hauptverfahren</w:t>
      </w:r>
    </w:p>
    <w:p w14:paraId="6FDA0F0E" w14:textId="77777777" w:rsidR="00D177E2" w:rsidRDefault="00000000">
      <w:pPr>
        <w:spacing w:line="360" w:lineRule="auto"/>
        <w:jc w:val="both"/>
        <w:rPr>
          <w:rFonts w:ascii="Arial" w:hAnsi="Arial" w:cs="Arial"/>
          <w:b/>
          <w:bCs/>
          <w:sz w:val="24"/>
          <w:szCs w:val="24"/>
        </w:rPr>
      </w:pPr>
      <w:r>
        <w:rPr>
          <w:rFonts w:ascii="Arial" w:hAnsi="Arial" w:cs="Arial"/>
          <w:b/>
          <w:bCs/>
          <w:sz w:val="24"/>
          <w:szCs w:val="24"/>
        </w:rPr>
        <w:t>aa. Beschlussfassung im Bundestag, Art 77 I GG</w:t>
      </w:r>
    </w:p>
    <w:p w14:paraId="1B8091B0" w14:textId="77777777" w:rsidR="00D177E2" w:rsidRDefault="00000000">
      <w:pPr>
        <w:pStyle w:val="Listenabsatz"/>
        <w:numPr>
          <w:ilvl w:val="0"/>
          <w:numId w:val="15"/>
        </w:numPr>
        <w:spacing w:line="360" w:lineRule="auto"/>
        <w:jc w:val="both"/>
        <w:rPr>
          <w:rFonts w:ascii="Arial" w:hAnsi="Arial" w:cs="Arial"/>
          <w:color w:val="000000" w:themeColor="text1"/>
          <w:sz w:val="24"/>
          <w:szCs w:val="24"/>
        </w:rPr>
      </w:pPr>
      <w:r>
        <w:rPr>
          <w:rFonts w:ascii="Arial" w:hAnsi="Arial" w:cs="Arial"/>
          <w:b/>
          <w:bCs/>
          <w:color w:val="000000" w:themeColor="text1"/>
          <w:sz w:val="24"/>
          <w:szCs w:val="24"/>
        </w:rPr>
        <w:t xml:space="preserve">P! Verstoß gegen „Drei-Lesungen“, § 78 I GOBT </w:t>
      </w:r>
      <w:r>
        <w:rPr>
          <w:rFonts w:ascii="Arial" w:hAnsi="Arial" w:cs="Arial"/>
          <w:color w:val="000000" w:themeColor="text1"/>
          <w:sz w:val="24"/>
          <w:szCs w:val="24"/>
        </w:rPr>
        <w:t xml:space="preserve">(siehe </w:t>
      </w:r>
      <w:r>
        <w:rPr>
          <w:rFonts w:ascii="Arial" w:hAnsi="Arial" w:cs="Arial"/>
          <w:i/>
          <w:iCs/>
          <w:color w:val="000000" w:themeColor="text1"/>
          <w:sz w:val="24"/>
          <w:szCs w:val="24"/>
        </w:rPr>
        <w:t>Degenhart</w:t>
      </w:r>
      <w:r>
        <w:rPr>
          <w:rFonts w:ascii="Arial" w:hAnsi="Arial" w:cs="Arial"/>
          <w:color w:val="000000" w:themeColor="text1"/>
          <w:sz w:val="24"/>
          <w:szCs w:val="24"/>
        </w:rPr>
        <w:t>, Staatsorganisationsrecht, 39. Auflage 2023, Rn. 219)</w:t>
      </w:r>
    </w:p>
    <w:p w14:paraId="2E61BB52" w14:textId="77777777" w:rsidR="00D177E2" w:rsidRDefault="00000000">
      <w:pPr>
        <w:spacing w:line="360" w:lineRule="auto"/>
        <w:ind w:left="360"/>
        <w:jc w:val="both"/>
        <w:rPr>
          <w:rFonts w:ascii="Arial" w:hAnsi="Arial" w:cs="Arial"/>
          <w:sz w:val="24"/>
          <w:szCs w:val="24"/>
        </w:rPr>
      </w:pPr>
      <w:r>
        <w:rPr>
          <w:rFonts w:ascii="Arial" w:hAnsi="Arial" w:cs="Arial"/>
          <w:sz w:val="24"/>
          <w:szCs w:val="24"/>
        </w:rPr>
        <w:t>Reiner Innenrechtsverstoß, der keine Verfassungswidrigkeit begründet, da das GG diese Voraussetzung nicht kennt und sie auch keine Voraussetzung für eine veritable parlamentarische Beratung ist. Wenn nicht gestritten wird, d.h. wenn weniger als drei Sitzung für eine Einigung erforderlich sind, genügt dies der demokratischen Legitimation.</w:t>
      </w:r>
    </w:p>
    <w:p w14:paraId="765BFCF9" w14:textId="77777777" w:rsidR="00D177E2" w:rsidRDefault="00D177E2">
      <w:pPr>
        <w:spacing w:line="360" w:lineRule="auto"/>
        <w:ind w:left="360"/>
        <w:jc w:val="both"/>
        <w:rPr>
          <w:rFonts w:ascii="Arial" w:hAnsi="Arial" w:cs="Arial"/>
          <w:sz w:val="24"/>
          <w:szCs w:val="24"/>
        </w:rPr>
      </w:pPr>
    </w:p>
    <w:p w14:paraId="4204C189" w14:textId="77777777" w:rsidR="00D177E2" w:rsidRDefault="00000000">
      <w:pPr>
        <w:pStyle w:val="Listenabsatz"/>
        <w:numPr>
          <w:ilvl w:val="0"/>
          <w:numId w:val="15"/>
        </w:numPr>
        <w:spacing w:line="360" w:lineRule="auto"/>
        <w:jc w:val="both"/>
        <w:rPr>
          <w:rFonts w:ascii="Arial" w:hAnsi="Arial" w:cs="Arial"/>
          <w:b/>
          <w:bCs/>
          <w:sz w:val="24"/>
          <w:szCs w:val="24"/>
        </w:rPr>
      </w:pPr>
      <w:r>
        <w:rPr>
          <w:rFonts w:ascii="Arial" w:hAnsi="Arial" w:cs="Arial"/>
          <w:b/>
          <w:bCs/>
          <w:sz w:val="24"/>
          <w:szCs w:val="24"/>
        </w:rPr>
        <w:t>P! Beschlussfähigkeit des Bundestags, § 45 I GOBT</w:t>
      </w:r>
    </w:p>
    <w:p w14:paraId="4B817FF5" w14:textId="77777777" w:rsidR="00D177E2" w:rsidRDefault="00000000">
      <w:pPr>
        <w:spacing w:line="360" w:lineRule="auto"/>
        <w:ind w:left="360"/>
        <w:jc w:val="both"/>
        <w:rPr>
          <w:rFonts w:ascii="Arial" w:hAnsi="Arial" w:cs="Arial"/>
          <w:sz w:val="24"/>
          <w:szCs w:val="24"/>
        </w:rPr>
      </w:pPr>
      <w:r>
        <w:rPr>
          <w:rFonts w:ascii="Arial" w:hAnsi="Arial" w:cs="Arial"/>
          <w:sz w:val="24"/>
          <w:szCs w:val="24"/>
        </w:rPr>
        <w:t xml:space="preserve">Wird vermutet, solange die Beschlussfähigkeit nicht gem. § 45 II GOBT bezweifelt wird (siehe BVerfGE Band 44, 308; </w:t>
      </w:r>
      <w:r>
        <w:rPr>
          <w:rFonts w:ascii="Arial" w:hAnsi="Arial" w:cs="Arial"/>
          <w:i/>
          <w:iCs/>
          <w:sz w:val="24"/>
          <w:szCs w:val="24"/>
        </w:rPr>
        <w:t>Gröpl</w:t>
      </w:r>
      <w:r>
        <w:rPr>
          <w:rFonts w:ascii="Arial" w:hAnsi="Arial" w:cs="Arial"/>
          <w:sz w:val="24"/>
          <w:szCs w:val="24"/>
        </w:rPr>
        <w:t>, Staatsrecht I, 15. Auflage, Rn. 925)</w:t>
      </w:r>
    </w:p>
    <w:p w14:paraId="4216B604" w14:textId="77777777" w:rsidR="00D177E2" w:rsidRDefault="00D177E2">
      <w:pPr>
        <w:spacing w:line="360" w:lineRule="auto"/>
        <w:jc w:val="both"/>
        <w:rPr>
          <w:rFonts w:ascii="Arial" w:hAnsi="Arial" w:cs="Arial"/>
          <w:sz w:val="24"/>
          <w:szCs w:val="24"/>
        </w:rPr>
      </w:pPr>
    </w:p>
    <w:p w14:paraId="7C519363" w14:textId="77777777" w:rsidR="00D177E2" w:rsidRDefault="00000000">
      <w:pPr>
        <w:spacing w:line="360" w:lineRule="auto"/>
        <w:jc w:val="both"/>
        <w:rPr>
          <w:rFonts w:ascii="Arial" w:hAnsi="Arial" w:cs="Arial"/>
          <w:b/>
          <w:bCs/>
          <w:sz w:val="24"/>
          <w:szCs w:val="24"/>
        </w:rPr>
      </w:pPr>
      <w:r>
        <w:rPr>
          <w:rFonts w:ascii="Arial" w:hAnsi="Arial" w:cs="Arial"/>
          <w:b/>
          <w:bCs/>
          <w:sz w:val="24"/>
          <w:szCs w:val="24"/>
        </w:rPr>
        <w:t>bb. Beteiligung des Bundesrats</w:t>
      </w:r>
    </w:p>
    <w:p w14:paraId="6090384C" w14:textId="77777777" w:rsidR="00D177E2" w:rsidRDefault="00000000">
      <w:pPr>
        <w:spacing w:line="360" w:lineRule="auto"/>
        <w:jc w:val="both"/>
        <w:rPr>
          <w:rFonts w:ascii="Arial" w:hAnsi="Arial" w:cs="Arial"/>
          <w:sz w:val="24"/>
          <w:szCs w:val="24"/>
        </w:rPr>
      </w:pPr>
      <w:r>
        <w:rPr>
          <w:rFonts w:ascii="Arial" w:hAnsi="Arial" w:cs="Arial"/>
          <w:sz w:val="24"/>
          <w:szCs w:val="24"/>
        </w:rPr>
        <w:t>(Vorüberlegung: Einspruchs- oder Zustimmungsgesetz)</w:t>
      </w:r>
    </w:p>
    <w:p w14:paraId="17CC94DA" w14:textId="77777777" w:rsidR="00D177E2" w:rsidRDefault="00000000">
      <w:pPr>
        <w:spacing w:line="360" w:lineRule="auto"/>
        <w:jc w:val="both"/>
        <w:rPr>
          <w:rFonts w:ascii="Arial" w:hAnsi="Arial" w:cs="Arial"/>
          <w:sz w:val="24"/>
          <w:szCs w:val="24"/>
        </w:rPr>
      </w:pPr>
      <w:r>
        <w:rPr>
          <w:rFonts w:ascii="Arial" w:hAnsi="Arial" w:cs="Arial"/>
          <w:sz w:val="24"/>
          <w:szCs w:val="24"/>
        </w:rPr>
        <w:t xml:space="preserve">Hier: Zustimmungsgesetz </w:t>
      </w:r>
      <w:r>
        <w:rPr>
          <w:rFonts w:ascii="Wingdings" w:eastAsia="Wingdings" w:hAnsi="Wingdings" w:cs="Wingdings"/>
          <w:sz w:val="24"/>
          <w:szCs w:val="24"/>
        </w:rPr>
        <w:t>à</w:t>
      </w:r>
      <w:r>
        <w:rPr>
          <w:rFonts w:ascii="Arial" w:hAnsi="Arial" w:cs="Arial"/>
          <w:sz w:val="24"/>
          <w:szCs w:val="24"/>
        </w:rPr>
        <w:t xml:space="preserve"> Art. 74 I Nr. 25, II GG</w:t>
      </w:r>
    </w:p>
    <w:p w14:paraId="1E772F7C" w14:textId="77777777" w:rsidR="00D177E2" w:rsidRDefault="00000000">
      <w:pPr>
        <w:spacing w:line="360" w:lineRule="auto"/>
        <w:jc w:val="both"/>
        <w:rPr>
          <w:rFonts w:ascii="Arial" w:hAnsi="Arial" w:cs="Arial"/>
          <w:b/>
          <w:sz w:val="24"/>
          <w:szCs w:val="24"/>
        </w:rPr>
      </w:pPr>
      <w:r>
        <w:rPr>
          <w:rFonts w:ascii="Arial" w:hAnsi="Arial" w:cs="Arial"/>
          <w:b/>
          <w:sz w:val="24"/>
          <w:szCs w:val="24"/>
        </w:rPr>
        <w:t>Daher: Ordnungsgemäßer Zustimmungsbeschluss, vgl. Art. 77 IIa GG?</w:t>
      </w:r>
    </w:p>
    <w:p w14:paraId="5D657C0A" w14:textId="77777777" w:rsidR="00D177E2" w:rsidRDefault="00000000">
      <w:pPr>
        <w:pStyle w:val="Listenabsatz"/>
        <w:numPr>
          <w:ilvl w:val="0"/>
          <w:numId w:val="15"/>
        </w:numPr>
        <w:spacing w:line="360" w:lineRule="auto"/>
        <w:jc w:val="both"/>
        <w:rPr>
          <w:rFonts w:ascii="Arial" w:hAnsi="Arial" w:cs="Arial"/>
          <w:bCs/>
          <w:sz w:val="24"/>
          <w:szCs w:val="24"/>
        </w:rPr>
      </w:pPr>
      <w:r>
        <w:rPr>
          <w:rFonts w:ascii="Arial" w:hAnsi="Arial" w:cs="Arial"/>
          <w:b/>
          <w:sz w:val="24"/>
          <w:szCs w:val="24"/>
        </w:rPr>
        <w:t xml:space="preserve">P! Uneinheitliche Stimmabgabe im Bundesrat, vgl. Art. 51 III 2 GG </w:t>
      </w:r>
      <w:r>
        <w:rPr>
          <w:rFonts w:ascii="Arial" w:hAnsi="Arial" w:cs="Arial"/>
          <w:bCs/>
          <w:sz w:val="24"/>
          <w:szCs w:val="24"/>
        </w:rPr>
        <w:t xml:space="preserve">(siehe BVerfGE 106, 330; </w:t>
      </w:r>
      <w:r>
        <w:rPr>
          <w:rFonts w:ascii="Arial" w:hAnsi="Arial" w:cs="Arial"/>
          <w:bCs/>
          <w:i/>
          <w:iCs/>
          <w:color w:val="000000" w:themeColor="text1"/>
          <w:sz w:val="24"/>
          <w:szCs w:val="24"/>
        </w:rPr>
        <w:t>Degenhart</w:t>
      </w:r>
      <w:r>
        <w:rPr>
          <w:rFonts w:ascii="Arial" w:hAnsi="Arial" w:cs="Arial"/>
          <w:bCs/>
          <w:color w:val="000000" w:themeColor="text1"/>
          <w:sz w:val="24"/>
          <w:szCs w:val="24"/>
        </w:rPr>
        <w:t>, Staatsorganisationsrecht, 39. Auflage 2023, Rn. 726-728)</w:t>
      </w:r>
    </w:p>
    <w:p w14:paraId="19547D3A" w14:textId="77777777" w:rsidR="00D177E2" w:rsidRDefault="00000000">
      <w:pPr>
        <w:pStyle w:val="Listenabsatz"/>
        <w:numPr>
          <w:ilvl w:val="0"/>
          <w:numId w:val="17"/>
        </w:numPr>
        <w:spacing w:line="360" w:lineRule="auto"/>
        <w:jc w:val="both"/>
        <w:rPr>
          <w:rFonts w:ascii="Arial" w:hAnsi="Arial" w:cs="Arial"/>
          <w:bCs/>
          <w:sz w:val="24"/>
          <w:szCs w:val="24"/>
        </w:rPr>
      </w:pPr>
      <w:r>
        <w:rPr>
          <w:rFonts w:ascii="Arial" w:hAnsi="Arial" w:cs="Arial"/>
          <w:bCs/>
          <w:sz w:val="24"/>
          <w:szCs w:val="24"/>
        </w:rPr>
        <w:t>Nein, wenn Stimme des Ministerpräsidenten maßgeblich:</w:t>
      </w:r>
    </w:p>
    <w:p w14:paraId="5954DBA2" w14:textId="77777777" w:rsidR="00D177E2" w:rsidRDefault="00000000">
      <w:pPr>
        <w:pStyle w:val="Listenabsatz"/>
        <w:numPr>
          <w:ilvl w:val="1"/>
          <w:numId w:val="17"/>
        </w:numPr>
        <w:spacing w:line="360" w:lineRule="auto"/>
        <w:jc w:val="both"/>
        <w:rPr>
          <w:rFonts w:ascii="Arial" w:hAnsi="Arial" w:cs="Arial"/>
          <w:b/>
          <w:sz w:val="24"/>
          <w:szCs w:val="24"/>
        </w:rPr>
      </w:pPr>
      <w:r>
        <w:rPr>
          <w:rFonts w:ascii="Arial" w:hAnsi="Arial" w:cs="Arial"/>
          <w:b/>
          <w:sz w:val="24"/>
          <w:szCs w:val="24"/>
        </w:rPr>
        <w:t xml:space="preserve">Dagegen: </w:t>
      </w:r>
      <w:r>
        <w:rPr>
          <w:rFonts w:ascii="Arial" w:hAnsi="Arial" w:cs="Arial"/>
          <w:bCs/>
          <w:sz w:val="24"/>
          <w:szCs w:val="24"/>
        </w:rPr>
        <w:t>Koalitionsvertrag, jedoch keine rechtliche Außenwirkung; somit unergiebig</w:t>
      </w:r>
    </w:p>
    <w:p w14:paraId="277AAD38" w14:textId="77777777" w:rsidR="00D177E2" w:rsidRDefault="00000000">
      <w:pPr>
        <w:pStyle w:val="Listenabsatz"/>
        <w:numPr>
          <w:ilvl w:val="1"/>
          <w:numId w:val="17"/>
        </w:numPr>
        <w:spacing w:line="360" w:lineRule="auto"/>
        <w:jc w:val="both"/>
        <w:rPr>
          <w:rFonts w:ascii="Arial" w:hAnsi="Arial" w:cs="Arial"/>
          <w:bCs/>
          <w:sz w:val="24"/>
          <w:szCs w:val="24"/>
        </w:rPr>
      </w:pPr>
      <w:r>
        <w:rPr>
          <w:rFonts w:ascii="Arial" w:hAnsi="Arial" w:cs="Arial"/>
          <w:b/>
          <w:sz w:val="24"/>
          <w:szCs w:val="24"/>
        </w:rPr>
        <w:t xml:space="preserve">Dagegen: </w:t>
      </w:r>
      <w:r>
        <w:rPr>
          <w:rFonts w:ascii="Arial" w:hAnsi="Arial" w:cs="Arial"/>
          <w:bCs/>
          <w:sz w:val="24"/>
          <w:szCs w:val="24"/>
        </w:rPr>
        <w:t>Keine Stimmführerschaft, siehe Besetzung des Bundesrates, außerdem Widerspruch durch Minister</w:t>
      </w:r>
    </w:p>
    <w:p w14:paraId="28540F3E" w14:textId="77777777" w:rsidR="00D177E2" w:rsidRDefault="00000000">
      <w:pPr>
        <w:pStyle w:val="Listenabsatz"/>
        <w:spacing w:line="360" w:lineRule="auto"/>
        <w:ind w:left="1440"/>
        <w:jc w:val="both"/>
        <w:rPr>
          <w:rFonts w:ascii="Arial" w:hAnsi="Arial" w:cs="Arial"/>
          <w:bCs/>
          <w:sz w:val="24"/>
          <w:szCs w:val="24"/>
        </w:rPr>
      </w:pPr>
      <w:r>
        <w:rPr>
          <w:rFonts w:ascii="Arial" w:hAnsi="Arial" w:cs="Arial"/>
          <w:bCs/>
          <w:sz w:val="24"/>
          <w:szCs w:val="24"/>
        </w:rPr>
        <w:lastRenderedPageBreak/>
        <w:t xml:space="preserve">(Beachte: Die Stimmführerschaft wird aus praktischen Gründen grds. akzeptiert. Sie endet allerdings, wenn ein anwesendes und stimmberechtigtes Mitglied dem Abstimmungsverhalten des </w:t>
      </w:r>
      <w:r>
        <w:rPr>
          <w:rFonts w:ascii="Arial" w:hAnsi="Arial" w:cs="Arial"/>
          <w:bCs/>
          <w:i/>
          <w:iCs/>
          <w:sz w:val="24"/>
          <w:szCs w:val="24"/>
        </w:rPr>
        <w:t>„Stimmführers“</w:t>
      </w:r>
      <w:r>
        <w:rPr>
          <w:rFonts w:ascii="Arial" w:hAnsi="Arial" w:cs="Arial"/>
          <w:bCs/>
          <w:sz w:val="24"/>
          <w:szCs w:val="24"/>
        </w:rPr>
        <w:t xml:space="preserve"> widerspricht)</w:t>
      </w:r>
    </w:p>
    <w:p w14:paraId="3BD98575" w14:textId="77777777" w:rsidR="00D177E2" w:rsidRDefault="00000000">
      <w:pPr>
        <w:pStyle w:val="Listenabsatz"/>
        <w:numPr>
          <w:ilvl w:val="1"/>
          <w:numId w:val="15"/>
        </w:numPr>
        <w:spacing w:line="360" w:lineRule="auto"/>
        <w:jc w:val="both"/>
        <w:rPr>
          <w:rFonts w:ascii="Arial" w:hAnsi="Arial" w:cs="Arial"/>
          <w:bCs/>
          <w:sz w:val="24"/>
          <w:szCs w:val="24"/>
        </w:rPr>
      </w:pPr>
      <w:r>
        <w:rPr>
          <w:rFonts w:ascii="Arial" w:hAnsi="Arial" w:cs="Arial"/>
          <w:b/>
          <w:bCs/>
          <w:sz w:val="24"/>
          <w:szCs w:val="24"/>
        </w:rPr>
        <w:t xml:space="preserve">Dagegen: </w:t>
      </w:r>
      <w:r>
        <w:rPr>
          <w:rFonts w:ascii="Arial" w:hAnsi="Arial" w:cs="Arial"/>
          <w:sz w:val="24"/>
          <w:szCs w:val="24"/>
        </w:rPr>
        <w:t>generell unpraktikabel, wenn Stimme des MP entscheidend; muss nicht bei allen Sitzungen anwesend sein</w:t>
      </w:r>
    </w:p>
    <w:p w14:paraId="22E19B5E" w14:textId="77777777" w:rsidR="00D177E2" w:rsidRDefault="00000000">
      <w:pPr>
        <w:pStyle w:val="Listenabsatz"/>
        <w:numPr>
          <w:ilvl w:val="0"/>
          <w:numId w:val="17"/>
        </w:numPr>
        <w:spacing w:line="360" w:lineRule="auto"/>
        <w:jc w:val="both"/>
        <w:rPr>
          <w:rFonts w:ascii="Arial" w:hAnsi="Arial" w:cs="Arial"/>
          <w:bCs/>
          <w:sz w:val="24"/>
          <w:szCs w:val="24"/>
        </w:rPr>
      </w:pPr>
      <w:r>
        <w:rPr>
          <w:rFonts w:ascii="Arial" w:hAnsi="Arial" w:cs="Arial"/>
          <w:b/>
          <w:sz w:val="24"/>
          <w:szCs w:val="24"/>
        </w:rPr>
        <w:t>Zwischenergebnis:</w:t>
      </w:r>
      <w:r>
        <w:rPr>
          <w:rFonts w:ascii="Arial" w:hAnsi="Arial" w:cs="Arial"/>
          <w:bCs/>
          <w:sz w:val="24"/>
          <w:szCs w:val="24"/>
        </w:rPr>
        <w:t xml:space="preserve"> Stimmabgabe des Landes W uneinheitlich</w:t>
      </w:r>
    </w:p>
    <w:p w14:paraId="44123206" w14:textId="77777777" w:rsidR="00D177E2" w:rsidRDefault="00D177E2">
      <w:pPr>
        <w:spacing w:line="360" w:lineRule="auto"/>
        <w:jc w:val="both"/>
        <w:rPr>
          <w:rFonts w:ascii="Arial" w:hAnsi="Arial" w:cs="Arial"/>
          <w:bCs/>
          <w:sz w:val="24"/>
          <w:szCs w:val="24"/>
        </w:rPr>
      </w:pPr>
    </w:p>
    <w:p w14:paraId="0915F7F6" w14:textId="77777777" w:rsidR="00D177E2" w:rsidRDefault="00D177E2">
      <w:pPr>
        <w:spacing w:line="360" w:lineRule="auto"/>
        <w:jc w:val="both"/>
        <w:rPr>
          <w:rFonts w:ascii="Arial" w:hAnsi="Arial" w:cs="Arial"/>
          <w:bCs/>
          <w:sz w:val="24"/>
          <w:szCs w:val="24"/>
        </w:rPr>
      </w:pPr>
    </w:p>
    <w:p w14:paraId="2AD63B6F" w14:textId="77777777" w:rsidR="00D177E2" w:rsidRDefault="00000000">
      <w:pPr>
        <w:pStyle w:val="Listenabsatz"/>
        <w:numPr>
          <w:ilvl w:val="0"/>
          <w:numId w:val="17"/>
        </w:numPr>
        <w:spacing w:line="360" w:lineRule="auto"/>
        <w:jc w:val="both"/>
        <w:rPr>
          <w:rFonts w:ascii="Arial" w:hAnsi="Arial" w:cs="Arial"/>
          <w:bCs/>
          <w:sz w:val="24"/>
          <w:szCs w:val="24"/>
        </w:rPr>
      </w:pPr>
      <w:r>
        <w:rPr>
          <w:rFonts w:ascii="Arial" w:hAnsi="Arial" w:cs="Arial"/>
          <w:b/>
          <w:sz w:val="24"/>
          <w:szCs w:val="24"/>
        </w:rPr>
        <w:t>Stimmkorrektur</w:t>
      </w:r>
      <w:r>
        <w:rPr>
          <w:rFonts w:ascii="Arial" w:hAnsi="Arial" w:cs="Arial"/>
          <w:bCs/>
          <w:sz w:val="24"/>
          <w:szCs w:val="24"/>
        </w:rPr>
        <w:t xml:space="preserve"> durch Nachfrage durch den Bundesratspräsidenten </w:t>
      </w:r>
      <w:r>
        <w:rPr>
          <w:rFonts w:ascii="Arial" w:hAnsi="Arial" w:cs="Arial"/>
          <w:bCs/>
          <w:color w:val="000000" w:themeColor="text1"/>
          <w:sz w:val="24"/>
          <w:szCs w:val="24"/>
        </w:rPr>
        <w:t xml:space="preserve">(siehe dazu: </w:t>
      </w:r>
      <w:r>
        <w:rPr>
          <w:rFonts w:ascii="Arial" w:hAnsi="Arial" w:cs="Arial"/>
          <w:i/>
          <w:color w:val="000000" w:themeColor="text1"/>
          <w:sz w:val="24"/>
          <w:szCs w:val="24"/>
        </w:rPr>
        <w:t>Bumke/Voßkuhle</w:t>
      </w:r>
      <w:r>
        <w:rPr>
          <w:rFonts w:ascii="Arial" w:hAnsi="Arial" w:cs="Arial"/>
          <w:color w:val="000000" w:themeColor="text1"/>
          <w:sz w:val="24"/>
          <w:szCs w:val="24"/>
        </w:rPr>
        <w:t>, Casebook zum Verfassungsrecht, 9. Auflage 2023, Rn. 2255 ff.)</w:t>
      </w:r>
    </w:p>
    <w:p w14:paraId="77B2EB76" w14:textId="77777777" w:rsidR="00D177E2" w:rsidRDefault="00000000">
      <w:pPr>
        <w:pStyle w:val="Listenabsatz"/>
        <w:numPr>
          <w:ilvl w:val="1"/>
          <w:numId w:val="17"/>
        </w:numPr>
        <w:spacing w:line="360" w:lineRule="auto"/>
        <w:jc w:val="both"/>
        <w:rPr>
          <w:rFonts w:ascii="Arial" w:hAnsi="Arial" w:cs="Arial"/>
          <w:bCs/>
          <w:sz w:val="24"/>
          <w:szCs w:val="24"/>
        </w:rPr>
      </w:pPr>
      <w:r>
        <w:rPr>
          <w:rFonts w:ascii="Arial" w:hAnsi="Arial" w:cs="Arial"/>
          <w:sz w:val="24"/>
          <w:szCs w:val="24"/>
        </w:rPr>
        <w:t>Vss.: Nachfragerecht zulässig:</w:t>
      </w:r>
    </w:p>
    <w:p w14:paraId="25FFFB6A" w14:textId="77777777" w:rsidR="00D177E2" w:rsidRDefault="00000000">
      <w:pPr>
        <w:spacing w:line="360" w:lineRule="auto"/>
        <w:ind w:left="1080"/>
        <w:jc w:val="both"/>
        <w:rPr>
          <w:rFonts w:ascii="Arial" w:hAnsi="Arial" w:cs="Arial"/>
          <w:bCs/>
          <w:sz w:val="24"/>
          <w:szCs w:val="24"/>
        </w:rPr>
      </w:pPr>
      <w:r>
        <w:rPr>
          <w:rFonts w:ascii="Arial" w:hAnsi="Arial" w:cs="Arial"/>
          <w:bCs/>
          <w:i/>
          <w:iCs/>
          <w:sz w:val="24"/>
          <w:szCs w:val="24"/>
        </w:rPr>
        <w:t xml:space="preserve">„Der die Abstimmung leitende Bundesratspräsident ist grundsätzlich berechtigt, bei Unklarheiten im Abstimmungsverlauf mit geeigneten Maßnahmen eine Klärung herbeizuführen und auf eine wirksame Abstimmung hinzuwirken. Dies entspricht seiner Pflicht als unparteiischer Sitzungsleiter, dem die Aufgabe obliegt, den Willen des Bundesrats mit Gesetzgebungsverfahren klar festzustellen. Art. 78 GG i.V.m. dem Rechtsstaatsprinzip gebietet, den Willen des beteiligten Verfassungsorgane zurechenbar festzustellen; dies gilt für den förmlichen Gesetzesbeschluss des Bundestages ebenso wie für die Zustimmung des Bundesrates. Wann insofern von einer Unklarheit als Anlass zur Rückfrage auszugehen ist, ist verfassungsgerichtlich nachprüfbar; indes steht dem sitzungsleitenden Bundesratspräsidenten insoweit eine Einschätzungsprärogative zu. Das Recht zur Nachfrage entfällt allerdings, wenn ein einheitlicher Landeswille erkennbar nicht besteht und nach den gesamten Umständen nicht zu erwarten ist, dass ein solcher noch während der Abstimmung zustande kommen werde.“ </w:t>
      </w:r>
      <w:r>
        <w:rPr>
          <w:rFonts w:ascii="Arial" w:hAnsi="Arial" w:cs="Arial"/>
          <w:bCs/>
          <w:sz w:val="24"/>
          <w:szCs w:val="24"/>
        </w:rPr>
        <w:t>BVerfGE 106, 310, 332.</w:t>
      </w:r>
    </w:p>
    <w:p w14:paraId="685CDA90" w14:textId="77777777" w:rsidR="00D177E2" w:rsidRDefault="00000000">
      <w:pPr>
        <w:spacing w:line="360" w:lineRule="auto"/>
        <w:ind w:left="1080"/>
        <w:jc w:val="both"/>
        <w:rPr>
          <w:rFonts w:ascii="Arial" w:hAnsi="Arial" w:cs="Arial"/>
          <w:bCs/>
          <w:sz w:val="24"/>
          <w:szCs w:val="24"/>
        </w:rPr>
      </w:pPr>
      <w:r>
        <w:rPr>
          <w:rFonts w:ascii="Wingdings" w:eastAsia="Wingdings" w:hAnsi="Wingdings" w:cs="Wingdings"/>
          <w:bCs/>
          <w:sz w:val="24"/>
          <w:szCs w:val="24"/>
        </w:rPr>
        <w:t>à</w:t>
      </w:r>
      <w:r>
        <w:rPr>
          <w:rFonts w:ascii="Arial" w:hAnsi="Arial" w:cs="Arial"/>
          <w:bCs/>
          <w:sz w:val="24"/>
          <w:szCs w:val="24"/>
        </w:rPr>
        <w:t xml:space="preserve"> siehe auch Grundsatz der Formstrenge aus § 30 GO BR</w:t>
      </w:r>
    </w:p>
    <w:p w14:paraId="4D39A3F9" w14:textId="77777777" w:rsidR="00D177E2" w:rsidRDefault="00000000">
      <w:pPr>
        <w:pStyle w:val="Listenabsatz"/>
        <w:numPr>
          <w:ilvl w:val="0"/>
          <w:numId w:val="18"/>
        </w:numPr>
        <w:spacing w:line="360" w:lineRule="auto"/>
        <w:jc w:val="both"/>
        <w:rPr>
          <w:rFonts w:ascii="Arial" w:hAnsi="Arial" w:cs="Arial"/>
          <w:bCs/>
          <w:i/>
          <w:iCs/>
          <w:sz w:val="24"/>
          <w:szCs w:val="24"/>
        </w:rPr>
      </w:pPr>
      <w:r>
        <w:rPr>
          <w:rFonts w:ascii="Arial" w:hAnsi="Arial" w:cs="Arial"/>
          <w:bCs/>
          <w:sz w:val="24"/>
          <w:szCs w:val="24"/>
        </w:rPr>
        <w:t>Subsumtion:</w:t>
      </w:r>
    </w:p>
    <w:p w14:paraId="3754633F" w14:textId="77777777" w:rsidR="00D177E2" w:rsidRDefault="00000000">
      <w:pPr>
        <w:spacing w:line="360" w:lineRule="auto"/>
        <w:ind w:left="1080"/>
        <w:jc w:val="both"/>
        <w:rPr>
          <w:rFonts w:ascii="Arial" w:hAnsi="Arial" w:cs="Arial"/>
          <w:bCs/>
          <w:sz w:val="24"/>
          <w:szCs w:val="24"/>
        </w:rPr>
      </w:pPr>
      <w:r>
        <w:rPr>
          <w:rFonts w:ascii="Arial" w:hAnsi="Arial" w:cs="Arial"/>
          <w:bCs/>
          <w:sz w:val="24"/>
          <w:szCs w:val="24"/>
        </w:rPr>
        <w:t xml:space="preserve">Der Dissens war bereits einige Tage bekannt, sodass keine einheitliche Linie zu erwarten war; </w:t>
      </w:r>
    </w:p>
    <w:p w14:paraId="3B702EEB" w14:textId="77777777" w:rsidR="00D177E2" w:rsidRDefault="00000000">
      <w:pPr>
        <w:spacing w:line="360" w:lineRule="auto"/>
        <w:ind w:left="1080"/>
        <w:jc w:val="both"/>
        <w:rPr>
          <w:rFonts w:ascii="Arial" w:hAnsi="Arial" w:cs="Arial"/>
          <w:bCs/>
          <w:i/>
          <w:iCs/>
          <w:sz w:val="24"/>
          <w:szCs w:val="24"/>
        </w:rPr>
      </w:pPr>
      <w:r>
        <w:rPr>
          <w:rFonts w:ascii="Arial" w:hAnsi="Arial" w:cs="Arial"/>
          <w:bCs/>
          <w:sz w:val="24"/>
          <w:szCs w:val="24"/>
        </w:rPr>
        <w:lastRenderedPageBreak/>
        <w:t>Folge: Kein Nachfragerecht</w:t>
      </w:r>
    </w:p>
    <w:p w14:paraId="59C4CEB4" w14:textId="77777777" w:rsidR="00D177E2" w:rsidRDefault="00000000">
      <w:pPr>
        <w:pStyle w:val="Listenabsatz"/>
        <w:numPr>
          <w:ilvl w:val="0"/>
          <w:numId w:val="17"/>
        </w:numPr>
        <w:spacing w:line="360" w:lineRule="auto"/>
        <w:jc w:val="both"/>
        <w:rPr>
          <w:rFonts w:ascii="Arial" w:hAnsi="Arial" w:cs="Arial"/>
          <w:bCs/>
          <w:sz w:val="24"/>
          <w:szCs w:val="24"/>
        </w:rPr>
      </w:pPr>
      <w:r>
        <w:rPr>
          <w:rFonts w:ascii="Arial" w:hAnsi="Arial" w:cs="Arial"/>
          <w:bCs/>
          <w:sz w:val="24"/>
          <w:szCs w:val="24"/>
        </w:rPr>
        <w:t>Ergebnis: Keine Stimmkorrektur</w:t>
      </w:r>
    </w:p>
    <w:p w14:paraId="6E3AA75B" w14:textId="77777777" w:rsidR="00D177E2" w:rsidRDefault="00000000">
      <w:pPr>
        <w:pStyle w:val="Listenabsatz"/>
        <w:numPr>
          <w:ilvl w:val="0"/>
          <w:numId w:val="17"/>
        </w:numPr>
        <w:spacing w:line="360" w:lineRule="auto"/>
        <w:jc w:val="both"/>
        <w:rPr>
          <w:rFonts w:ascii="Arial" w:hAnsi="Arial" w:cs="Arial"/>
          <w:bCs/>
          <w:sz w:val="24"/>
          <w:szCs w:val="24"/>
        </w:rPr>
      </w:pPr>
      <w:r>
        <w:rPr>
          <w:rFonts w:ascii="Arial" w:hAnsi="Arial" w:cs="Arial"/>
          <w:bCs/>
          <w:sz w:val="24"/>
          <w:szCs w:val="24"/>
        </w:rPr>
        <w:t>Rechtsfolge der uneinheitlichen Stimmabgabe (zwei mögliche Optionen)?</w:t>
      </w:r>
    </w:p>
    <w:p w14:paraId="5B333156" w14:textId="77777777" w:rsidR="00D177E2" w:rsidRDefault="00000000">
      <w:pPr>
        <w:spacing w:line="360" w:lineRule="auto"/>
        <w:ind w:left="1068" w:firstLine="348"/>
        <w:jc w:val="both"/>
        <w:rPr>
          <w:rFonts w:ascii="Arial" w:hAnsi="Arial" w:cs="Arial"/>
          <w:bCs/>
          <w:sz w:val="24"/>
          <w:szCs w:val="24"/>
        </w:rPr>
      </w:pPr>
      <w:r>
        <w:rPr>
          <w:rFonts w:ascii="Arial" w:hAnsi="Arial" w:cs="Arial"/>
          <w:bCs/>
          <w:sz w:val="24"/>
          <w:szCs w:val="24"/>
        </w:rPr>
        <w:t>1. Abstimmung des Landes unwirksam</w:t>
      </w:r>
    </w:p>
    <w:p w14:paraId="55F8A401" w14:textId="77777777" w:rsidR="00D177E2" w:rsidRDefault="00000000">
      <w:pPr>
        <w:pStyle w:val="Listenabsatz"/>
        <w:spacing w:line="360" w:lineRule="auto"/>
        <w:ind w:firstLine="696"/>
        <w:jc w:val="both"/>
        <w:rPr>
          <w:rFonts w:ascii="Arial" w:hAnsi="Arial" w:cs="Arial"/>
          <w:bCs/>
          <w:sz w:val="24"/>
          <w:szCs w:val="24"/>
        </w:rPr>
      </w:pPr>
      <w:r>
        <w:rPr>
          <w:rFonts w:ascii="Arial" w:hAnsi="Arial" w:cs="Arial"/>
          <w:bCs/>
          <w:sz w:val="24"/>
          <w:szCs w:val="24"/>
        </w:rPr>
        <w:t>2. Abstimmung insgesamt unwirksam</w:t>
      </w:r>
    </w:p>
    <w:p w14:paraId="3EB8AC8E" w14:textId="77777777" w:rsidR="00D177E2" w:rsidRDefault="00000000">
      <w:pPr>
        <w:spacing w:line="360" w:lineRule="auto"/>
        <w:ind w:left="360"/>
        <w:jc w:val="both"/>
        <w:rPr>
          <w:rFonts w:ascii="Arial" w:hAnsi="Arial" w:cs="Arial"/>
          <w:sz w:val="24"/>
          <w:szCs w:val="24"/>
        </w:rPr>
      </w:pPr>
      <w:r>
        <w:rPr>
          <w:rFonts w:ascii="Arial" w:hAnsi="Arial" w:cs="Arial"/>
          <w:sz w:val="24"/>
          <w:szCs w:val="24"/>
        </w:rPr>
        <w:t>hier: Streitentscheid gleichgültig, da in beiden Fällen kein Zustimmungsbeschluss gefasst wurde.</w:t>
      </w:r>
    </w:p>
    <w:p w14:paraId="4DC09688" w14:textId="77777777" w:rsidR="00D177E2" w:rsidRDefault="00D177E2">
      <w:pPr>
        <w:spacing w:line="360" w:lineRule="auto"/>
        <w:ind w:left="360"/>
        <w:jc w:val="both"/>
        <w:rPr>
          <w:rFonts w:ascii="Arial" w:hAnsi="Arial" w:cs="Arial"/>
          <w:sz w:val="24"/>
          <w:szCs w:val="24"/>
        </w:rPr>
      </w:pPr>
    </w:p>
    <w:p w14:paraId="705BBC2A" w14:textId="77777777" w:rsidR="00D177E2" w:rsidRDefault="00D177E2">
      <w:pPr>
        <w:spacing w:line="360" w:lineRule="auto"/>
        <w:ind w:left="360"/>
        <w:jc w:val="both"/>
        <w:rPr>
          <w:rFonts w:ascii="Arial" w:hAnsi="Arial" w:cs="Arial"/>
          <w:sz w:val="24"/>
          <w:szCs w:val="24"/>
        </w:rPr>
      </w:pPr>
    </w:p>
    <w:p w14:paraId="0A4E9285" w14:textId="77777777" w:rsidR="00D177E2" w:rsidRDefault="00000000">
      <w:pPr>
        <w:spacing w:line="360" w:lineRule="auto"/>
        <w:ind w:left="360"/>
        <w:jc w:val="both"/>
        <w:rPr>
          <w:rFonts w:ascii="Arial" w:hAnsi="Arial" w:cs="Arial"/>
          <w:b/>
          <w:sz w:val="24"/>
          <w:szCs w:val="24"/>
        </w:rPr>
      </w:pPr>
      <w:r>
        <w:rPr>
          <w:rFonts w:ascii="Arial" w:hAnsi="Arial" w:cs="Arial"/>
          <w:b/>
          <w:sz w:val="24"/>
          <w:szCs w:val="24"/>
        </w:rPr>
        <w:t>cc. Zwischenergebnis</w:t>
      </w:r>
    </w:p>
    <w:p w14:paraId="0357A427" w14:textId="77777777" w:rsidR="00D177E2" w:rsidRDefault="00000000">
      <w:pPr>
        <w:spacing w:line="360" w:lineRule="auto"/>
        <w:ind w:left="360"/>
        <w:jc w:val="both"/>
        <w:rPr>
          <w:rFonts w:ascii="Arial" w:hAnsi="Arial" w:cs="Arial"/>
          <w:bCs/>
          <w:sz w:val="24"/>
          <w:szCs w:val="24"/>
        </w:rPr>
      </w:pPr>
      <w:r>
        <w:rPr>
          <w:rFonts w:ascii="Arial" w:hAnsi="Arial" w:cs="Arial"/>
          <w:bCs/>
          <w:sz w:val="24"/>
          <w:szCs w:val="24"/>
        </w:rPr>
        <w:t>Das Gesetz ist mangels Zustimmung durch den Bundesrat nicht gem. Art. 78 GG zustande gekommen.</w:t>
      </w:r>
    </w:p>
    <w:p w14:paraId="5441299C" w14:textId="77777777" w:rsidR="00D177E2" w:rsidRDefault="00D177E2">
      <w:pPr>
        <w:spacing w:line="360" w:lineRule="auto"/>
        <w:ind w:left="360"/>
        <w:jc w:val="both"/>
        <w:rPr>
          <w:rFonts w:ascii="Arial" w:hAnsi="Arial" w:cs="Arial"/>
          <w:bCs/>
          <w:sz w:val="24"/>
          <w:szCs w:val="24"/>
        </w:rPr>
      </w:pPr>
    </w:p>
    <w:p w14:paraId="62E61D69" w14:textId="77777777" w:rsidR="00D177E2" w:rsidRDefault="00000000">
      <w:pPr>
        <w:spacing w:line="360" w:lineRule="auto"/>
        <w:ind w:left="360"/>
        <w:jc w:val="both"/>
        <w:rPr>
          <w:rFonts w:ascii="Arial" w:hAnsi="Arial" w:cs="Arial"/>
          <w:b/>
          <w:sz w:val="24"/>
          <w:szCs w:val="24"/>
        </w:rPr>
      </w:pPr>
      <w:r>
        <w:rPr>
          <w:rFonts w:ascii="Arial" w:hAnsi="Arial" w:cs="Arial"/>
          <w:b/>
          <w:sz w:val="24"/>
          <w:szCs w:val="24"/>
        </w:rPr>
        <w:t>II. Ergebnis</w:t>
      </w:r>
    </w:p>
    <w:p w14:paraId="310339E2" w14:textId="77777777" w:rsidR="00D177E2" w:rsidRDefault="00000000">
      <w:pPr>
        <w:spacing w:line="360" w:lineRule="auto"/>
        <w:ind w:left="360"/>
        <w:jc w:val="both"/>
        <w:rPr>
          <w:rFonts w:ascii="Arial" w:hAnsi="Arial" w:cs="Arial"/>
          <w:bCs/>
          <w:sz w:val="24"/>
          <w:szCs w:val="24"/>
        </w:rPr>
      </w:pPr>
      <w:r>
        <w:rPr>
          <w:rFonts w:ascii="Arial" w:hAnsi="Arial" w:cs="Arial"/>
          <w:bCs/>
          <w:sz w:val="24"/>
          <w:szCs w:val="24"/>
        </w:rPr>
        <w:t>Das Gesetz ist formell verfassungswidrig.</w:t>
      </w:r>
    </w:p>
    <w:p w14:paraId="63D06CCA" w14:textId="77777777" w:rsidR="00D177E2" w:rsidRDefault="00D177E2">
      <w:pPr>
        <w:spacing w:line="360" w:lineRule="auto"/>
        <w:ind w:left="360"/>
        <w:jc w:val="both"/>
        <w:rPr>
          <w:rFonts w:ascii="Arial" w:hAnsi="Arial" w:cs="Arial"/>
          <w:bCs/>
          <w:sz w:val="24"/>
          <w:szCs w:val="24"/>
        </w:rPr>
      </w:pPr>
    </w:p>
    <w:p w14:paraId="4DEA6B7B" w14:textId="77777777" w:rsidR="00D177E2" w:rsidRDefault="00000000">
      <w:pPr>
        <w:spacing w:line="360" w:lineRule="auto"/>
        <w:ind w:left="360"/>
        <w:jc w:val="both"/>
        <w:rPr>
          <w:rFonts w:ascii="Arial" w:hAnsi="Arial" w:cs="Arial"/>
          <w:b/>
          <w:sz w:val="24"/>
          <w:szCs w:val="24"/>
        </w:rPr>
      </w:pPr>
      <w:r>
        <w:rPr>
          <w:rFonts w:ascii="Arial" w:hAnsi="Arial" w:cs="Arial"/>
          <w:b/>
          <w:sz w:val="24"/>
          <w:szCs w:val="24"/>
        </w:rPr>
        <w:t>C. Ergebnis</w:t>
      </w:r>
    </w:p>
    <w:p w14:paraId="352A2F51" w14:textId="77777777" w:rsidR="00D177E2" w:rsidRDefault="00000000">
      <w:pPr>
        <w:spacing w:line="360" w:lineRule="auto"/>
        <w:ind w:left="360"/>
        <w:jc w:val="both"/>
        <w:rPr>
          <w:rFonts w:ascii="Arial" w:hAnsi="Arial" w:cs="Arial"/>
          <w:bCs/>
          <w:sz w:val="24"/>
          <w:szCs w:val="24"/>
        </w:rPr>
      </w:pPr>
      <w:r>
        <w:rPr>
          <w:rFonts w:ascii="Arial" w:hAnsi="Arial" w:cs="Arial"/>
          <w:bCs/>
          <w:sz w:val="24"/>
          <w:szCs w:val="24"/>
        </w:rPr>
        <w:t>Der Antrag des Landes L ist zulässig und begründet und hat somit Erfolg.</w:t>
      </w:r>
    </w:p>
    <w:p w14:paraId="71B0B17B" w14:textId="77777777" w:rsidR="00D177E2" w:rsidRDefault="00D177E2" w:rsidP="00671F55">
      <w:pPr>
        <w:spacing w:line="360" w:lineRule="auto"/>
        <w:jc w:val="both"/>
        <w:rPr>
          <w:rFonts w:ascii="Arial" w:hAnsi="Arial" w:cs="Arial"/>
          <w:bCs/>
          <w:sz w:val="24"/>
          <w:szCs w:val="24"/>
        </w:rPr>
      </w:pPr>
    </w:p>
    <w:sectPr w:rsidR="00D177E2">
      <w:footerReference w:type="default" r:id="rId8"/>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71C58" w14:textId="77777777" w:rsidR="005C7460" w:rsidRDefault="005C7460">
      <w:pPr>
        <w:spacing w:after="0" w:line="240" w:lineRule="auto"/>
      </w:pPr>
      <w:r>
        <w:separator/>
      </w:r>
    </w:p>
  </w:endnote>
  <w:endnote w:type="continuationSeparator" w:id="0">
    <w:p w14:paraId="727A70F5" w14:textId="77777777" w:rsidR="005C7460" w:rsidRDefault="005C7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113606"/>
      <w:docPartObj>
        <w:docPartGallery w:val="Page Numbers (Bottom of Page)"/>
        <w:docPartUnique/>
      </w:docPartObj>
    </w:sdtPr>
    <w:sdtContent>
      <w:p w14:paraId="0534FD80" w14:textId="77777777" w:rsidR="00D177E2" w:rsidRDefault="00000000">
        <w:pPr>
          <w:pStyle w:val="Fuzeile"/>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DE7BB" w14:textId="77777777" w:rsidR="005C7460" w:rsidRDefault="005C7460">
      <w:pPr>
        <w:spacing w:after="0" w:line="240" w:lineRule="auto"/>
      </w:pPr>
      <w:r>
        <w:separator/>
      </w:r>
    </w:p>
  </w:footnote>
  <w:footnote w:type="continuationSeparator" w:id="0">
    <w:p w14:paraId="109DE2B5" w14:textId="77777777" w:rsidR="005C7460" w:rsidRDefault="005C7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347C"/>
    <w:multiLevelType w:val="multilevel"/>
    <w:tmpl w:val="8340C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4217CBE"/>
    <w:multiLevelType w:val="multilevel"/>
    <w:tmpl w:val="B53E8CDA"/>
    <w:lvl w:ilvl="0">
      <w:start w:val="28"/>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742403"/>
    <w:multiLevelType w:val="multilevel"/>
    <w:tmpl w:val="973079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E699D"/>
    <w:multiLevelType w:val="multilevel"/>
    <w:tmpl w:val="0952D1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9B0C20"/>
    <w:multiLevelType w:val="multilevel"/>
    <w:tmpl w:val="CEB23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6C47B0"/>
    <w:multiLevelType w:val="multilevel"/>
    <w:tmpl w:val="C7B26F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8284878"/>
    <w:multiLevelType w:val="multilevel"/>
    <w:tmpl w:val="D8C6BB90"/>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BD174E1"/>
    <w:multiLevelType w:val="multilevel"/>
    <w:tmpl w:val="58D68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00246C3"/>
    <w:multiLevelType w:val="multilevel"/>
    <w:tmpl w:val="F8EC15E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F93921"/>
    <w:multiLevelType w:val="multilevel"/>
    <w:tmpl w:val="B2E2F7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6F0760B"/>
    <w:multiLevelType w:val="multilevel"/>
    <w:tmpl w:val="B4C8E9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F0623C"/>
    <w:multiLevelType w:val="multilevel"/>
    <w:tmpl w:val="D998526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ED0430"/>
    <w:multiLevelType w:val="multilevel"/>
    <w:tmpl w:val="9B904E2C"/>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63904854"/>
    <w:multiLevelType w:val="multilevel"/>
    <w:tmpl w:val="FDC2BA1C"/>
    <w:lvl w:ilvl="0">
      <w:start w:val="28"/>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6151015"/>
    <w:multiLevelType w:val="multilevel"/>
    <w:tmpl w:val="2B2C844A"/>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681540FD"/>
    <w:multiLevelType w:val="multilevel"/>
    <w:tmpl w:val="FB72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1A4764A"/>
    <w:multiLevelType w:val="multilevel"/>
    <w:tmpl w:val="6DD04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26738DB"/>
    <w:multiLevelType w:val="multilevel"/>
    <w:tmpl w:val="ECE802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3170ECF"/>
    <w:multiLevelType w:val="multilevel"/>
    <w:tmpl w:val="A7560E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80740783">
    <w:abstractNumId w:val="11"/>
  </w:num>
  <w:num w:numId="2" w16cid:durableId="1188062160">
    <w:abstractNumId w:val="8"/>
  </w:num>
  <w:num w:numId="3" w16cid:durableId="739988852">
    <w:abstractNumId w:val="0"/>
  </w:num>
  <w:num w:numId="4" w16cid:durableId="1160466392">
    <w:abstractNumId w:val="5"/>
  </w:num>
  <w:num w:numId="5" w16cid:durableId="1683702131">
    <w:abstractNumId w:val="2"/>
  </w:num>
  <w:num w:numId="6" w16cid:durableId="1520049455">
    <w:abstractNumId w:val="18"/>
  </w:num>
  <w:num w:numId="7" w16cid:durableId="1318799353">
    <w:abstractNumId w:val="3"/>
  </w:num>
  <w:num w:numId="8" w16cid:durableId="119425410">
    <w:abstractNumId w:val="15"/>
  </w:num>
  <w:num w:numId="9" w16cid:durableId="1783106192">
    <w:abstractNumId w:val="17"/>
  </w:num>
  <w:num w:numId="10" w16cid:durableId="858085828">
    <w:abstractNumId w:val="9"/>
  </w:num>
  <w:num w:numId="11" w16cid:durableId="689798033">
    <w:abstractNumId w:val="6"/>
  </w:num>
  <w:num w:numId="12" w16cid:durableId="1144277688">
    <w:abstractNumId w:val="13"/>
  </w:num>
  <w:num w:numId="13" w16cid:durableId="956057894">
    <w:abstractNumId w:val="4"/>
  </w:num>
  <w:num w:numId="14" w16cid:durableId="114908873">
    <w:abstractNumId w:val="16"/>
  </w:num>
  <w:num w:numId="15" w16cid:durableId="1167094657">
    <w:abstractNumId w:val="7"/>
  </w:num>
  <w:num w:numId="16" w16cid:durableId="1133986802">
    <w:abstractNumId w:val="12"/>
  </w:num>
  <w:num w:numId="17" w16cid:durableId="2146972416">
    <w:abstractNumId w:val="1"/>
  </w:num>
  <w:num w:numId="18" w16cid:durableId="414667546">
    <w:abstractNumId w:val="14"/>
  </w:num>
  <w:num w:numId="19" w16cid:durableId="1479838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7E2"/>
    <w:rsid w:val="005C7460"/>
    <w:rsid w:val="00671F55"/>
    <w:rsid w:val="00937313"/>
    <w:rsid w:val="00D17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0B652"/>
  <w15:docId w15:val="{2E9EEC37-A674-4A00-BE05-C4E06DEC8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character" w:customStyle="1" w:styleId="FootnoteTextChar">
    <w:name w:val="Footnote Text Char"/>
    <w:basedOn w:val="Absatz-Standardschriftart"/>
    <w:uiPriority w:val="99"/>
    <w:semiHidden/>
    <w:rPr>
      <w:sz w:val="20"/>
      <w:szCs w:val="20"/>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0563C1" w:themeColor="hyperlink"/>
      <w:u w:val="single"/>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paragraph" w:styleId="Funotentext">
    <w:name w:val="footnote text"/>
    <w:basedOn w:val="Standard"/>
    <w:link w:val="FunotentextZchn"/>
    <w:uiPriority w:val="99"/>
    <w:semiHidden/>
    <w:unhideWhenUsed/>
    <w:pPr>
      <w:spacing w:after="0" w:line="240" w:lineRule="auto"/>
    </w:pPr>
    <w:rPr>
      <w:rFonts w:ascii="Times New Roman" w:hAnsi="Times New Roman"/>
      <w:sz w:val="20"/>
      <w:szCs w:val="20"/>
    </w:rPr>
  </w:style>
  <w:style w:type="character" w:customStyle="1" w:styleId="FunotentextZchn">
    <w:name w:val="Fußnotentext Zchn"/>
    <w:basedOn w:val="Absatz-Standardschriftart"/>
    <w:link w:val="Funotentext"/>
    <w:uiPriority w:val="99"/>
    <w:semiHidden/>
    <w:rPr>
      <w:rFonts w:ascii="Times New Roman" w:hAnsi="Times New Roman"/>
      <w:sz w:val="20"/>
      <w:szCs w:val="20"/>
    </w:rPr>
  </w:style>
  <w:style w:type="character" w:styleId="Funotenzeichen">
    <w:name w:val="footnote reference"/>
    <w:basedOn w:val="Absatz-Standardschriftart"/>
    <w:uiPriority w:val="99"/>
    <w:unhideWhenUsed/>
    <w:rPr>
      <w:rFonts w:ascii="Times New Roman" w:hAnsi="Times New Roman"/>
      <w:vertAlign w:val="superscript"/>
    </w:rPr>
  </w:style>
  <w:style w:type="paragraph" w:styleId="Fu-Endnotenberschrift">
    <w:name w:val="Note Heading"/>
    <w:basedOn w:val="Standard"/>
    <w:next w:val="Standard"/>
    <w:link w:val="Fu-EndnotenberschriftZchn"/>
    <w:uiPriority w:val="99"/>
    <w:semiHidden/>
    <w:unhideWhenUsed/>
    <w:pPr>
      <w:spacing w:after="0" w:line="240" w:lineRule="auto"/>
    </w:pPr>
    <w:rPr>
      <w:rFonts w:ascii="Times New Roman" w:hAnsi="Times New Roman"/>
    </w:rPr>
  </w:style>
  <w:style w:type="character" w:customStyle="1" w:styleId="Fu-EndnotenberschriftZchn">
    <w:name w:val="Fuß/-Endnotenüberschrift Zchn"/>
    <w:basedOn w:val="Absatz-Standardschriftart"/>
    <w:link w:val="Fu-Endnotenberschrift"/>
    <w:uiPriority w:val="99"/>
    <w:semiHidden/>
    <w:rPr>
      <w:rFonts w:ascii="Times New Roman" w:hAnsi="Times New Roman"/>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Kommentarzeichen">
    <w:name w:val="annotation reference"/>
    <w:basedOn w:val="Absatz-Standardschriftart"/>
    <w:uiPriority w:val="99"/>
    <w:semiHidden/>
    <w:unhideWhenUsed/>
    <w:rPr>
      <w:sz w:val="18"/>
      <w:szCs w:val="18"/>
    </w:rPr>
  </w:style>
  <w:style w:type="paragraph" w:styleId="Kommentartext">
    <w:name w:val="annotation text"/>
    <w:basedOn w:val="Standard"/>
    <w:link w:val="KommentartextZchn"/>
    <w:uiPriority w:val="99"/>
    <w:semiHidden/>
    <w:unhideWhenUsed/>
    <w:pPr>
      <w:spacing w:line="240" w:lineRule="auto"/>
    </w:pPr>
    <w:rPr>
      <w:sz w:val="24"/>
      <w:szCs w:val="24"/>
    </w:rPr>
  </w:style>
  <w:style w:type="character" w:customStyle="1" w:styleId="KommentartextZchn">
    <w:name w:val="Kommentartext Zchn"/>
    <w:basedOn w:val="Absatz-Standardschriftart"/>
    <w:link w:val="Kommentartext"/>
    <w:uiPriority w:val="99"/>
    <w:semiHidden/>
    <w:rPr>
      <w:sz w:val="24"/>
      <w:szCs w:val="24"/>
    </w:rPr>
  </w:style>
  <w:style w:type="paragraph" w:styleId="Kommentarthema">
    <w:name w:val="annotation subject"/>
    <w:basedOn w:val="Kommentartext"/>
    <w:next w:val="Kommentartext"/>
    <w:link w:val="KommentarthemaZchn"/>
    <w:uiPriority w:val="99"/>
    <w:semiHidden/>
    <w:unhideWhenUsed/>
    <w:rPr>
      <w:b/>
      <w:bCs/>
      <w:sz w:val="20"/>
      <w:szCs w:val="20"/>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Pr>
      <w:rFonts w:ascii="Times New Roman" w:hAnsi="Times New Roman" w:cs="Times New Roman"/>
      <w:sz w:val="18"/>
      <w:szCs w:val="18"/>
    </w:rPr>
  </w:style>
  <w:style w:type="paragraph" w:styleId="berarbeitung">
    <w:name w:val="Revision"/>
    <w:hidden/>
    <w:uiPriority w:val="99"/>
    <w:semiHidden/>
    <w:pPr>
      <w:spacing w:after="0" w:line="240" w:lineRule="auto"/>
    </w:pPr>
  </w:style>
  <w:style w:type="paragraph" w:styleId="StandardWeb">
    <w:name w:val="Normal (Web)"/>
    <w:basedOn w:val="Standard"/>
    <w:uiPriority w:val="99"/>
    <w:unhideWhenUsed/>
    <w:pPr>
      <w:spacing w:before="100" w:beforeAutospacing="1" w:after="100" w:afterAutospacing="1" w:line="240" w:lineRule="auto"/>
    </w:pPr>
    <w:rPr>
      <w:rFonts w:ascii="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768F4-497F-440B-8E70-7ED44D6B6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1191</Words>
  <Characters>7507</Characters>
  <Application>Microsoft Office Word</Application>
  <DocSecurity>0</DocSecurity>
  <Lines>62</Lines>
  <Paragraphs>17</Paragraphs>
  <ScaleCrop>false</ScaleCrop>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Hilbert</dc:creator>
  <cp:keywords/>
  <dc:description/>
  <cp:lastModifiedBy>Sternkopf, Nick</cp:lastModifiedBy>
  <cp:revision>8</cp:revision>
  <dcterms:created xsi:type="dcterms:W3CDTF">2024-09-13T09:43:00Z</dcterms:created>
  <dcterms:modified xsi:type="dcterms:W3CDTF">2025-09-24T14:45:00Z</dcterms:modified>
</cp:coreProperties>
</file>