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C788" w14:textId="77777777" w:rsidR="00CC2482" w:rsidRDefault="00000000">
      <w:pPr>
        <w:jc w:val="center"/>
        <w:rPr>
          <w:rFonts w:ascii="Arial" w:hAnsi="Arial" w:cs="Arial"/>
          <w:b/>
          <w:sz w:val="24"/>
          <w:szCs w:val="24"/>
        </w:rPr>
      </w:pPr>
      <w:r>
        <w:rPr>
          <w:rFonts w:ascii="Arial" w:hAnsi="Arial" w:cs="Arial"/>
          <w:b/>
          <w:sz w:val="24"/>
          <w:szCs w:val="24"/>
        </w:rPr>
        <w:t>VI. AG Fall (Staatsorganisationsrecht)</w:t>
      </w:r>
    </w:p>
    <w:p w14:paraId="102AA113" w14:textId="1907D641" w:rsidR="00CC2482" w:rsidRDefault="00000000">
      <w:pPr>
        <w:jc w:val="center"/>
        <w:rPr>
          <w:rFonts w:ascii="Arial" w:hAnsi="Arial" w:cs="Arial"/>
          <w:b/>
          <w:sz w:val="24"/>
          <w:szCs w:val="24"/>
        </w:rPr>
      </w:pPr>
      <w:r>
        <w:rPr>
          <w:rFonts w:ascii="Arial" w:hAnsi="Arial" w:cs="Arial"/>
          <w:b/>
          <w:sz w:val="24"/>
          <w:szCs w:val="24"/>
        </w:rPr>
        <w:t>Wintersemester 202</w:t>
      </w:r>
      <w:r w:rsidR="00230DD5">
        <w:rPr>
          <w:rFonts w:ascii="Arial" w:hAnsi="Arial" w:cs="Arial"/>
          <w:b/>
          <w:sz w:val="24"/>
          <w:szCs w:val="24"/>
        </w:rPr>
        <w:t>5</w:t>
      </w:r>
      <w:r>
        <w:rPr>
          <w:rFonts w:ascii="Arial" w:hAnsi="Arial" w:cs="Arial"/>
          <w:b/>
          <w:sz w:val="24"/>
          <w:szCs w:val="24"/>
        </w:rPr>
        <w:t>/202</w:t>
      </w:r>
      <w:r w:rsidR="00230DD5">
        <w:rPr>
          <w:rFonts w:ascii="Arial" w:hAnsi="Arial" w:cs="Arial"/>
          <w:b/>
          <w:sz w:val="24"/>
          <w:szCs w:val="24"/>
        </w:rPr>
        <w:t>6</w:t>
      </w:r>
    </w:p>
    <w:p w14:paraId="4E720256" w14:textId="77777777" w:rsidR="00CC2482" w:rsidRDefault="00CC2482">
      <w:pPr>
        <w:jc w:val="center"/>
        <w:rPr>
          <w:rFonts w:ascii="Arial" w:hAnsi="Arial" w:cs="Arial"/>
          <w:b/>
          <w:sz w:val="24"/>
          <w:szCs w:val="24"/>
        </w:rPr>
      </w:pPr>
    </w:p>
    <w:p w14:paraId="06D06C12" w14:textId="77777777" w:rsidR="00CC2482" w:rsidRDefault="00000000">
      <w:pPr>
        <w:spacing w:line="360" w:lineRule="auto"/>
        <w:jc w:val="both"/>
        <w:rPr>
          <w:rFonts w:ascii="Arial" w:hAnsi="Arial" w:cs="Arial"/>
          <w:sz w:val="24"/>
          <w:szCs w:val="24"/>
        </w:rPr>
      </w:pPr>
      <w:r>
        <w:rPr>
          <w:rFonts w:ascii="Arial" w:hAnsi="Arial" w:cs="Arial"/>
          <w:sz w:val="24"/>
          <w:szCs w:val="24"/>
        </w:rPr>
        <w:t xml:space="preserve">Nachdem „Die Nationalen“ (N-Partei) nach der letzten Wahl einen Mandatsverlust erlitten haben und nur noch mit knapp 10% im Bundestag vertreten sind, regt sich starker Unmut in der Parteiführung. Der Hauptgrund der Niederlage wird in der tendenziösen Berichterstattung des </w:t>
      </w:r>
      <w:r>
        <w:rPr>
          <w:rFonts w:ascii="Times New Roman" w:hAnsi="Times New Roman" w:cs="Times New Roman"/>
          <w:sz w:val="24"/>
          <w:szCs w:val="24"/>
        </w:rPr>
        <w:t>»</w:t>
      </w:r>
      <w:r>
        <w:rPr>
          <w:rFonts w:ascii="Arial" w:hAnsi="Arial" w:cs="Arial"/>
          <w:sz w:val="24"/>
          <w:szCs w:val="24"/>
        </w:rPr>
        <w:t>Staatsrundfunks</w:t>
      </w:r>
      <w:r>
        <w:rPr>
          <w:rFonts w:ascii="Times New Roman" w:hAnsi="Times New Roman" w:cs="Times New Roman"/>
          <w:sz w:val="24"/>
          <w:szCs w:val="24"/>
        </w:rPr>
        <w:t>«</w:t>
      </w:r>
      <w:r>
        <w:rPr>
          <w:rFonts w:ascii="Arial" w:hAnsi="Arial" w:cs="Arial"/>
          <w:sz w:val="24"/>
          <w:szCs w:val="24"/>
        </w:rPr>
        <w:t xml:space="preserve"> gesehen. Die staatlichen Rundfunksender hätten mit ihren </w:t>
      </w:r>
      <w:r>
        <w:rPr>
          <w:rFonts w:ascii="Times New Roman" w:hAnsi="Times New Roman" w:cs="Times New Roman"/>
          <w:sz w:val="24"/>
          <w:szCs w:val="24"/>
        </w:rPr>
        <w:t>»</w:t>
      </w:r>
      <w:r>
        <w:rPr>
          <w:rFonts w:ascii="Arial" w:hAnsi="Arial" w:cs="Arial"/>
          <w:sz w:val="24"/>
          <w:szCs w:val="24"/>
        </w:rPr>
        <w:t>Triell</w:t>
      </w:r>
      <w:r>
        <w:rPr>
          <w:rFonts w:ascii="Times New Roman" w:hAnsi="Times New Roman" w:cs="Times New Roman"/>
          <w:sz w:val="24"/>
          <w:szCs w:val="24"/>
        </w:rPr>
        <w:t>«</w:t>
      </w:r>
      <w:r>
        <w:rPr>
          <w:rFonts w:ascii="Arial" w:hAnsi="Arial" w:cs="Arial"/>
          <w:sz w:val="24"/>
          <w:szCs w:val="24"/>
        </w:rPr>
        <w:t>-Sendungen, zu denen sowohl die „Bürgerliche Partei“ (BP) als auch die „Soziale Partei“ (SP) und die „Öko-Partei“ (ÖP) mit ihren Spitzenkandidat*innen eingeladen worden seien, ein »links-grün versifftes Zerrbild</w:t>
      </w:r>
      <w:r>
        <w:rPr>
          <w:rFonts w:ascii="Times New Roman" w:hAnsi="Times New Roman" w:cs="Times New Roman"/>
          <w:sz w:val="24"/>
          <w:szCs w:val="24"/>
        </w:rPr>
        <w:t>«</w:t>
      </w:r>
      <w:r>
        <w:rPr>
          <w:rFonts w:ascii="Arial" w:hAnsi="Arial" w:cs="Arial"/>
          <w:sz w:val="24"/>
          <w:szCs w:val="24"/>
        </w:rPr>
        <w:t xml:space="preserve"> geschaffen und den Wettkampf der Parteien beeinträchtigt. Auch die N-Partei hätte man zu den Sendungen einladen müssen, zumal sie nach der vorletzten Bundestagswahl – was zutrifft – sogar 4%-Punkte stärker gewesen sei als die Öko-Partei. Durch die Nichteinladung sei der Anspruch der Partei vereitelt worden.</w:t>
      </w:r>
    </w:p>
    <w:p w14:paraId="04CEA551" w14:textId="77777777" w:rsidR="00CC2482" w:rsidRDefault="00000000">
      <w:pPr>
        <w:spacing w:line="360" w:lineRule="auto"/>
        <w:jc w:val="both"/>
        <w:rPr>
          <w:rFonts w:ascii="Arial" w:hAnsi="Arial" w:cs="Arial"/>
          <w:sz w:val="24"/>
          <w:szCs w:val="24"/>
        </w:rPr>
      </w:pPr>
      <w:r>
        <w:rPr>
          <w:rFonts w:ascii="Arial" w:hAnsi="Arial" w:cs="Arial"/>
          <w:sz w:val="24"/>
          <w:szCs w:val="24"/>
        </w:rPr>
        <w:t>X, die Parteivorsitzende der Öko-Partei, weist diese Vorwürfe brüsk zurück. Es sei mit Blick auf die freiheitlich-demokratische Grundordnung schon vollkommen richtig gewesen, die N-Partei nicht einzuladen. Außerdem hätte die N-Partei zu keinem Zeitpunkt Umfragewerte erreicht, die ihr die rechnerische Möglichkeit gegeben hätten, einen Kanzler zu stellen; die ÖP hingegen – was zutrifft – schon. Schließlich müsse auch berücksichtigt werden, dass die N-Partei auch in anderen TV-Formaten – was zutrifft – hinreichend zu Wort gekommen sei und dort für ihre politischen Ziele und Vorstellungen werben konnte.</w:t>
      </w:r>
    </w:p>
    <w:p w14:paraId="06A8BF70" w14:textId="77777777" w:rsidR="00CC2482" w:rsidRDefault="00000000">
      <w:pPr>
        <w:spacing w:line="360" w:lineRule="auto"/>
        <w:jc w:val="both"/>
        <w:rPr>
          <w:rFonts w:ascii="Arial" w:hAnsi="Arial" w:cs="Arial"/>
          <w:sz w:val="24"/>
          <w:szCs w:val="24"/>
        </w:rPr>
      </w:pPr>
      <w:r>
        <w:rPr>
          <w:rFonts w:ascii="Arial" w:hAnsi="Arial" w:cs="Arial"/>
          <w:sz w:val="24"/>
          <w:szCs w:val="24"/>
        </w:rPr>
        <w:t xml:space="preserve">Nachdem der Streit einige Wochen durch die Medien </w:t>
      </w:r>
      <w:r>
        <w:rPr>
          <w:rFonts w:ascii="Times New Roman" w:hAnsi="Times New Roman" w:cs="Times New Roman"/>
          <w:sz w:val="24"/>
          <w:szCs w:val="24"/>
        </w:rPr>
        <w:t>»</w:t>
      </w:r>
      <w:r>
        <w:rPr>
          <w:rFonts w:ascii="Arial" w:hAnsi="Arial" w:cs="Arial"/>
          <w:sz w:val="24"/>
          <w:szCs w:val="24"/>
        </w:rPr>
        <w:t>geistert</w:t>
      </w:r>
      <w:r>
        <w:rPr>
          <w:rFonts w:ascii="Times New Roman" w:hAnsi="Times New Roman" w:cs="Times New Roman"/>
          <w:sz w:val="24"/>
          <w:szCs w:val="24"/>
        </w:rPr>
        <w:t>«</w:t>
      </w:r>
      <w:r>
        <w:rPr>
          <w:rFonts w:ascii="Arial" w:hAnsi="Arial" w:cs="Arial"/>
          <w:sz w:val="24"/>
          <w:szCs w:val="24"/>
        </w:rPr>
        <w:t>, entschließt sich die N-Partei, vor dem Rundfunkgebäude des staatlichen Senders D-RA zu protestierten. Sie meldet daher unter dem Motto „Rote Karte für die Lügenpresse“ eine Demonstration an. Diese soll am 12.12.2021 von 15.00-18.00 Uhr stattfinden. X, die nunmehr Ministerin für Innere Sicherheit ist, lässt daraufhin (10.12.2021) auf der offiziellen Internetseite des Ministeriums eine Pressemitteilung publizieren, in der sie Journalist*innen und Personen mit Migrationshintergrund davor warnt, den räumlichen Bereich der Demonstration während des Versammlungszeitraums aufzusuchen, da nicht auszuschließen sei, dass Teilnehmer*innen der Versammlung ihnen gegenüber unfriedlich reagieren könnten.</w:t>
      </w:r>
    </w:p>
    <w:p w14:paraId="12C4E935" w14:textId="77777777" w:rsidR="00CC2482" w:rsidRDefault="00000000">
      <w:pPr>
        <w:spacing w:line="360" w:lineRule="auto"/>
        <w:jc w:val="both"/>
        <w:rPr>
          <w:rFonts w:ascii="Arial" w:hAnsi="Arial" w:cs="Arial"/>
          <w:sz w:val="24"/>
          <w:szCs w:val="24"/>
        </w:rPr>
      </w:pPr>
      <w:r>
        <w:rPr>
          <w:rFonts w:ascii="Arial" w:hAnsi="Arial" w:cs="Arial"/>
          <w:sz w:val="24"/>
          <w:szCs w:val="24"/>
        </w:rPr>
        <w:lastRenderedPageBreak/>
        <w:t xml:space="preserve">Neben dieser Pressemitteilung referiert X, die immer noch Parteivorsitzende ist, am 10.12.2022 auf dem Parteitag der Öko-Partei. Dort empört sie sich über das Verhalten der N-Partei und meint, es sei unsäglich, dass wieder </w:t>
      </w:r>
      <w:r>
        <w:rPr>
          <w:rFonts w:ascii="Times New Roman" w:hAnsi="Times New Roman" w:cs="Times New Roman"/>
          <w:sz w:val="24"/>
          <w:szCs w:val="24"/>
        </w:rPr>
        <w:t>»</w:t>
      </w:r>
      <w:r>
        <w:rPr>
          <w:rFonts w:ascii="Arial" w:hAnsi="Arial" w:cs="Arial"/>
          <w:sz w:val="24"/>
          <w:szCs w:val="24"/>
        </w:rPr>
        <w:t>Faschos</w:t>
      </w:r>
      <w:r>
        <w:rPr>
          <w:rFonts w:ascii="Times New Roman" w:hAnsi="Times New Roman" w:cs="Times New Roman"/>
          <w:sz w:val="24"/>
          <w:szCs w:val="24"/>
        </w:rPr>
        <w:t>«</w:t>
      </w:r>
      <w:r>
        <w:rPr>
          <w:rFonts w:ascii="Arial" w:hAnsi="Arial" w:cs="Arial"/>
          <w:sz w:val="24"/>
          <w:szCs w:val="24"/>
        </w:rPr>
        <w:t xml:space="preserve"> auf den Straßen randalierten und die Rundfunkanstalten unter Druck setzten. Nicht den Medien, sondern Rechtsextremen wie der N-Partei müsse die „Rote Karte“ gezeigt werden.</w:t>
      </w:r>
    </w:p>
    <w:p w14:paraId="27334E9A" w14:textId="77777777" w:rsidR="00CC2482" w:rsidRDefault="00CC2482">
      <w:pPr>
        <w:spacing w:line="360" w:lineRule="auto"/>
        <w:jc w:val="both"/>
        <w:rPr>
          <w:rFonts w:ascii="Arial" w:hAnsi="Arial" w:cs="Arial"/>
          <w:sz w:val="24"/>
          <w:szCs w:val="24"/>
        </w:rPr>
      </w:pPr>
    </w:p>
    <w:p w14:paraId="765B3432" w14:textId="77777777" w:rsidR="00CC2482" w:rsidRDefault="00000000">
      <w:pPr>
        <w:spacing w:line="360" w:lineRule="auto"/>
        <w:jc w:val="both"/>
        <w:rPr>
          <w:rFonts w:ascii="Arial" w:hAnsi="Arial" w:cs="Arial"/>
          <w:bCs/>
          <w:sz w:val="24"/>
          <w:szCs w:val="24"/>
        </w:rPr>
      </w:pPr>
      <w:r>
        <w:rPr>
          <w:rFonts w:ascii="Arial" w:hAnsi="Arial" w:cs="Arial"/>
          <w:bCs/>
          <w:sz w:val="24"/>
          <w:szCs w:val="24"/>
        </w:rPr>
        <w:t>Hat eine Klage der N-Partei gegen das Verhalten der X Aussicht auf Erfolg?</w:t>
      </w:r>
    </w:p>
    <w:p w14:paraId="23EE6298" w14:textId="77777777" w:rsidR="00CC2482" w:rsidRDefault="00CC2482">
      <w:pPr>
        <w:spacing w:line="360" w:lineRule="auto"/>
        <w:jc w:val="both"/>
        <w:rPr>
          <w:rFonts w:ascii="Arial" w:hAnsi="Arial" w:cs="Arial"/>
          <w:b/>
          <w:sz w:val="24"/>
          <w:szCs w:val="24"/>
        </w:rPr>
      </w:pPr>
    </w:p>
    <w:p w14:paraId="0B492196" w14:textId="77777777" w:rsidR="00CC2482" w:rsidRDefault="00000000">
      <w:pPr>
        <w:spacing w:line="360" w:lineRule="auto"/>
        <w:jc w:val="both"/>
        <w:rPr>
          <w:rFonts w:ascii="Arial" w:hAnsi="Arial" w:cs="Arial"/>
          <w:sz w:val="24"/>
          <w:szCs w:val="24"/>
        </w:rPr>
      </w:pPr>
      <w:r>
        <w:rPr>
          <w:rFonts w:ascii="Arial" w:hAnsi="Arial" w:cs="Arial"/>
          <w:sz w:val="24"/>
          <w:szCs w:val="24"/>
        </w:rPr>
        <w:br w:type="page" w:clear="all"/>
      </w:r>
    </w:p>
    <w:p w14:paraId="0F9A2C18" w14:textId="77777777" w:rsidR="00CC2482" w:rsidRDefault="00000000">
      <w:pPr>
        <w:spacing w:line="360" w:lineRule="auto"/>
        <w:jc w:val="both"/>
        <w:rPr>
          <w:rFonts w:ascii="Arial" w:hAnsi="Arial" w:cs="Arial"/>
          <w:b/>
          <w:sz w:val="24"/>
          <w:szCs w:val="24"/>
        </w:rPr>
      </w:pPr>
      <w:r>
        <w:rPr>
          <w:rFonts w:ascii="Arial" w:hAnsi="Arial" w:cs="Arial"/>
          <w:b/>
          <w:sz w:val="24"/>
          <w:szCs w:val="24"/>
        </w:rPr>
        <w:lastRenderedPageBreak/>
        <w:t>Lösungsvorschlag</w:t>
      </w:r>
    </w:p>
    <w:p w14:paraId="289A5BD4" w14:textId="77777777" w:rsidR="00CC2482" w:rsidRDefault="00000000">
      <w:pPr>
        <w:spacing w:line="360" w:lineRule="auto"/>
        <w:jc w:val="both"/>
        <w:rPr>
          <w:rFonts w:ascii="Arial" w:hAnsi="Arial" w:cs="Arial"/>
          <w:sz w:val="24"/>
          <w:szCs w:val="24"/>
        </w:rPr>
      </w:pPr>
      <w:r>
        <w:rPr>
          <w:rFonts w:ascii="Arial" w:hAnsi="Arial" w:cs="Arial"/>
          <w:b/>
          <w:bCs/>
          <w:sz w:val="24"/>
          <w:szCs w:val="24"/>
        </w:rPr>
        <w:t xml:space="preserve">Verfahren: </w:t>
      </w:r>
      <w:r>
        <w:rPr>
          <w:rFonts w:ascii="Arial" w:hAnsi="Arial" w:cs="Arial"/>
          <w:sz w:val="24"/>
          <w:szCs w:val="24"/>
        </w:rPr>
        <w:t>Art. 93 I Nr. 1 GG i. V. m §§ 13 Nr. 5, 63 BVerfGG (Organstreitverfahren)</w:t>
      </w:r>
    </w:p>
    <w:p w14:paraId="44C195F4" w14:textId="77777777" w:rsidR="00CC2482" w:rsidRDefault="00CC2482">
      <w:pPr>
        <w:spacing w:line="360" w:lineRule="auto"/>
        <w:jc w:val="both"/>
        <w:rPr>
          <w:rFonts w:ascii="Arial" w:hAnsi="Arial" w:cs="Arial"/>
          <w:sz w:val="24"/>
          <w:szCs w:val="24"/>
        </w:rPr>
      </w:pPr>
    </w:p>
    <w:p w14:paraId="51A2857C" w14:textId="77777777" w:rsidR="00CC2482" w:rsidRDefault="00000000">
      <w:pPr>
        <w:spacing w:line="360" w:lineRule="auto"/>
        <w:jc w:val="both"/>
        <w:rPr>
          <w:rFonts w:ascii="Arial" w:hAnsi="Arial" w:cs="Arial"/>
          <w:b/>
          <w:sz w:val="24"/>
          <w:szCs w:val="24"/>
        </w:rPr>
      </w:pPr>
      <w:r>
        <w:rPr>
          <w:rFonts w:ascii="Arial" w:hAnsi="Arial" w:cs="Arial"/>
          <w:b/>
          <w:sz w:val="24"/>
          <w:szCs w:val="24"/>
        </w:rPr>
        <w:t xml:space="preserve">A. Zulässigkeit </w:t>
      </w:r>
    </w:p>
    <w:p w14:paraId="62E7C9B3" w14:textId="77777777" w:rsidR="00CC2482" w:rsidRDefault="00000000">
      <w:pPr>
        <w:spacing w:line="360" w:lineRule="auto"/>
        <w:jc w:val="both"/>
        <w:rPr>
          <w:rFonts w:ascii="Arial" w:hAnsi="Arial" w:cs="Arial"/>
          <w:b/>
          <w:sz w:val="24"/>
          <w:szCs w:val="24"/>
        </w:rPr>
      </w:pPr>
      <w:r>
        <w:rPr>
          <w:rFonts w:ascii="Arial" w:hAnsi="Arial" w:cs="Arial"/>
          <w:b/>
          <w:sz w:val="24"/>
          <w:szCs w:val="24"/>
        </w:rPr>
        <w:t>I. Zuständigkeit des BVerfG</w:t>
      </w:r>
    </w:p>
    <w:p w14:paraId="7131C831" w14:textId="77777777" w:rsidR="00CC2482" w:rsidRDefault="00000000">
      <w:pPr>
        <w:spacing w:line="360" w:lineRule="auto"/>
        <w:jc w:val="both"/>
        <w:rPr>
          <w:rFonts w:ascii="Arial" w:hAnsi="Arial" w:cs="Arial"/>
          <w:sz w:val="24"/>
          <w:szCs w:val="24"/>
          <w:lang w:val="en-US"/>
        </w:rPr>
      </w:pPr>
      <w:r>
        <w:rPr>
          <w:rFonts w:ascii="Arial" w:hAnsi="Arial" w:cs="Arial"/>
          <w:sz w:val="24"/>
          <w:szCs w:val="24"/>
          <w:lang w:val="en-US"/>
        </w:rPr>
        <w:t xml:space="preserve">Art. 93 I Nr. 1 GG </w:t>
      </w:r>
      <w:proofErr w:type="spellStart"/>
      <w:r>
        <w:rPr>
          <w:rFonts w:ascii="Arial" w:hAnsi="Arial" w:cs="Arial"/>
          <w:sz w:val="24"/>
          <w:szCs w:val="24"/>
          <w:lang w:val="en-US"/>
        </w:rPr>
        <w:t>i</w:t>
      </w:r>
      <w:proofErr w:type="spellEnd"/>
      <w:r>
        <w:rPr>
          <w:rFonts w:ascii="Arial" w:hAnsi="Arial" w:cs="Arial"/>
          <w:sz w:val="24"/>
          <w:szCs w:val="24"/>
          <w:lang w:val="en-US"/>
        </w:rPr>
        <w:t xml:space="preserve">. V. m §§ 13 Nr. 5 </w:t>
      </w:r>
      <w:proofErr w:type="spellStart"/>
      <w:r>
        <w:rPr>
          <w:rFonts w:ascii="Arial" w:hAnsi="Arial" w:cs="Arial"/>
          <w:sz w:val="24"/>
          <w:szCs w:val="24"/>
          <w:lang w:val="en-US"/>
        </w:rPr>
        <w:t>BVerfGG</w:t>
      </w:r>
      <w:proofErr w:type="spellEnd"/>
    </w:p>
    <w:p w14:paraId="1DD9FCC9" w14:textId="77777777" w:rsidR="00CC2482" w:rsidRDefault="00CC2482">
      <w:pPr>
        <w:spacing w:line="360" w:lineRule="auto"/>
        <w:jc w:val="both"/>
        <w:rPr>
          <w:rFonts w:ascii="Arial" w:hAnsi="Arial" w:cs="Arial"/>
          <w:sz w:val="24"/>
          <w:szCs w:val="24"/>
          <w:lang w:val="en-US"/>
        </w:rPr>
      </w:pPr>
    </w:p>
    <w:p w14:paraId="4EC35D98" w14:textId="77777777" w:rsidR="00CC2482" w:rsidRDefault="00000000">
      <w:pPr>
        <w:spacing w:line="360" w:lineRule="auto"/>
        <w:jc w:val="both"/>
        <w:rPr>
          <w:rFonts w:ascii="Arial" w:hAnsi="Arial" w:cs="Arial"/>
          <w:b/>
          <w:bCs/>
          <w:sz w:val="24"/>
          <w:szCs w:val="24"/>
        </w:rPr>
      </w:pPr>
      <w:r>
        <w:rPr>
          <w:rFonts w:ascii="Arial" w:hAnsi="Arial" w:cs="Arial"/>
          <w:b/>
          <w:bCs/>
          <w:sz w:val="24"/>
          <w:szCs w:val="24"/>
        </w:rPr>
        <w:t>II. Parteifähigkeit (Beteiligtenfähigkeit)</w:t>
      </w:r>
    </w:p>
    <w:p w14:paraId="37EA815C" w14:textId="77777777" w:rsidR="00CC2482" w:rsidRDefault="00000000">
      <w:pPr>
        <w:spacing w:line="360" w:lineRule="auto"/>
        <w:jc w:val="both"/>
        <w:rPr>
          <w:rFonts w:ascii="Arial" w:hAnsi="Arial" w:cs="Arial"/>
          <w:b/>
          <w:bCs/>
          <w:sz w:val="24"/>
          <w:szCs w:val="24"/>
        </w:rPr>
      </w:pPr>
      <w:r>
        <w:rPr>
          <w:rFonts w:ascii="Arial" w:hAnsi="Arial" w:cs="Arial"/>
          <w:b/>
          <w:bCs/>
          <w:sz w:val="24"/>
          <w:szCs w:val="24"/>
        </w:rPr>
        <w:t>1. Aktivlegitimation der N-Partei</w:t>
      </w:r>
    </w:p>
    <w:p w14:paraId="3A718AE7" w14:textId="77777777" w:rsidR="00CC2482" w:rsidRDefault="00000000">
      <w:pPr>
        <w:pStyle w:val="Listenabsatz"/>
        <w:numPr>
          <w:ilvl w:val="0"/>
          <w:numId w:val="5"/>
        </w:numPr>
        <w:spacing w:line="360" w:lineRule="auto"/>
        <w:jc w:val="both"/>
        <w:rPr>
          <w:rFonts w:ascii="Arial" w:hAnsi="Arial" w:cs="Arial"/>
          <w:sz w:val="24"/>
          <w:szCs w:val="24"/>
        </w:rPr>
      </w:pPr>
      <w:r>
        <w:rPr>
          <w:rFonts w:ascii="Arial" w:hAnsi="Arial" w:cs="Arial"/>
          <w:sz w:val="24"/>
          <w:szCs w:val="24"/>
        </w:rPr>
        <w:t xml:space="preserve">§ 63 BVerfG (-) </w:t>
      </w:r>
      <w:r>
        <w:rPr>
          <w:rFonts w:ascii="Wingdings" w:eastAsia="Wingdings" w:hAnsi="Wingdings" w:cs="Wingdings"/>
          <w:sz w:val="24"/>
          <w:szCs w:val="24"/>
        </w:rPr>
        <w:t>à</w:t>
      </w:r>
      <w:r>
        <w:rPr>
          <w:rFonts w:ascii="Arial" w:hAnsi="Arial" w:cs="Arial"/>
          <w:sz w:val="24"/>
          <w:szCs w:val="24"/>
        </w:rPr>
        <w:t xml:space="preserve"> Parteien sind insb. kein Organteil!</w:t>
      </w:r>
    </w:p>
    <w:p w14:paraId="30EA89A6" w14:textId="77777777" w:rsidR="00CC2482" w:rsidRDefault="00000000">
      <w:pPr>
        <w:pStyle w:val="Listenabsatz"/>
        <w:numPr>
          <w:ilvl w:val="0"/>
          <w:numId w:val="5"/>
        </w:numPr>
        <w:spacing w:line="360" w:lineRule="auto"/>
        <w:jc w:val="both"/>
        <w:rPr>
          <w:rFonts w:ascii="Arial" w:hAnsi="Arial" w:cs="Arial"/>
          <w:sz w:val="24"/>
          <w:szCs w:val="24"/>
        </w:rPr>
      </w:pPr>
      <w:r>
        <w:rPr>
          <w:rFonts w:ascii="Arial" w:hAnsi="Arial" w:cs="Arial"/>
          <w:sz w:val="24"/>
          <w:szCs w:val="24"/>
        </w:rPr>
        <w:t>Art. 93 I Nr. 1 GG, N-Partei = „anderer Beteiligter“ + „mit eigenen Rechten ausgestattet“?</w:t>
      </w:r>
    </w:p>
    <w:p w14:paraId="30AF74F4" w14:textId="77777777" w:rsidR="00CC2482" w:rsidRDefault="00000000">
      <w:pPr>
        <w:pStyle w:val="Listenabsatz"/>
        <w:numPr>
          <w:ilvl w:val="0"/>
          <w:numId w:val="4"/>
        </w:numPr>
        <w:spacing w:line="360" w:lineRule="auto"/>
        <w:jc w:val="both"/>
        <w:rPr>
          <w:rFonts w:ascii="Arial" w:hAnsi="Arial" w:cs="Arial"/>
          <w:sz w:val="24"/>
          <w:szCs w:val="24"/>
        </w:rPr>
      </w:pPr>
      <w:r>
        <w:rPr>
          <w:rFonts w:ascii="Arial" w:hAnsi="Arial" w:cs="Arial"/>
          <w:b/>
          <w:bCs/>
          <w:sz w:val="24"/>
          <w:szCs w:val="24"/>
        </w:rPr>
        <w:t>P!</w:t>
      </w:r>
      <w:r>
        <w:rPr>
          <w:rFonts w:ascii="Arial" w:hAnsi="Arial" w:cs="Arial"/>
          <w:sz w:val="24"/>
          <w:szCs w:val="24"/>
        </w:rPr>
        <w:t xml:space="preserve"> Wann sind politische Parteien anderer Beteiligter und daher im Organstreit aktiv legitimiert? </w:t>
      </w:r>
      <w:r>
        <w:rPr>
          <w:rFonts w:ascii="Arial" w:hAnsi="Arial" w:cs="Arial"/>
          <w:color w:val="000000" w:themeColor="text1"/>
          <w:sz w:val="24"/>
          <w:szCs w:val="24"/>
        </w:rPr>
        <w:t xml:space="preserve">(Dazu: </w:t>
      </w:r>
      <w:r>
        <w:rPr>
          <w:rFonts w:ascii="Arial" w:hAnsi="Arial" w:cs="Arial"/>
          <w:i/>
          <w:iCs/>
          <w:color w:val="000000" w:themeColor="text1"/>
          <w:sz w:val="24"/>
          <w:szCs w:val="24"/>
        </w:rPr>
        <w:t>Degenhart</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StaatsR</w:t>
      </w:r>
      <w:proofErr w:type="spellEnd"/>
      <w:r>
        <w:rPr>
          <w:rFonts w:ascii="Arial" w:hAnsi="Arial" w:cs="Arial"/>
          <w:color w:val="000000" w:themeColor="text1"/>
          <w:sz w:val="24"/>
          <w:szCs w:val="24"/>
        </w:rPr>
        <w:t xml:space="preserve"> I, 39. Auflage 2023,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71 und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841)</w:t>
      </w:r>
    </w:p>
    <w:p w14:paraId="562691B3" w14:textId="77777777" w:rsidR="00CC2482" w:rsidRDefault="00000000">
      <w:pPr>
        <w:pStyle w:val="Listenabsatz"/>
        <w:numPr>
          <w:ilvl w:val="1"/>
          <w:numId w:val="4"/>
        </w:numPr>
        <w:spacing w:line="360" w:lineRule="auto"/>
        <w:jc w:val="both"/>
        <w:rPr>
          <w:rFonts w:ascii="Arial" w:hAnsi="Arial" w:cs="Arial"/>
          <w:sz w:val="24"/>
          <w:szCs w:val="24"/>
        </w:rPr>
      </w:pPr>
      <w:r>
        <w:rPr>
          <w:rFonts w:ascii="Arial" w:hAnsi="Arial" w:cs="Arial"/>
          <w:sz w:val="24"/>
          <w:szCs w:val="24"/>
        </w:rPr>
        <w:t>Wenn sie ihre Rechtsstellung im Sinne des Art. 21 I GG geltend machen, hier (+)</w:t>
      </w:r>
    </w:p>
    <w:p w14:paraId="20B070CC" w14:textId="77777777" w:rsidR="00CC2482" w:rsidRDefault="00000000">
      <w:pPr>
        <w:spacing w:line="360" w:lineRule="auto"/>
        <w:jc w:val="both"/>
        <w:rPr>
          <w:rFonts w:ascii="Arial" w:hAnsi="Arial" w:cs="Arial"/>
          <w:b/>
          <w:bCs/>
          <w:sz w:val="24"/>
          <w:szCs w:val="24"/>
        </w:rPr>
      </w:pPr>
      <w:r>
        <w:rPr>
          <w:rFonts w:ascii="Arial" w:hAnsi="Arial" w:cs="Arial"/>
          <w:b/>
          <w:bCs/>
          <w:sz w:val="24"/>
          <w:szCs w:val="24"/>
        </w:rPr>
        <w:t>2. Passivlegitimation der X</w:t>
      </w:r>
    </w:p>
    <w:p w14:paraId="2BE403C0" w14:textId="77777777" w:rsidR="00CC2482" w:rsidRDefault="00000000">
      <w:pPr>
        <w:pStyle w:val="Listenabsatz"/>
        <w:numPr>
          <w:ilvl w:val="0"/>
          <w:numId w:val="4"/>
        </w:numPr>
        <w:spacing w:line="360" w:lineRule="auto"/>
        <w:jc w:val="both"/>
        <w:rPr>
          <w:rFonts w:ascii="Arial" w:hAnsi="Arial" w:cs="Arial"/>
          <w:sz w:val="24"/>
          <w:szCs w:val="24"/>
        </w:rPr>
      </w:pPr>
      <w:r>
        <w:rPr>
          <w:rFonts w:ascii="Arial" w:hAnsi="Arial" w:cs="Arial"/>
          <w:sz w:val="24"/>
          <w:szCs w:val="24"/>
        </w:rPr>
        <w:t>X = Ministerin, daher Organteil der Bundesregierung (Art. 62 GG)</w:t>
      </w:r>
    </w:p>
    <w:p w14:paraId="657094B8" w14:textId="77777777" w:rsidR="00CC2482" w:rsidRDefault="00000000">
      <w:pPr>
        <w:pStyle w:val="Listenabsatz"/>
        <w:numPr>
          <w:ilvl w:val="0"/>
          <w:numId w:val="4"/>
        </w:numPr>
        <w:spacing w:line="360" w:lineRule="auto"/>
        <w:jc w:val="both"/>
        <w:rPr>
          <w:rFonts w:ascii="Arial" w:hAnsi="Arial" w:cs="Arial"/>
          <w:sz w:val="24"/>
          <w:szCs w:val="24"/>
        </w:rPr>
      </w:pPr>
      <w:r>
        <w:rPr>
          <w:rFonts w:ascii="Arial" w:hAnsi="Arial" w:cs="Arial"/>
          <w:sz w:val="24"/>
          <w:szCs w:val="24"/>
        </w:rPr>
        <w:t xml:space="preserve">Eigene Rechte? </w:t>
      </w:r>
      <w:r>
        <w:rPr>
          <w:rFonts w:ascii="Wingdings" w:eastAsia="Wingdings" w:hAnsi="Wingdings" w:cs="Wingdings"/>
          <w:sz w:val="24"/>
          <w:szCs w:val="24"/>
        </w:rPr>
        <w:t>à</w:t>
      </w:r>
      <w:r>
        <w:rPr>
          <w:rFonts w:ascii="Arial" w:hAnsi="Arial" w:cs="Arial"/>
          <w:sz w:val="24"/>
          <w:szCs w:val="24"/>
        </w:rPr>
        <w:t xml:space="preserve"> siehe Art. 65 S. 2 GG</w:t>
      </w:r>
    </w:p>
    <w:p w14:paraId="2B064AFC" w14:textId="77777777" w:rsidR="00CC2482" w:rsidRDefault="00CC2482">
      <w:pPr>
        <w:spacing w:line="360" w:lineRule="auto"/>
        <w:jc w:val="both"/>
        <w:rPr>
          <w:rFonts w:ascii="Arial" w:hAnsi="Arial" w:cs="Arial"/>
          <w:sz w:val="24"/>
          <w:szCs w:val="24"/>
        </w:rPr>
      </w:pPr>
    </w:p>
    <w:p w14:paraId="2B776DDB" w14:textId="77777777" w:rsidR="00CC2482" w:rsidRDefault="00000000">
      <w:pPr>
        <w:spacing w:line="360" w:lineRule="auto"/>
        <w:jc w:val="both"/>
        <w:rPr>
          <w:rFonts w:ascii="Arial" w:hAnsi="Arial" w:cs="Arial"/>
          <w:b/>
          <w:sz w:val="24"/>
          <w:szCs w:val="24"/>
        </w:rPr>
      </w:pPr>
      <w:r>
        <w:rPr>
          <w:rFonts w:ascii="Arial" w:hAnsi="Arial" w:cs="Arial"/>
          <w:b/>
          <w:sz w:val="24"/>
          <w:szCs w:val="24"/>
        </w:rPr>
        <w:t>III. Streitgegenstand (Antragsgegenstand)</w:t>
      </w:r>
    </w:p>
    <w:p w14:paraId="1FBE28E7" w14:textId="77777777" w:rsidR="00CC2482" w:rsidRDefault="00000000">
      <w:pPr>
        <w:spacing w:line="360" w:lineRule="auto"/>
        <w:jc w:val="both"/>
        <w:rPr>
          <w:rFonts w:ascii="Arial" w:hAnsi="Arial" w:cs="Arial"/>
          <w:b/>
          <w:sz w:val="24"/>
          <w:szCs w:val="24"/>
        </w:rPr>
      </w:pPr>
      <w:r>
        <w:rPr>
          <w:rFonts w:ascii="Arial" w:hAnsi="Arial" w:cs="Arial"/>
          <w:bCs/>
          <w:sz w:val="24"/>
          <w:szCs w:val="24"/>
        </w:rPr>
        <w:t>jedes rechtserhebliche Tun oder Unterlassen</w:t>
      </w:r>
    </w:p>
    <w:p w14:paraId="5D33DE30" w14:textId="77777777" w:rsidR="00CC2482" w:rsidRDefault="00000000">
      <w:pPr>
        <w:pStyle w:val="Listenabsatz"/>
        <w:numPr>
          <w:ilvl w:val="0"/>
          <w:numId w:val="7"/>
        </w:numPr>
        <w:spacing w:line="360" w:lineRule="auto"/>
        <w:jc w:val="both"/>
        <w:rPr>
          <w:rFonts w:ascii="Arial" w:hAnsi="Arial" w:cs="Arial"/>
          <w:bCs/>
          <w:sz w:val="24"/>
          <w:szCs w:val="24"/>
        </w:rPr>
      </w:pPr>
      <w:r>
        <w:rPr>
          <w:rFonts w:ascii="Arial" w:hAnsi="Arial" w:cs="Arial"/>
          <w:bCs/>
          <w:sz w:val="24"/>
          <w:szCs w:val="24"/>
        </w:rPr>
        <w:t>Hier zwei Gegenstände: 1. Publikation auf der Webseite; 2. Rede auf dem Parteitag</w:t>
      </w:r>
    </w:p>
    <w:p w14:paraId="29DFC117" w14:textId="77777777" w:rsidR="00CC2482" w:rsidRDefault="00000000">
      <w:pPr>
        <w:pStyle w:val="Listenabsatz"/>
        <w:numPr>
          <w:ilvl w:val="0"/>
          <w:numId w:val="7"/>
        </w:numPr>
        <w:spacing w:line="360" w:lineRule="auto"/>
        <w:jc w:val="both"/>
        <w:rPr>
          <w:rFonts w:ascii="Arial" w:hAnsi="Arial" w:cs="Arial"/>
          <w:bCs/>
          <w:sz w:val="24"/>
          <w:szCs w:val="24"/>
        </w:rPr>
      </w:pPr>
      <w:r>
        <w:rPr>
          <w:rFonts w:ascii="Arial" w:hAnsi="Arial" w:cs="Arial"/>
          <w:bCs/>
          <w:sz w:val="24"/>
          <w:szCs w:val="24"/>
        </w:rPr>
        <w:t>Rechtserheblichkeit (+), da eine Beeinträchtigung von Art. 21 I, 3 I GG (Chancengleichheit der Parteien) denkbar</w:t>
      </w:r>
    </w:p>
    <w:p w14:paraId="07FF472E" w14:textId="77777777" w:rsidR="00CC2482" w:rsidRDefault="00CC2482">
      <w:pPr>
        <w:spacing w:line="360" w:lineRule="auto"/>
        <w:jc w:val="both"/>
        <w:rPr>
          <w:rFonts w:ascii="Arial" w:hAnsi="Arial" w:cs="Arial"/>
          <w:bCs/>
          <w:sz w:val="24"/>
          <w:szCs w:val="24"/>
        </w:rPr>
      </w:pPr>
    </w:p>
    <w:p w14:paraId="675A6F8C" w14:textId="77777777" w:rsidR="00CC2482" w:rsidRDefault="00CC2482">
      <w:pPr>
        <w:spacing w:line="360" w:lineRule="auto"/>
        <w:jc w:val="both"/>
        <w:rPr>
          <w:rFonts w:ascii="Arial" w:hAnsi="Arial" w:cs="Arial"/>
          <w:bCs/>
          <w:sz w:val="24"/>
          <w:szCs w:val="24"/>
        </w:rPr>
      </w:pPr>
    </w:p>
    <w:p w14:paraId="137644C6" w14:textId="77777777" w:rsidR="00CC2482" w:rsidRDefault="00000000">
      <w:pPr>
        <w:spacing w:line="360" w:lineRule="auto"/>
        <w:jc w:val="both"/>
        <w:rPr>
          <w:rFonts w:ascii="Arial" w:hAnsi="Arial" w:cs="Arial"/>
          <w:b/>
          <w:sz w:val="24"/>
          <w:szCs w:val="24"/>
        </w:rPr>
      </w:pPr>
      <w:r>
        <w:rPr>
          <w:rFonts w:ascii="Arial" w:hAnsi="Arial" w:cs="Arial"/>
          <w:b/>
          <w:sz w:val="24"/>
          <w:szCs w:val="24"/>
        </w:rPr>
        <w:t>IV. Antragsbefugnis</w:t>
      </w:r>
    </w:p>
    <w:p w14:paraId="3B391D85" w14:textId="77777777" w:rsidR="00CC2482" w:rsidRDefault="00000000">
      <w:pPr>
        <w:spacing w:line="360" w:lineRule="auto"/>
        <w:jc w:val="both"/>
        <w:rPr>
          <w:rFonts w:ascii="Arial" w:hAnsi="Arial" w:cs="Arial"/>
          <w:bCs/>
          <w:sz w:val="24"/>
          <w:szCs w:val="24"/>
        </w:rPr>
      </w:pPr>
      <w:r>
        <w:rPr>
          <w:rFonts w:ascii="Arial" w:hAnsi="Arial" w:cs="Arial"/>
          <w:bCs/>
          <w:sz w:val="24"/>
          <w:szCs w:val="24"/>
        </w:rPr>
        <w:t>Möglichkeit der Verletzung eigener verfassungsrechtlicher Rechte, § 64 BVerfGG</w:t>
      </w:r>
    </w:p>
    <w:p w14:paraId="192E5CFF" w14:textId="77777777" w:rsidR="00CC2482" w:rsidRDefault="00000000">
      <w:pPr>
        <w:pStyle w:val="Listenabsatz"/>
        <w:numPr>
          <w:ilvl w:val="0"/>
          <w:numId w:val="7"/>
        </w:numPr>
        <w:spacing w:line="360" w:lineRule="auto"/>
        <w:jc w:val="both"/>
        <w:rPr>
          <w:rFonts w:ascii="Arial" w:hAnsi="Arial" w:cs="Arial"/>
          <w:bCs/>
          <w:sz w:val="24"/>
          <w:szCs w:val="24"/>
        </w:rPr>
      </w:pPr>
      <w:r>
        <w:rPr>
          <w:rFonts w:ascii="Arial" w:hAnsi="Arial" w:cs="Arial"/>
          <w:b/>
          <w:sz w:val="24"/>
          <w:szCs w:val="24"/>
        </w:rPr>
        <w:t xml:space="preserve">Hier: </w:t>
      </w:r>
      <w:r>
        <w:rPr>
          <w:rFonts w:ascii="Arial" w:hAnsi="Arial" w:cs="Arial"/>
          <w:bCs/>
          <w:sz w:val="24"/>
          <w:szCs w:val="24"/>
        </w:rPr>
        <w:t>Verletzung der Chancengleichheit der Parteien, Art. 21 I, 3 I GG</w:t>
      </w:r>
      <w:r>
        <w:rPr>
          <w:rFonts w:ascii="Arial" w:hAnsi="Arial" w:cs="Arial"/>
          <w:b/>
          <w:sz w:val="24"/>
          <w:szCs w:val="24"/>
        </w:rPr>
        <w:t xml:space="preserve"> </w:t>
      </w:r>
      <w:r>
        <w:rPr>
          <w:rFonts w:ascii="Arial" w:hAnsi="Arial" w:cs="Arial"/>
          <w:bCs/>
          <w:color w:val="000000" w:themeColor="text1"/>
          <w:sz w:val="24"/>
          <w:szCs w:val="24"/>
        </w:rPr>
        <w:t>(</w:t>
      </w:r>
      <w:r>
        <w:rPr>
          <w:rFonts w:ascii="Arial" w:hAnsi="Arial" w:cs="Arial"/>
          <w:bCs/>
          <w:i/>
          <w:iCs/>
          <w:color w:val="000000" w:themeColor="text1"/>
          <w:sz w:val="24"/>
          <w:szCs w:val="24"/>
        </w:rPr>
        <w:t>Degenhart</w:t>
      </w:r>
      <w:r>
        <w:rPr>
          <w:rFonts w:ascii="Arial" w:hAnsi="Arial" w:cs="Arial"/>
          <w:bCs/>
          <w:color w:val="000000" w:themeColor="text1"/>
          <w:sz w:val="24"/>
          <w:szCs w:val="24"/>
        </w:rPr>
        <w:t xml:space="preserve">, Staatsorganisationsrecht, 39. Auflage 2023, </w:t>
      </w:r>
      <w:proofErr w:type="spellStart"/>
      <w:r>
        <w:rPr>
          <w:rFonts w:ascii="Arial" w:hAnsi="Arial" w:cs="Arial"/>
          <w:bCs/>
          <w:color w:val="000000" w:themeColor="text1"/>
          <w:sz w:val="24"/>
          <w:szCs w:val="24"/>
        </w:rPr>
        <w:t>Rn</w:t>
      </w:r>
      <w:proofErr w:type="spellEnd"/>
      <w:r>
        <w:rPr>
          <w:rFonts w:ascii="Arial" w:hAnsi="Arial" w:cs="Arial"/>
          <w:bCs/>
          <w:color w:val="000000" w:themeColor="text1"/>
          <w:sz w:val="24"/>
          <w:szCs w:val="24"/>
        </w:rPr>
        <w:t xml:space="preserve">. 54) </w:t>
      </w:r>
      <w:r>
        <w:rPr>
          <w:rFonts w:ascii="Wingdings" w:eastAsia="Wingdings" w:hAnsi="Wingdings" w:cs="Wingdings"/>
        </w:rPr>
        <w:t>à</w:t>
      </w:r>
      <w:r>
        <w:rPr>
          <w:rFonts w:ascii="Arial" w:hAnsi="Arial" w:cs="Arial"/>
          <w:bCs/>
          <w:sz w:val="24"/>
          <w:szCs w:val="24"/>
        </w:rPr>
        <w:t xml:space="preserve"> Möglichkeit (+), indem Warnung ausgesprochen und Kritik geübt wurde</w:t>
      </w:r>
    </w:p>
    <w:p w14:paraId="22B268C6" w14:textId="77777777" w:rsidR="00CC2482" w:rsidRDefault="00CC2482">
      <w:pPr>
        <w:spacing w:line="360" w:lineRule="auto"/>
        <w:jc w:val="both"/>
        <w:rPr>
          <w:rFonts w:ascii="Arial" w:hAnsi="Arial" w:cs="Arial"/>
          <w:bCs/>
          <w:sz w:val="24"/>
          <w:szCs w:val="24"/>
        </w:rPr>
      </w:pPr>
    </w:p>
    <w:p w14:paraId="316A2802" w14:textId="77777777" w:rsidR="00CC2482" w:rsidRDefault="00000000">
      <w:pPr>
        <w:spacing w:line="360" w:lineRule="auto"/>
        <w:jc w:val="both"/>
        <w:rPr>
          <w:rFonts w:ascii="Arial" w:hAnsi="Arial" w:cs="Arial"/>
          <w:b/>
          <w:sz w:val="24"/>
          <w:szCs w:val="24"/>
        </w:rPr>
      </w:pPr>
      <w:r>
        <w:rPr>
          <w:rFonts w:ascii="Arial" w:hAnsi="Arial" w:cs="Arial"/>
          <w:b/>
          <w:sz w:val="24"/>
          <w:szCs w:val="24"/>
        </w:rPr>
        <w:t>IV. Form/Frist</w:t>
      </w:r>
    </w:p>
    <w:p w14:paraId="508D916B" w14:textId="77777777" w:rsidR="00CC2482" w:rsidRDefault="00000000">
      <w:pPr>
        <w:spacing w:line="360" w:lineRule="auto"/>
        <w:jc w:val="both"/>
        <w:rPr>
          <w:rFonts w:ascii="Arial" w:hAnsi="Arial" w:cs="Arial"/>
          <w:bCs/>
          <w:sz w:val="24"/>
          <w:szCs w:val="24"/>
        </w:rPr>
      </w:pPr>
      <w:r>
        <w:rPr>
          <w:rFonts w:ascii="Arial" w:hAnsi="Arial" w:cs="Arial"/>
          <w:bCs/>
          <w:sz w:val="24"/>
          <w:szCs w:val="24"/>
        </w:rPr>
        <w:t xml:space="preserve">§ 64 II, und § 64 III BVerfG </w:t>
      </w:r>
      <w:r>
        <w:rPr>
          <w:rFonts w:ascii="Wingdings" w:eastAsia="Wingdings" w:hAnsi="Wingdings" w:cs="Wingdings"/>
          <w:bCs/>
          <w:sz w:val="24"/>
          <w:szCs w:val="24"/>
        </w:rPr>
        <w:t>à</w:t>
      </w:r>
      <w:r>
        <w:rPr>
          <w:rFonts w:ascii="Arial" w:hAnsi="Arial" w:cs="Arial"/>
          <w:bCs/>
          <w:sz w:val="24"/>
          <w:szCs w:val="24"/>
        </w:rPr>
        <w:t xml:space="preserve"> keine Probleme ersichtlich</w:t>
      </w:r>
    </w:p>
    <w:p w14:paraId="621094A7" w14:textId="77777777" w:rsidR="00CC2482" w:rsidRDefault="00CC2482">
      <w:pPr>
        <w:spacing w:line="360" w:lineRule="auto"/>
        <w:jc w:val="both"/>
        <w:rPr>
          <w:rFonts w:ascii="Arial" w:hAnsi="Arial" w:cs="Arial"/>
          <w:bCs/>
          <w:sz w:val="24"/>
          <w:szCs w:val="24"/>
        </w:rPr>
      </w:pPr>
    </w:p>
    <w:p w14:paraId="3123C241" w14:textId="77777777" w:rsidR="00CC2482" w:rsidRDefault="00000000">
      <w:pPr>
        <w:spacing w:line="360" w:lineRule="auto"/>
        <w:jc w:val="both"/>
        <w:rPr>
          <w:rFonts w:ascii="Arial" w:hAnsi="Arial" w:cs="Arial"/>
          <w:b/>
          <w:sz w:val="24"/>
          <w:szCs w:val="24"/>
        </w:rPr>
      </w:pPr>
      <w:r>
        <w:rPr>
          <w:rFonts w:ascii="Arial" w:hAnsi="Arial" w:cs="Arial"/>
          <w:b/>
          <w:sz w:val="24"/>
          <w:szCs w:val="24"/>
        </w:rPr>
        <w:t>V. Ergebnis</w:t>
      </w:r>
    </w:p>
    <w:p w14:paraId="43E00D8E" w14:textId="77777777" w:rsidR="00CC2482" w:rsidRDefault="00000000">
      <w:pPr>
        <w:spacing w:line="360" w:lineRule="auto"/>
        <w:jc w:val="both"/>
        <w:rPr>
          <w:rFonts w:ascii="Arial" w:hAnsi="Arial" w:cs="Arial"/>
          <w:sz w:val="24"/>
          <w:szCs w:val="24"/>
        </w:rPr>
      </w:pPr>
      <w:r>
        <w:rPr>
          <w:rFonts w:ascii="Arial" w:hAnsi="Arial" w:cs="Arial"/>
          <w:sz w:val="24"/>
          <w:szCs w:val="24"/>
        </w:rPr>
        <w:t>Die Sachentscheidungsvoraussetzungen liegen vor. Der Antrag ist zulässig.</w:t>
      </w:r>
    </w:p>
    <w:p w14:paraId="0574E78B" w14:textId="77777777" w:rsidR="00CC2482" w:rsidRDefault="00CC2482">
      <w:pPr>
        <w:spacing w:line="360" w:lineRule="auto"/>
        <w:jc w:val="both"/>
        <w:rPr>
          <w:rFonts w:ascii="Arial" w:hAnsi="Arial" w:cs="Arial"/>
          <w:sz w:val="24"/>
          <w:szCs w:val="24"/>
        </w:rPr>
      </w:pPr>
    </w:p>
    <w:p w14:paraId="70E362A3" w14:textId="77777777" w:rsidR="00CC2482" w:rsidRDefault="00000000">
      <w:pPr>
        <w:spacing w:line="360" w:lineRule="auto"/>
        <w:jc w:val="both"/>
        <w:rPr>
          <w:rFonts w:ascii="Arial" w:hAnsi="Arial" w:cs="Arial"/>
          <w:b/>
          <w:sz w:val="24"/>
          <w:szCs w:val="24"/>
        </w:rPr>
      </w:pPr>
      <w:r>
        <w:rPr>
          <w:rFonts w:ascii="Arial" w:hAnsi="Arial" w:cs="Arial"/>
          <w:b/>
          <w:sz w:val="24"/>
          <w:szCs w:val="24"/>
        </w:rPr>
        <w:t>B. Begründetheit</w:t>
      </w:r>
    </w:p>
    <w:p w14:paraId="5E4BE852" w14:textId="77777777" w:rsidR="00CC2482" w:rsidRDefault="00000000">
      <w:pPr>
        <w:spacing w:line="360" w:lineRule="auto"/>
        <w:jc w:val="both"/>
        <w:rPr>
          <w:rFonts w:ascii="Arial" w:hAnsi="Arial" w:cs="Arial"/>
          <w:sz w:val="24"/>
          <w:szCs w:val="24"/>
        </w:rPr>
      </w:pPr>
      <w:r>
        <w:rPr>
          <w:rFonts w:ascii="Arial" w:hAnsi="Arial" w:cs="Arial"/>
          <w:sz w:val="24"/>
          <w:szCs w:val="24"/>
        </w:rPr>
        <w:t>Der Antrag ist begründet, soweit das Verhalten der X verfassungswidrig war und dadurch die N-Partei in eigenen Rechten verletzt wurde, vgl. § 67 BVerfGG.</w:t>
      </w:r>
    </w:p>
    <w:p w14:paraId="211C7B37" w14:textId="77777777" w:rsidR="00CC2482" w:rsidRDefault="00000000">
      <w:pPr>
        <w:spacing w:line="360" w:lineRule="auto"/>
        <w:jc w:val="both"/>
        <w:rPr>
          <w:rFonts w:ascii="Arial" w:hAnsi="Arial" w:cs="Arial"/>
          <w:sz w:val="24"/>
          <w:szCs w:val="24"/>
        </w:rPr>
      </w:pPr>
      <w:r>
        <w:rPr>
          <w:rFonts w:ascii="Arial" w:hAnsi="Arial" w:cs="Arial"/>
          <w:sz w:val="24"/>
          <w:szCs w:val="24"/>
        </w:rPr>
        <w:t>In Betracht kommt eine Verletzung des Grundsatzes der Chancengleichheit der Parteien.</w:t>
      </w:r>
    </w:p>
    <w:p w14:paraId="5CAFB642" w14:textId="77777777" w:rsidR="00CC2482" w:rsidRDefault="00CC2482">
      <w:pPr>
        <w:spacing w:line="360" w:lineRule="auto"/>
        <w:jc w:val="both"/>
        <w:rPr>
          <w:rFonts w:ascii="Arial" w:hAnsi="Arial" w:cs="Arial"/>
          <w:sz w:val="24"/>
          <w:szCs w:val="24"/>
        </w:rPr>
      </w:pPr>
    </w:p>
    <w:p w14:paraId="5BEFF48A" w14:textId="77777777" w:rsidR="00CC2482" w:rsidRDefault="00000000">
      <w:pPr>
        <w:spacing w:line="360" w:lineRule="auto"/>
        <w:jc w:val="both"/>
        <w:rPr>
          <w:rFonts w:ascii="Arial" w:hAnsi="Arial" w:cs="Arial"/>
          <w:b/>
          <w:sz w:val="24"/>
          <w:szCs w:val="24"/>
        </w:rPr>
      </w:pPr>
      <w:r>
        <w:rPr>
          <w:rFonts w:ascii="Arial" w:hAnsi="Arial" w:cs="Arial"/>
          <w:b/>
          <w:sz w:val="24"/>
          <w:szCs w:val="24"/>
        </w:rPr>
        <w:t>I. Verletzung des Grundsatzes der Chancengleichheit der Parteien</w:t>
      </w:r>
    </w:p>
    <w:p w14:paraId="1F8547EC" w14:textId="77777777" w:rsidR="00CC2482" w:rsidRDefault="00000000">
      <w:pPr>
        <w:spacing w:line="360" w:lineRule="auto"/>
        <w:jc w:val="both"/>
        <w:rPr>
          <w:rFonts w:ascii="Arial" w:hAnsi="Arial" w:cs="Arial"/>
          <w:b/>
          <w:sz w:val="24"/>
          <w:szCs w:val="24"/>
        </w:rPr>
      </w:pPr>
      <w:r>
        <w:rPr>
          <w:rFonts w:ascii="Arial" w:hAnsi="Arial" w:cs="Arial"/>
          <w:b/>
          <w:sz w:val="24"/>
          <w:szCs w:val="24"/>
        </w:rPr>
        <w:t>1. Herkunft und Inhalt des Grundsatzes</w:t>
      </w:r>
    </w:p>
    <w:p w14:paraId="5724F0E4" w14:textId="77777777" w:rsidR="00CC2482" w:rsidRDefault="00000000">
      <w:pPr>
        <w:pStyle w:val="Listenabsatz"/>
        <w:numPr>
          <w:ilvl w:val="0"/>
          <w:numId w:val="6"/>
        </w:numPr>
        <w:spacing w:line="360" w:lineRule="auto"/>
        <w:jc w:val="both"/>
        <w:rPr>
          <w:rFonts w:ascii="Arial" w:hAnsi="Arial" w:cs="Arial"/>
          <w:bCs/>
          <w:sz w:val="24"/>
          <w:szCs w:val="24"/>
        </w:rPr>
      </w:pPr>
      <w:r>
        <w:rPr>
          <w:rFonts w:ascii="Arial" w:hAnsi="Arial" w:cs="Arial"/>
          <w:bCs/>
          <w:sz w:val="24"/>
          <w:szCs w:val="24"/>
        </w:rPr>
        <w:t xml:space="preserve">grundgesetzliche Anknüpfung </w:t>
      </w:r>
      <w:r>
        <w:rPr>
          <w:rFonts w:ascii="Wingdings" w:eastAsia="Wingdings" w:hAnsi="Wingdings" w:cs="Wingdings"/>
          <w:bCs/>
          <w:sz w:val="24"/>
          <w:szCs w:val="24"/>
        </w:rPr>
        <w:t>à</w:t>
      </w:r>
      <w:r>
        <w:rPr>
          <w:rFonts w:ascii="Arial" w:hAnsi="Arial" w:cs="Arial"/>
          <w:bCs/>
          <w:sz w:val="24"/>
          <w:szCs w:val="24"/>
        </w:rPr>
        <w:t xml:space="preserve"> Hier: Art. 21 I, 3 I GG</w:t>
      </w:r>
    </w:p>
    <w:p w14:paraId="3F3A3198" w14:textId="77777777" w:rsidR="00CC2482" w:rsidRDefault="00000000">
      <w:pPr>
        <w:pStyle w:val="Listenabsatz"/>
        <w:spacing w:line="360" w:lineRule="auto"/>
        <w:jc w:val="both"/>
        <w:rPr>
          <w:rFonts w:ascii="Arial" w:hAnsi="Arial" w:cs="Arial"/>
          <w:bCs/>
          <w:i/>
          <w:iCs/>
          <w:color w:val="000000" w:themeColor="text1"/>
          <w:sz w:val="24"/>
          <w:szCs w:val="24"/>
        </w:rPr>
      </w:pPr>
      <w:r>
        <w:rPr>
          <w:rFonts w:ascii="Arial" w:hAnsi="Arial" w:cs="Arial"/>
          <w:bCs/>
          <w:i/>
          <w:iCs/>
          <w:color w:val="000000" w:themeColor="text1"/>
          <w:sz w:val="24"/>
          <w:szCs w:val="24"/>
        </w:rPr>
        <w:t>(</w:t>
      </w:r>
      <w:proofErr w:type="spellStart"/>
      <w:r>
        <w:rPr>
          <w:rFonts w:ascii="Arial" w:hAnsi="Arial" w:cs="Arial"/>
          <w:bCs/>
          <w:i/>
          <w:iCs/>
          <w:color w:val="000000" w:themeColor="text1"/>
          <w:sz w:val="24"/>
          <w:szCs w:val="24"/>
        </w:rPr>
        <w:t>str.</w:t>
      </w:r>
      <w:proofErr w:type="spellEnd"/>
      <w:r>
        <w:rPr>
          <w:rFonts w:ascii="Arial" w:hAnsi="Arial" w:cs="Arial"/>
          <w:bCs/>
          <w:i/>
          <w:iCs/>
          <w:color w:val="000000" w:themeColor="text1"/>
          <w:sz w:val="24"/>
          <w:szCs w:val="24"/>
        </w:rPr>
        <w:t xml:space="preserve"> siehe dazu:</w:t>
      </w:r>
      <w:r>
        <w:rPr>
          <w:i/>
          <w:iCs/>
          <w:color w:val="000000" w:themeColor="text1"/>
        </w:rPr>
        <w:t xml:space="preserve"> </w:t>
      </w:r>
      <w:r>
        <w:rPr>
          <w:rFonts w:ascii="Arial" w:hAnsi="Arial" w:cs="Arial"/>
          <w:bCs/>
          <w:i/>
          <w:iCs/>
          <w:color w:val="000000" w:themeColor="text1"/>
          <w:sz w:val="24"/>
          <w:szCs w:val="24"/>
        </w:rPr>
        <w:t xml:space="preserve">Klafki, in: von Münch/Kunig, 7. Aufl. 2021, Grundgesetz Kommentar, Art. 21 </w:t>
      </w:r>
      <w:proofErr w:type="spellStart"/>
      <w:r>
        <w:rPr>
          <w:rFonts w:ascii="Arial" w:hAnsi="Arial" w:cs="Arial"/>
          <w:bCs/>
          <w:i/>
          <w:iCs/>
          <w:color w:val="000000" w:themeColor="text1"/>
          <w:sz w:val="24"/>
          <w:szCs w:val="24"/>
        </w:rPr>
        <w:t>Rn</w:t>
      </w:r>
      <w:proofErr w:type="spellEnd"/>
      <w:r>
        <w:rPr>
          <w:rFonts w:ascii="Arial" w:hAnsi="Arial" w:cs="Arial"/>
          <w:bCs/>
          <w:i/>
          <w:iCs/>
          <w:color w:val="000000" w:themeColor="text1"/>
          <w:sz w:val="24"/>
          <w:szCs w:val="24"/>
        </w:rPr>
        <w:t xml:space="preserve">. 46 </w:t>
      </w:r>
      <w:proofErr w:type="spellStart"/>
      <w:r>
        <w:rPr>
          <w:rFonts w:ascii="Arial" w:hAnsi="Arial" w:cs="Arial"/>
          <w:bCs/>
          <w:i/>
          <w:iCs/>
          <w:color w:val="000000" w:themeColor="text1"/>
          <w:sz w:val="24"/>
          <w:szCs w:val="24"/>
        </w:rPr>
        <w:t>m.w.N</w:t>
      </w:r>
      <w:proofErr w:type="spellEnd"/>
      <w:r>
        <w:rPr>
          <w:rFonts w:ascii="Arial" w:hAnsi="Arial" w:cs="Arial"/>
          <w:bCs/>
          <w:i/>
          <w:iCs/>
          <w:color w:val="000000" w:themeColor="text1"/>
          <w:sz w:val="24"/>
          <w:szCs w:val="24"/>
        </w:rPr>
        <w:t>.)</w:t>
      </w:r>
    </w:p>
    <w:p w14:paraId="368D7B19" w14:textId="77777777" w:rsidR="00CC2482" w:rsidRDefault="00000000">
      <w:pPr>
        <w:pStyle w:val="Listenabsatz"/>
        <w:numPr>
          <w:ilvl w:val="0"/>
          <w:numId w:val="6"/>
        </w:numPr>
        <w:spacing w:line="360" w:lineRule="auto"/>
        <w:jc w:val="both"/>
        <w:rPr>
          <w:rFonts w:ascii="Arial" w:hAnsi="Arial" w:cs="Arial"/>
          <w:bCs/>
          <w:sz w:val="24"/>
          <w:szCs w:val="24"/>
        </w:rPr>
      </w:pPr>
      <w:r>
        <w:rPr>
          <w:rFonts w:ascii="Arial" w:hAnsi="Arial" w:cs="Arial"/>
          <w:bCs/>
          <w:sz w:val="24"/>
          <w:szCs w:val="24"/>
        </w:rPr>
        <w:t xml:space="preserve">Inhalt: Um einen fairen und unverfälschten demokratischen Prozess zu gewährleisten (Art. 20 I, II GG), sind alle staatlichen Stellen (vgl. Art. 20 III GG) gehalten, strikte Neutralität im Wettkampf der politischen Parteien zu üben, die an der politischen Willensbildung des Volkes mitwirken (Art. 21 I GG). Auf diese Weise </w:t>
      </w:r>
      <w:r>
        <w:rPr>
          <w:rFonts w:ascii="Arial" w:hAnsi="Arial" w:cs="Arial"/>
          <w:bCs/>
          <w:sz w:val="24"/>
          <w:szCs w:val="24"/>
        </w:rPr>
        <w:lastRenderedPageBreak/>
        <w:t>soll gesichert sein, dass die Minderheit stets die Chance hat, zur Mehrheit zu werden.</w:t>
      </w:r>
    </w:p>
    <w:p w14:paraId="6CB8309E" w14:textId="77777777" w:rsidR="00CC2482" w:rsidRDefault="00000000">
      <w:pPr>
        <w:spacing w:line="360" w:lineRule="auto"/>
        <w:jc w:val="both"/>
        <w:rPr>
          <w:rFonts w:ascii="Arial" w:hAnsi="Arial" w:cs="Arial"/>
          <w:b/>
          <w:sz w:val="24"/>
          <w:szCs w:val="24"/>
        </w:rPr>
      </w:pPr>
      <w:r>
        <w:rPr>
          <w:rFonts w:ascii="Arial" w:hAnsi="Arial" w:cs="Arial"/>
          <w:b/>
          <w:sz w:val="24"/>
          <w:szCs w:val="24"/>
        </w:rPr>
        <w:t>2. Beeinträchtigung</w:t>
      </w:r>
    </w:p>
    <w:p w14:paraId="712E02A0" w14:textId="77777777" w:rsidR="00CC2482" w:rsidRDefault="00000000">
      <w:pPr>
        <w:spacing w:line="360" w:lineRule="auto"/>
        <w:jc w:val="both"/>
        <w:rPr>
          <w:rFonts w:ascii="Arial" w:hAnsi="Arial" w:cs="Arial"/>
          <w:b/>
          <w:sz w:val="24"/>
          <w:szCs w:val="24"/>
        </w:rPr>
      </w:pPr>
      <w:r>
        <w:rPr>
          <w:rFonts w:ascii="Arial" w:hAnsi="Arial" w:cs="Arial"/>
          <w:b/>
          <w:sz w:val="24"/>
          <w:szCs w:val="24"/>
        </w:rPr>
        <w:t>a. Publikation der Warnung auf der offiziellen Webseite</w:t>
      </w:r>
    </w:p>
    <w:p w14:paraId="0D279D41" w14:textId="77777777" w:rsidR="00CC2482" w:rsidRDefault="00000000">
      <w:pPr>
        <w:pStyle w:val="Listenabsatz"/>
        <w:numPr>
          <w:ilvl w:val="0"/>
          <w:numId w:val="6"/>
        </w:numPr>
        <w:spacing w:line="360" w:lineRule="auto"/>
        <w:jc w:val="both"/>
        <w:rPr>
          <w:rFonts w:ascii="Arial" w:hAnsi="Arial" w:cs="Arial"/>
          <w:bCs/>
          <w:sz w:val="24"/>
          <w:szCs w:val="24"/>
        </w:rPr>
      </w:pPr>
      <w:r>
        <w:rPr>
          <w:rFonts w:ascii="Arial" w:hAnsi="Arial" w:cs="Arial"/>
          <w:bCs/>
          <w:sz w:val="24"/>
          <w:szCs w:val="24"/>
        </w:rPr>
        <w:t>Warnung bewirkt eine Abschreckung unter Zuhilfenahme staatlicher Infrastruktur, da die Demonstration der N-Partei als möglicherweise unfriedlich deklariert wurde</w:t>
      </w:r>
    </w:p>
    <w:p w14:paraId="43C87418" w14:textId="77777777" w:rsidR="00CC2482" w:rsidRDefault="00000000">
      <w:pPr>
        <w:pStyle w:val="Listenabsatz"/>
        <w:numPr>
          <w:ilvl w:val="0"/>
          <w:numId w:val="6"/>
        </w:numPr>
        <w:spacing w:line="360" w:lineRule="auto"/>
        <w:jc w:val="both"/>
        <w:rPr>
          <w:rFonts w:ascii="Arial" w:hAnsi="Arial" w:cs="Arial"/>
          <w:bCs/>
          <w:sz w:val="24"/>
          <w:szCs w:val="24"/>
        </w:rPr>
      </w:pPr>
      <w:r>
        <w:rPr>
          <w:rFonts w:ascii="Arial" w:hAnsi="Arial" w:cs="Arial"/>
          <w:bCs/>
          <w:sz w:val="24"/>
          <w:szCs w:val="24"/>
        </w:rPr>
        <w:t xml:space="preserve">Eingriff (+) </w:t>
      </w:r>
    </w:p>
    <w:p w14:paraId="7C1AA05F" w14:textId="77777777" w:rsidR="00CC2482" w:rsidRDefault="00CC2482">
      <w:pPr>
        <w:spacing w:line="360" w:lineRule="auto"/>
        <w:jc w:val="both"/>
        <w:rPr>
          <w:rFonts w:ascii="Arial" w:hAnsi="Arial" w:cs="Arial"/>
          <w:bCs/>
          <w:sz w:val="24"/>
          <w:szCs w:val="24"/>
        </w:rPr>
      </w:pPr>
    </w:p>
    <w:p w14:paraId="24874CAE" w14:textId="77777777" w:rsidR="00CC2482" w:rsidRDefault="00000000">
      <w:pPr>
        <w:spacing w:line="360" w:lineRule="auto"/>
        <w:jc w:val="both"/>
        <w:rPr>
          <w:rFonts w:ascii="Arial" w:hAnsi="Arial" w:cs="Arial"/>
          <w:b/>
          <w:sz w:val="24"/>
          <w:szCs w:val="24"/>
        </w:rPr>
      </w:pPr>
      <w:r>
        <w:rPr>
          <w:rFonts w:ascii="Arial" w:hAnsi="Arial" w:cs="Arial"/>
          <w:b/>
          <w:sz w:val="24"/>
          <w:szCs w:val="24"/>
        </w:rPr>
        <w:t>b. Rede auf dem Parteitag</w:t>
      </w:r>
    </w:p>
    <w:p w14:paraId="759585E6" w14:textId="77777777" w:rsidR="00CC2482" w:rsidRDefault="00000000">
      <w:pPr>
        <w:spacing w:line="360" w:lineRule="auto"/>
        <w:jc w:val="both"/>
        <w:rPr>
          <w:rFonts w:ascii="Arial" w:hAnsi="Arial" w:cs="Arial"/>
          <w:b/>
          <w:sz w:val="24"/>
          <w:szCs w:val="24"/>
        </w:rPr>
      </w:pPr>
      <w:r>
        <w:rPr>
          <w:rFonts w:ascii="Arial" w:hAnsi="Arial" w:cs="Arial"/>
          <w:b/>
          <w:sz w:val="24"/>
          <w:szCs w:val="24"/>
        </w:rPr>
        <w:t>P! X in Funktion als Parteivorsitzende neutralitätspflichtig?</w:t>
      </w:r>
      <w:r>
        <w:rPr>
          <w:rFonts w:ascii="Arial" w:hAnsi="Arial" w:cs="Arial"/>
          <w:bCs/>
          <w:color w:val="000000" w:themeColor="text1"/>
          <w:sz w:val="24"/>
          <w:szCs w:val="24"/>
        </w:rPr>
        <w:t xml:space="preserve"> (vgl. </w:t>
      </w:r>
      <w:r>
        <w:rPr>
          <w:rFonts w:ascii="Arial" w:hAnsi="Arial" w:cs="Arial"/>
          <w:bCs/>
          <w:i/>
          <w:iCs/>
          <w:color w:val="000000" w:themeColor="text1"/>
          <w:sz w:val="24"/>
          <w:szCs w:val="24"/>
        </w:rPr>
        <w:t>Degenhart</w:t>
      </w:r>
      <w:r>
        <w:rPr>
          <w:rFonts w:ascii="Arial" w:hAnsi="Arial" w:cs="Arial"/>
          <w:bCs/>
          <w:color w:val="000000" w:themeColor="text1"/>
          <w:sz w:val="24"/>
          <w:szCs w:val="24"/>
        </w:rPr>
        <w:t xml:space="preserve">, Staatsorganisationsrecht, 39. Auflage 2023, </w:t>
      </w:r>
      <w:proofErr w:type="spellStart"/>
      <w:r>
        <w:rPr>
          <w:rFonts w:ascii="Arial" w:hAnsi="Arial" w:cs="Arial"/>
          <w:bCs/>
          <w:color w:val="000000" w:themeColor="text1"/>
          <w:sz w:val="24"/>
          <w:szCs w:val="24"/>
        </w:rPr>
        <w:t>Rn</w:t>
      </w:r>
      <w:proofErr w:type="spellEnd"/>
      <w:r>
        <w:rPr>
          <w:rFonts w:ascii="Arial" w:hAnsi="Arial" w:cs="Arial"/>
          <w:bCs/>
          <w:color w:val="000000" w:themeColor="text1"/>
          <w:sz w:val="24"/>
          <w:szCs w:val="24"/>
        </w:rPr>
        <w:t>. 792 ff.)</w:t>
      </w:r>
    </w:p>
    <w:p w14:paraId="043ECED5" w14:textId="77777777" w:rsidR="00CC2482" w:rsidRDefault="00000000">
      <w:pPr>
        <w:pStyle w:val="Listenabsatz"/>
        <w:numPr>
          <w:ilvl w:val="0"/>
          <w:numId w:val="6"/>
        </w:numPr>
        <w:spacing w:line="360" w:lineRule="auto"/>
        <w:jc w:val="both"/>
        <w:rPr>
          <w:rFonts w:ascii="Arial" w:hAnsi="Arial" w:cs="Arial"/>
          <w:bCs/>
          <w:sz w:val="24"/>
          <w:szCs w:val="24"/>
        </w:rPr>
      </w:pPr>
      <w:r>
        <w:rPr>
          <w:rFonts w:ascii="Arial" w:hAnsi="Arial" w:cs="Arial"/>
          <w:bCs/>
          <w:sz w:val="24"/>
          <w:szCs w:val="24"/>
        </w:rPr>
        <w:t>Nein, auch als Ministerin muss es ihr möglich sein, am politischen Wettkampf teilzunehmen, solange sie dafür keine staatlichen Ressourcen (solche der BReg / ihres Ministeriums) verwendet</w:t>
      </w:r>
    </w:p>
    <w:p w14:paraId="789161AB" w14:textId="77777777" w:rsidR="00CC2482" w:rsidRDefault="00000000">
      <w:pPr>
        <w:pStyle w:val="Listenabsatz"/>
        <w:numPr>
          <w:ilvl w:val="0"/>
          <w:numId w:val="6"/>
        </w:numPr>
        <w:spacing w:line="360" w:lineRule="auto"/>
        <w:jc w:val="both"/>
        <w:rPr>
          <w:rFonts w:ascii="Arial" w:hAnsi="Arial" w:cs="Arial"/>
          <w:bCs/>
          <w:sz w:val="24"/>
          <w:szCs w:val="24"/>
        </w:rPr>
      </w:pPr>
      <w:r>
        <w:rPr>
          <w:rFonts w:ascii="Arial" w:hAnsi="Arial" w:cs="Arial"/>
          <w:bCs/>
          <w:sz w:val="24"/>
          <w:szCs w:val="24"/>
        </w:rPr>
        <w:t>Hier schlichte Parteitagsrede in der Funktion als Vorsitzende ohne Einsatz staatlicher Ressourcen</w:t>
      </w:r>
    </w:p>
    <w:p w14:paraId="7C5CE856" w14:textId="77777777" w:rsidR="00CC2482" w:rsidRDefault="00CC2482">
      <w:pPr>
        <w:spacing w:line="360" w:lineRule="auto"/>
        <w:jc w:val="both"/>
        <w:rPr>
          <w:rFonts w:ascii="Arial" w:hAnsi="Arial" w:cs="Arial"/>
          <w:bCs/>
          <w:sz w:val="24"/>
          <w:szCs w:val="24"/>
        </w:rPr>
      </w:pPr>
    </w:p>
    <w:p w14:paraId="134A17F7" w14:textId="77777777" w:rsidR="00CC2482" w:rsidRDefault="00000000">
      <w:pPr>
        <w:spacing w:line="360" w:lineRule="auto"/>
        <w:jc w:val="both"/>
        <w:rPr>
          <w:rFonts w:ascii="Arial" w:hAnsi="Arial" w:cs="Arial"/>
          <w:b/>
          <w:bCs/>
          <w:sz w:val="24"/>
          <w:szCs w:val="24"/>
        </w:rPr>
      </w:pPr>
      <w:r>
        <w:rPr>
          <w:rFonts w:ascii="Arial" w:hAnsi="Arial" w:cs="Arial"/>
          <w:b/>
          <w:bCs/>
          <w:sz w:val="24"/>
          <w:szCs w:val="24"/>
        </w:rPr>
        <w:t>3. Verfassungsrechtliche Rechtfertigung des Warnhinweises auf der Webseite</w:t>
      </w:r>
    </w:p>
    <w:p w14:paraId="1C8627CA" w14:textId="77777777" w:rsidR="00CC2482" w:rsidRDefault="00000000">
      <w:pPr>
        <w:pStyle w:val="Listenabsatz"/>
        <w:numPr>
          <w:ilvl w:val="0"/>
          <w:numId w:val="9"/>
        </w:numPr>
        <w:spacing w:line="360" w:lineRule="auto"/>
        <w:jc w:val="both"/>
        <w:rPr>
          <w:rFonts w:ascii="Arial" w:hAnsi="Arial" w:cs="Arial"/>
          <w:sz w:val="24"/>
          <w:szCs w:val="24"/>
        </w:rPr>
      </w:pPr>
      <w:r>
        <w:rPr>
          <w:rFonts w:ascii="Arial" w:hAnsi="Arial" w:cs="Arial"/>
          <w:b/>
          <w:bCs/>
          <w:sz w:val="24"/>
          <w:szCs w:val="24"/>
        </w:rPr>
        <w:t xml:space="preserve">Hier: </w:t>
      </w:r>
      <w:r>
        <w:rPr>
          <w:rFonts w:ascii="Arial" w:hAnsi="Arial" w:cs="Arial"/>
          <w:sz w:val="24"/>
          <w:szCs w:val="24"/>
        </w:rPr>
        <w:t>Äußerungsbefugnis der Regierung in Gefahrenlagen (sog. staatliche Warnungen)</w:t>
      </w:r>
    </w:p>
    <w:p w14:paraId="61B127AE" w14:textId="77777777" w:rsidR="00CC2482" w:rsidRDefault="00000000">
      <w:pPr>
        <w:spacing w:line="360" w:lineRule="auto"/>
        <w:jc w:val="both"/>
        <w:rPr>
          <w:rFonts w:ascii="Arial" w:hAnsi="Arial" w:cs="Arial"/>
          <w:b/>
          <w:bCs/>
          <w:sz w:val="24"/>
          <w:szCs w:val="24"/>
        </w:rPr>
      </w:pPr>
      <w:r>
        <w:rPr>
          <w:rFonts w:ascii="Arial" w:hAnsi="Arial" w:cs="Arial"/>
          <w:b/>
          <w:bCs/>
          <w:sz w:val="24"/>
          <w:szCs w:val="24"/>
        </w:rPr>
        <w:t>a. Rechtsgrundlage für Informationen/Warnungen</w:t>
      </w:r>
    </w:p>
    <w:p w14:paraId="644C19FF" w14:textId="77777777" w:rsidR="00CC2482" w:rsidRDefault="00000000">
      <w:pPr>
        <w:spacing w:line="360" w:lineRule="auto"/>
        <w:jc w:val="both"/>
        <w:rPr>
          <w:rFonts w:ascii="Arial" w:hAnsi="Arial" w:cs="Arial"/>
          <w:color w:val="000000" w:themeColor="text1"/>
          <w:sz w:val="24"/>
          <w:szCs w:val="24"/>
        </w:rPr>
      </w:pPr>
      <w:r>
        <w:rPr>
          <w:rFonts w:ascii="Arial" w:hAnsi="Arial" w:cs="Arial"/>
          <w:b/>
          <w:bCs/>
          <w:sz w:val="24"/>
          <w:szCs w:val="24"/>
        </w:rPr>
        <w:t xml:space="preserve">Sehr </w:t>
      </w:r>
      <w:proofErr w:type="spellStart"/>
      <w:r>
        <w:rPr>
          <w:rFonts w:ascii="Arial" w:hAnsi="Arial" w:cs="Arial"/>
          <w:b/>
          <w:bCs/>
          <w:sz w:val="24"/>
          <w:szCs w:val="24"/>
        </w:rPr>
        <w:t>str.</w:t>
      </w:r>
      <w:proofErr w:type="spellEnd"/>
      <w:r>
        <w:rPr>
          <w:rFonts w:ascii="Arial" w:hAnsi="Arial" w:cs="Arial"/>
          <w:b/>
          <w:bCs/>
          <w:sz w:val="24"/>
          <w:szCs w:val="24"/>
        </w:rPr>
        <w:t xml:space="preserve"> </w:t>
      </w:r>
      <w:r>
        <w:rPr>
          <w:rFonts w:ascii="Wingdings" w:eastAsia="Wingdings" w:hAnsi="Wingdings" w:cs="Wingdings"/>
          <w:b/>
          <w:bCs/>
          <w:sz w:val="24"/>
          <w:szCs w:val="24"/>
        </w:rPr>
        <w:t>à</w:t>
      </w:r>
      <w:r>
        <w:rPr>
          <w:rFonts w:ascii="Arial" w:hAnsi="Arial" w:cs="Arial"/>
          <w:b/>
          <w:bCs/>
          <w:sz w:val="24"/>
          <w:szCs w:val="24"/>
        </w:rPr>
        <w:t xml:space="preserve"> </w:t>
      </w:r>
      <w:r>
        <w:rPr>
          <w:rFonts w:ascii="Arial" w:hAnsi="Arial" w:cs="Arial"/>
          <w:sz w:val="24"/>
          <w:szCs w:val="24"/>
        </w:rPr>
        <w:t>wird teilweise abgeleitet aus</w:t>
      </w:r>
      <w:r>
        <w:rPr>
          <w:rFonts w:ascii="Arial" w:hAnsi="Arial" w:cs="Arial"/>
          <w:b/>
          <w:bCs/>
          <w:sz w:val="24"/>
          <w:szCs w:val="24"/>
        </w:rPr>
        <w:t xml:space="preserve"> </w:t>
      </w:r>
      <w:r>
        <w:rPr>
          <w:rFonts w:ascii="Arial" w:hAnsi="Arial" w:cs="Arial"/>
          <w:sz w:val="24"/>
          <w:szCs w:val="24"/>
        </w:rPr>
        <w:t xml:space="preserve">Art. 62 ff. GG und der der Regierung zugewiesenen Aufgabe der Staatsleitung </w:t>
      </w:r>
      <w:r>
        <w:rPr>
          <w:rFonts w:ascii="Arial" w:hAnsi="Arial" w:cs="Arial"/>
          <w:color w:val="000000" w:themeColor="text1"/>
          <w:sz w:val="24"/>
          <w:szCs w:val="24"/>
        </w:rPr>
        <w:t xml:space="preserve">(umfassend zur </w:t>
      </w:r>
      <w:proofErr w:type="spellStart"/>
      <w:r>
        <w:rPr>
          <w:rFonts w:ascii="Arial" w:hAnsi="Arial" w:cs="Arial"/>
          <w:color w:val="000000" w:themeColor="text1"/>
          <w:sz w:val="24"/>
          <w:szCs w:val="24"/>
        </w:rPr>
        <w:t>Kompentenz</w:t>
      </w:r>
      <w:proofErr w:type="spellEnd"/>
      <w:r>
        <w:rPr>
          <w:rFonts w:ascii="Arial" w:hAnsi="Arial" w:cs="Arial"/>
          <w:color w:val="000000" w:themeColor="text1"/>
          <w:sz w:val="24"/>
          <w:szCs w:val="24"/>
        </w:rPr>
        <w:t xml:space="preserve"> der „Staatsleitung“ / sog. „</w:t>
      </w:r>
      <w:proofErr w:type="spellStart"/>
      <w:r>
        <w:rPr>
          <w:rFonts w:ascii="Arial" w:hAnsi="Arial" w:cs="Arial"/>
          <w:color w:val="000000" w:themeColor="text1"/>
          <w:sz w:val="24"/>
          <w:szCs w:val="24"/>
        </w:rPr>
        <w:t>Gubernative</w:t>
      </w:r>
      <w:proofErr w:type="spellEnd"/>
      <w:r>
        <w:rPr>
          <w:rFonts w:ascii="Arial" w:hAnsi="Arial" w:cs="Arial"/>
          <w:color w:val="000000" w:themeColor="text1"/>
          <w:sz w:val="24"/>
          <w:szCs w:val="24"/>
        </w:rPr>
        <w:t xml:space="preserve">“: </w:t>
      </w:r>
      <w:proofErr w:type="spellStart"/>
      <w:r>
        <w:rPr>
          <w:rFonts w:ascii="Arial" w:hAnsi="Arial" w:cs="Arial"/>
          <w:i/>
          <w:iCs/>
          <w:color w:val="000000" w:themeColor="text1"/>
          <w:sz w:val="24"/>
          <w:szCs w:val="24"/>
        </w:rPr>
        <w:t>Gubelt</w:t>
      </w:r>
      <w:proofErr w:type="spellEnd"/>
      <w:r>
        <w:rPr>
          <w:rFonts w:ascii="Arial" w:hAnsi="Arial" w:cs="Arial"/>
          <w:i/>
          <w:iCs/>
          <w:color w:val="000000" w:themeColor="text1"/>
          <w:sz w:val="24"/>
          <w:szCs w:val="24"/>
        </w:rPr>
        <w:t>/</w:t>
      </w:r>
      <w:proofErr w:type="spellStart"/>
      <w:r>
        <w:rPr>
          <w:rFonts w:ascii="Arial" w:hAnsi="Arial" w:cs="Arial"/>
          <w:i/>
          <w:iCs/>
          <w:color w:val="000000" w:themeColor="text1"/>
          <w:sz w:val="24"/>
          <w:szCs w:val="24"/>
        </w:rPr>
        <w:t>Hanschel</w:t>
      </w:r>
      <w:proofErr w:type="spellEnd"/>
      <w:r>
        <w:rPr>
          <w:rFonts w:ascii="Arial" w:hAnsi="Arial" w:cs="Arial"/>
          <w:color w:val="000000" w:themeColor="text1"/>
          <w:sz w:val="24"/>
          <w:szCs w:val="24"/>
        </w:rPr>
        <w:t xml:space="preserve">, in: von Münch/Kunig, Grundgesetz Kommentar, 7. Aufl. 2021, Art. 30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31 ff., Art. 32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38 ff.; </w:t>
      </w:r>
      <w:r>
        <w:rPr>
          <w:rFonts w:ascii="Arial" w:hAnsi="Arial" w:cs="Arial"/>
          <w:i/>
          <w:iCs/>
          <w:color w:val="000000" w:themeColor="text1"/>
          <w:sz w:val="24"/>
          <w:szCs w:val="24"/>
        </w:rPr>
        <w:t>Degenhart</w:t>
      </w:r>
      <w:r>
        <w:rPr>
          <w:rFonts w:ascii="Arial" w:hAnsi="Arial" w:cs="Arial"/>
          <w:color w:val="000000" w:themeColor="text1"/>
          <w:sz w:val="24"/>
          <w:szCs w:val="24"/>
        </w:rPr>
        <w:t xml:space="preserve">, Staatsorganisationsrecht, 39. Auflage 2023,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790-791)</w:t>
      </w:r>
    </w:p>
    <w:p w14:paraId="568E3908" w14:textId="77777777" w:rsidR="00CC2482" w:rsidRDefault="00CC2482">
      <w:pPr>
        <w:spacing w:line="360" w:lineRule="auto"/>
        <w:jc w:val="both"/>
        <w:rPr>
          <w:rFonts w:ascii="Arial" w:hAnsi="Arial" w:cs="Arial"/>
          <w:color w:val="000000" w:themeColor="text1"/>
          <w:sz w:val="24"/>
          <w:szCs w:val="24"/>
        </w:rPr>
      </w:pPr>
    </w:p>
    <w:p w14:paraId="292EC93D" w14:textId="77777777" w:rsidR="00CC2482" w:rsidRDefault="00CC2482">
      <w:pPr>
        <w:spacing w:line="360" w:lineRule="auto"/>
        <w:jc w:val="both"/>
        <w:rPr>
          <w:rFonts w:ascii="Arial" w:hAnsi="Arial" w:cs="Arial"/>
          <w:sz w:val="24"/>
          <w:szCs w:val="24"/>
        </w:rPr>
      </w:pPr>
    </w:p>
    <w:p w14:paraId="02EB0121" w14:textId="77777777" w:rsidR="00CC2482" w:rsidRDefault="00000000">
      <w:pPr>
        <w:spacing w:line="360" w:lineRule="auto"/>
        <w:jc w:val="both"/>
        <w:rPr>
          <w:rFonts w:ascii="Arial" w:hAnsi="Arial" w:cs="Arial"/>
          <w:b/>
          <w:bCs/>
          <w:sz w:val="24"/>
          <w:szCs w:val="24"/>
        </w:rPr>
      </w:pPr>
      <w:r>
        <w:rPr>
          <w:rFonts w:ascii="Arial" w:hAnsi="Arial" w:cs="Arial"/>
          <w:b/>
          <w:bCs/>
          <w:sz w:val="24"/>
          <w:szCs w:val="24"/>
        </w:rPr>
        <w:lastRenderedPageBreak/>
        <w:t>b. Grenzen</w:t>
      </w:r>
    </w:p>
    <w:p w14:paraId="0C970BE9" w14:textId="77777777" w:rsidR="00CC2482" w:rsidRDefault="00000000">
      <w:pPr>
        <w:spacing w:line="360" w:lineRule="auto"/>
        <w:jc w:val="both"/>
        <w:rPr>
          <w:rFonts w:ascii="Arial" w:hAnsi="Arial" w:cs="Arial"/>
          <w:sz w:val="24"/>
          <w:szCs w:val="24"/>
        </w:rPr>
      </w:pPr>
      <w:r>
        <w:rPr>
          <w:rFonts w:ascii="Arial" w:hAnsi="Arial" w:cs="Arial"/>
          <w:sz w:val="24"/>
          <w:szCs w:val="24"/>
        </w:rPr>
        <w:t xml:space="preserve">Materiell richtige Informationen und unbefangene Aufklärung </w:t>
      </w:r>
      <w:r>
        <w:rPr>
          <w:rFonts w:ascii="Wingdings" w:eastAsia="Wingdings" w:hAnsi="Wingdings" w:cs="Wingdings"/>
          <w:sz w:val="24"/>
          <w:szCs w:val="24"/>
        </w:rPr>
        <w:t>à</w:t>
      </w:r>
      <w:r>
        <w:rPr>
          <w:rFonts w:ascii="Arial" w:hAnsi="Arial" w:cs="Arial"/>
          <w:sz w:val="24"/>
          <w:szCs w:val="24"/>
        </w:rPr>
        <w:t xml:space="preserve"> es </w:t>
      </w:r>
      <w:r>
        <w:rPr>
          <w:rFonts w:ascii="Arial" w:hAnsi="Arial" w:cs="Arial"/>
          <w:i/>
          <w:iCs/>
          <w:sz w:val="24"/>
          <w:szCs w:val="24"/>
        </w:rPr>
        <w:t xml:space="preserve">„darf nicht ‘in parteiergreifender Weise auf den Wettbewerb zwischen den politischen Parteien‘ Einfluss“ </w:t>
      </w:r>
      <w:r>
        <w:rPr>
          <w:rFonts w:ascii="Arial" w:hAnsi="Arial" w:cs="Arial"/>
          <w:color w:val="000000" w:themeColor="text1"/>
          <w:sz w:val="24"/>
          <w:szCs w:val="24"/>
        </w:rPr>
        <w:t>(</w:t>
      </w:r>
      <w:r>
        <w:rPr>
          <w:rFonts w:ascii="Arial" w:hAnsi="Arial" w:cs="Arial"/>
          <w:i/>
          <w:iCs/>
          <w:color w:val="000000" w:themeColor="text1"/>
          <w:sz w:val="24"/>
          <w:szCs w:val="24"/>
        </w:rPr>
        <w:t>Degenhart</w:t>
      </w:r>
      <w:r>
        <w:rPr>
          <w:rFonts w:ascii="Arial" w:hAnsi="Arial" w:cs="Arial"/>
          <w:color w:val="000000" w:themeColor="text1"/>
          <w:sz w:val="24"/>
          <w:szCs w:val="24"/>
        </w:rPr>
        <w:t xml:space="preserve">, Staatsorganisationsrecht, 39. Auflage 2023, </w:t>
      </w:r>
      <w:proofErr w:type="spellStart"/>
      <w:r>
        <w:rPr>
          <w:rFonts w:ascii="Arial" w:hAnsi="Arial" w:cs="Arial"/>
          <w:color w:val="000000" w:themeColor="text1"/>
          <w:sz w:val="24"/>
          <w:szCs w:val="24"/>
        </w:rPr>
        <w:t>Rn</w:t>
      </w:r>
      <w:proofErr w:type="spellEnd"/>
      <w:r>
        <w:rPr>
          <w:rFonts w:ascii="Arial" w:hAnsi="Arial" w:cs="Arial"/>
          <w:color w:val="000000" w:themeColor="text1"/>
          <w:sz w:val="24"/>
          <w:szCs w:val="24"/>
        </w:rPr>
        <w:t xml:space="preserve">. 791) </w:t>
      </w:r>
      <w:r>
        <w:rPr>
          <w:rFonts w:ascii="Arial" w:hAnsi="Arial" w:cs="Arial"/>
          <w:sz w:val="24"/>
          <w:szCs w:val="24"/>
        </w:rPr>
        <w:t>genommen werden.</w:t>
      </w:r>
    </w:p>
    <w:p w14:paraId="19B0909D" w14:textId="77777777" w:rsidR="00CC2482" w:rsidRDefault="00000000">
      <w:pPr>
        <w:pStyle w:val="Listenabsatz"/>
        <w:numPr>
          <w:ilvl w:val="0"/>
          <w:numId w:val="9"/>
        </w:numPr>
        <w:spacing w:line="360" w:lineRule="auto"/>
        <w:jc w:val="both"/>
        <w:rPr>
          <w:rFonts w:ascii="Arial" w:hAnsi="Arial" w:cs="Arial"/>
          <w:sz w:val="24"/>
          <w:szCs w:val="24"/>
        </w:rPr>
      </w:pPr>
      <w:r>
        <w:rPr>
          <w:rFonts w:ascii="Arial" w:hAnsi="Arial" w:cs="Arial"/>
          <w:sz w:val="24"/>
          <w:szCs w:val="24"/>
        </w:rPr>
        <w:t xml:space="preserve">Hier (+); es bestand eine objektive Gefahrenlage für den benannten Personenkreis; hierüber wurde </w:t>
      </w:r>
      <w:proofErr w:type="spellStart"/>
      <w:r>
        <w:rPr>
          <w:rFonts w:ascii="Arial" w:hAnsi="Arial" w:cs="Arial"/>
          <w:sz w:val="24"/>
          <w:szCs w:val="24"/>
        </w:rPr>
        <w:t>untendenziös</w:t>
      </w:r>
      <w:proofErr w:type="spellEnd"/>
      <w:r>
        <w:rPr>
          <w:rFonts w:ascii="Arial" w:hAnsi="Arial" w:cs="Arial"/>
          <w:sz w:val="24"/>
          <w:szCs w:val="24"/>
        </w:rPr>
        <w:t xml:space="preserve"> gewarnt; kein unmittelbarer Bezug zur N-Partei hergestellt</w:t>
      </w:r>
    </w:p>
    <w:p w14:paraId="25A88C87" w14:textId="77777777" w:rsidR="00CC2482" w:rsidRDefault="00000000">
      <w:pPr>
        <w:pStyle w:val="Listenabsatz"/>
        <w:numPr>
          <w:ilvl w:val="0"/>
          <w:numId w:val="9"/>
        </w:numPr>
        <w:spacing w:line="360" w:lineRule="auto"/>
        <w:jc w:val="both"/>
        <w:rPr>
          <w:rFonts w:ascii="Arial" w:hAnsi="Arial" w:cs="Arial"/>
          <w:sz w:val="24"/>
          <w:szCs w:val="24"/>
        </w:rPr>
      </w:pPr>
      <w:r>
        <w:rPr>
          <w:rFonts w:ascii="Arial" w:hAnsi="Arial" w:cs="Arial"/>
          <w:sz w:val="24"/>
          <w:szCs w:val="24"/>
        </w:rPr>
        <w:t>Publikation der Warnung verfassungsrechtlich zulässig</w:t>
      </w:r>
    </w:p>
    <w:p w14:paraId="4E23D5CB" w14:textId="77777777" w:rsidR="00CC2482" w:rsidRDefault="00CC2482">
      <w:pPr>
        <w:spacing w:line="360" w:lineRule="auto"/>
        <w:jc w:val="both"/>
        <w:rPr>
          <w:rFonts w:ascii="Arial" w:hAnsi="Arial" w:cs="Arial"/>
          <w:sz w:val="24"/>
          <w:szCs w:val="24"/>
        </w:rPr>
      </w:pPr>
    </w:p>
    <w:p w14:paraId="4FCDBE86" w14:textId="77777777" w:rsidR="00CC2482" w:rsidRDefault="00000000">
      <w:pPr>
        <w:spacing w:line="360" w:lineRule="auto"/>
        <w:jc w:val="both"/>
        <w:rPr>
          <w:rFonts w:ascii="Arial" w:hAnsi="Arial" w:cs="Arial"/>
          <w:b/>
          <w:bCs/>
          <w:sz w:val="24"/>
          <w:szCs w:val="24"/>
        </w:rPr>
      </w:pPr>
      <w:r>
        <w:rPr>
          <w:rFonts w:ascii="Arial" w:hAnsi="Arial" w:cs="Arial"/>
          <w:b/>
          <w:bCs/>
          <w:sz w:val="24"/>
          <w:szCs w:val="24"/>
        </w:rPr>
        <w:t>C. Ergebnis</w:t>
      </w:r>
    </w:p>
    <w:p w14:paraId="5304B814" w14:textId="046772AF" w:rsidR="00CC2482" w:rsidRDefault="00000000" w:rsidP="00230DD5">
      <w:pPr>
        <w:spacing w:line="360" w:lineRule="auto"/>
        <w:jc w:val="both"/>
        <w:rPr>
          <w:rFonts w:ascii="Arial" w:hAnsi="Arial" w:cs="Arial"/>
          <w:sz w:val="24"/>
          <w:szCs w:val="24"/>
        </w:rPr>
      </w:pPr>
      <w:r>
        <w:rPr>
          <w:rFonts w:ascii="Arial" w:hAnsi="Arial" w:cs="Arial"/>
          <w:sz w:val="24"/>
          <w:szCs w:val="24"/>
        </w:rPr>
        <w:t>Der Antrag der N-Partei ist zwar zulässig, aber unbegründet und hat somit keinen Erfolg.</w:t>
      </w:r>
    </w:p>
    <w:sectPr w:rsidR="00CC2482">
      <w:footerReference w:type="default" r:id="rId7"/>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2972" w14:textId="77777777" w:rsidR="0039237F" w:rsidRDefault="0039237F">
      <w:pPr>
        <w:spacing w:after="0" w:line="240" w:lineRule="auto"/>
      </w:pPr>
      <w:r>
        <w:separator/>
      </w:r>
    </w:p>
  </w:endnote>
  <w:endnote w:type="continuationSeparator" w:id="0">
    <w:p w14:paraId="0CF097A2" w14:textId="77777777" w:rsidR="0039237F" w:rsidRDefault="0039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Content>
      <w:p w14:paraId="0D0F6DF5" w14:textId="77777777" w:rsidR="00CC2482" w:rsidRDefault="00000000">
        <w:pPr>
          <w:pStyle w:val="Fuzeil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F40D" w14:textId="77777777" w:rsidR="0039237F" w:rsidRDefault="0039237F">
      <w:pPr>
        <w:spacing w:after="0" w:line="240" w:lineRule="auto"/>
      </w:pPr>
      <w:r>
        <w:separator/>
      </w:r>
    </w:p>
  </w:footnote>
  <w:footnote w:type="continuationSeparator" w:id="0">
    <w:p w14:paraId="788B0DE4" w14:textId="77777777" w:rsidR="0039237F" w:rsidRDefault="00392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F56"/>
    <w:multiLevelType w:val="multilevel"/>
    <w:tmpl w:val="4E6CF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6874E6"/>
    <w:multiLevelType w:val="multilevel"/>
    <w:tmpl w:val="EEB890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FC26D20"/>
    <w:multiLevelType w:val="multilevel"/>
    <w:tmpl w:val="6C3A6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813CE4"/>
    <w:multiLevelType w:val="multilevel"/>
    <w:tmpl w:val="51ACB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A10189"/>
    <w:multiLevelType w:val="multilevel"/>
    <w:tmpl w:val="2CFE72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F83EE1"/>
    <w:multiLevelType w:val="multilevel"/>
    <w:tmpl w:val="106ED158"/>
    <w:lvl w:ilvl="0">
      <w:start w:val="1"/>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8D36A9"/>
    <w:multiLevelType w:val="multilevel"/>
    <w:tmpl w:val="833AE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C21AF6"/>
    <w:multiLevelType w:val="multilevel"/>
    <w:tmpl w:val="25CA0298"/>
    <w:lvl w:ilvl="0">
      <w:start w:val="3"/>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C37FE6"/>
    <w:multiLevelType w:val="multilevel"/>
    <w:tmpl w:val="BD18D7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B4357D"/>
    <w:multiLevelType w:val="multilevel"/>
    <w:tmpl w:val="67745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BB626C"/>
    <w:multiLevelType w:val="multilevel"/>
    <w:tmpl w:val="0A1C30DC"/>
    <w:lvl w:ilvl="0">
      <w:start w:val="3"/>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4548556">
    <w:abstractNumId w:val="8"/>
  </w:num>
  <w:num w:numId="2" w16cid:durableId="1939748782">
    <w:abstractNumId w:val="4"/>
  </w:num>
  <w:num w:numId="3" w16cid:durableId="1470245696">
    <w:abstractNumId w:val="5"/>
  </w:num>
  <w:num w:numId="4" w16cid:durableId="1156343556">
    <w:abstractNumId w:val="2"/>
  </w:num>
  <w:num w:numId="5" w16cid:durableId="1628311606">
    <w:abstractNumId w:val="3"/>
  </w:num>
  <w:num w:numId="6" w16cid:durableId="691340862">
    <w:abstractNumId w:val="9"/>
  </w:num>
  <w:num w:numId="7" w16cid:durableId="1108618119">
    <w:abstractNumId w:val="0"/>
  </w:num>
  <w:num w:numId="8" w16cid:durableId="1318266493">
    <w:abstractNumId w:val="6"/>
  </w:num>
  <w:num w:numId="9" w16cid:durableId="610671410">
    <w:abstractNumId w:val="1"/>
  </w:num>
  <w:num w:numId="10" w16cid:durableId="1891309739">
    <w:abstractNumId w:val="10"/>
  </w:num>
  <w:num w:numId="11" w16cid:durableId="74330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82"/>
    <w:rsid w:val="000F6A1C"/>
    <w:rsid w:val="00230DD5"/>
    <w:rsid w:val="0039237F"/>
    <w:rsid w:val="00CC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C2F0"/>
  <w15:docId w15:val="{E98C7E38-8808-4C0C-915C-430E215F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Pr>
      <w:rFonts w:ascii="Times New Roman" w:hAnsi="Times New Roman"/>
      <w:sz w:val="20"/>
      <w:szCs w:val="20"/>
    </w:rPr>
  </w:style>
  <w:style w:type="character" w:styleId="Funotenzeichen">
    <w:name w:val="footnote reference"/>
    <w:basedOn w:val="Absatz-Standardschriftart"/>
    <w:uiPriority w:val="99"/>
    <w:unhideWhenUse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Pr>
      <w:rFonts w:ascii="Times New Roman" w:hAnsi="Times New Roman"/>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pPr>
      <w:spacing w:line="240" w:lineRule="auto"/>
    </w:pPr>
    <w:rPr>
      <w:sz w:val="24"/>
      <w:szCs w:val="24"/>
    </w:rPr>
  </w:style>
  <w:style w:type="character" w:customStyle="1" w:styleId="KommentartextZchn">
    <w:name w:val="Kommentartext Zchn"/>
    <w:basedOn w:val="Absatz-Standardschriftart"/>
    <w:link w:val="Kommentartext"/>
    <w:uiPriority w:val="99"/>
    <w:semiHidden/>
    <w:rPr>
      <w:sz w:val="24"/>
      <w:szCs w:val="24"/>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6162</Characters>
  <Application>Microsoft Office Word</Application>
  <DocSecurity>0</DocSecurity>
  <Lines>51</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10</cp:revision>
  <dcterms:created xsi:type="dcterms:W3CDTF">2024-09-12T12:45:00Z</dcterms:created>
  <dcterms:modified xsi:type="dcterms:W3CDTF">2025-09-24T14:45:00Z</dcterms:modified>
</cp:coreProperties>
</file>