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C25D" w14:textId="77777777" w:rsidR="00D34A6A" w:rsidRDefault="00000000">
      <w:pPr>
        <w:jc w:val="center"/>
        <w:rPr>
          <w:rFonts w:ascii="Arial" w:hAnsi="Arial" w:cs="Arial"/>
          <w:b/>
          <w:sz w:val="24"/>
          <w:szCs w:val="24"/>
        </w:rPr>
      </w:pPr>
      <w:r>
        <w:rPr>
          <w:rFonts w:ascii="Arial" w:hAnsi="Arial" w:cs="Arial"/>
          <w:b/>
          <w:sz w:val="24"/>
          <w:szCs w:val="24"/>
        </w:rPr>
        <w:t>IV. AG-Fall (Staatsorganisationsrecht)</w:t>
      </w:r>
    </w:p>
    <w:p w14:paraId="49D81851" w14:textId="6B5E0CF8" w:rsidR="00D34A6A" w:rsidRDefault="00000000">
      <w:pPr>
        <w:jc w:val="center"/>
        <w:rPr>
          <w:rFonts w:ascii="Arial" w:hAnsi="Arial" w:cs="Arial"/>
          <w:b/>
          <w:sz w:val="24"/>
          <w:szCs w:val="24"/>
        </w:rPr>
      </w:pPr>
      <w:r>
        <w:rPr>
          <w:rFonts w:ascii="Arial" w:hAnsi="Arial" w:cs="Arial"/>
          <w:b/>
          <w:sz w:val="24"/>
          <w:szCs w:val="24"/>
        </w:rPr>
        <w:t>Wintersemester 202</w:t>
      </w:r>
      <w:r w:rsidR="00EC3DC8">
        <w:rPr>
          <w:rFonts w:ascii="Arial" w:hAnsi="Arial" w:cs="Arial"/>
          <w:b/>
          <w:sz w:val="24"/>
          <w:szCs w:val="24"/>
        </w:rPr>
        <w:t>5</w:t>
      </w:r>
      <w:r>
        <w:rPr>
          <w:rFonts w:ascii="Arial" w:hAnsi="Arial" w:cs="Arial"/>
          <w:b/>
          <w:sz w:val="24"/>
          <w:szCs w:val="24"/>
        </w:rPr>
        <w:t>/202</w:t>
      </w:r>
      <w:r w:rsidR="00EC3DC8">
        <w:rPr>
          <w:rFonts w:ascii="Arial" w:hAnsi="Arial" w:cs="Arial"/>
          <w:b/>
          <w:sz w:val="24"/>
          <w:szCs w:val="24"/>
        </w:rPr>
        <w:t>6</w:t>
      </w:r>
    </w:p>
    <w:p w14:paraId="0229AD8D" w14:textId="77777777" w:rsidR="00D34A6A" w:rsidRDefault="00D34A6A">
      <w:pPr>
        <w:jc w:val="center"/>
        <w:rPr>
          <w:rFonts w:ascii="Arial" w:hAnsi="Arial" w:cs="Arial"/>
          <w:b/>
          <w:sz w:val="24"/>
          <w:szCs w:val="24"/>
        </w:rPr>
      </w:pPr>
    </w:p>
    <w:p w14:paraId="13F3B0B3" w14:textId="77777777" w:rsidR="00D34A6A" w:rsidRDefault="00000000">
      <w:pPr>
        <w:spacing w:line="360" w:lineRule="auto"/>
        <w:jc w:val="both"/>
        <w:rPr>
          <w:rFonts w:ascii="Arial" w:hAnsi="Arial" w:cs="Arial"/>
          <w:sz w:val="24"/>
          <w:szCs w:val="24"/>
        </w:rPr>
      </w:pPr>
      <w:r>
        <w:rPr>
          <w:rFonts w:ascii="Arial" w:hAnsi="Arial" w:cs="Arial"/>
          <w:sz w:val="24"/>
          <w:szCs w:val="24"/>
        </w:rPr>
        <w:t>Nach Abschluss der Klimakonferenz in Glasgow im Herbst 2024 kommt die Bundesumweltministerin S wieder zurück nach Berlin. Sie und ihre Delegation sind begeistert von den weitreichenden Fortschritten, die auf der Konferenz im globalen Klima- und Umweltschutz erreicht werden konnten. Direkt nach ihrer Ankunft ruft S die Mitarbeiter ihres Ressorts zusammen, um die internationalen Absprachen in nationales Recht „zu gießen“.</w:t>
      </w:r>
    </w:p>
    <w:p w14:paraId="06CE7888" w14:textId="77777777" w:rsidR="00D34A6A" w:rsidRDefault="00000000">
      <w:pPr>
        <w:spacing w:line="360" w:lineRule="auto"/>
        <w:jc w:val="both"/>
        <w:rPr>
          <w:rFonts w:ascii="Arial" w:hAnsi="Arial" w:cs="Arial"/>
          <w:sz w:val="24"/>
          <w:szCs w:val="24"/>
        </w:rPr>
      </w:pPr>
      <w:r>
        <w:rPr>
          <w:rFonts w:ascii="Arial" w:hAnsi="Arial" w:cs="Arial"/>
          <w:sz w:val="24"/>
          <w:szCs w:val="24"/>
        </w:rPr>
        <w:t>S möchte erreichen, dass der Ausstoß von Kohlenstoffdioxid und anderen Abgasen, die bei der Verbrennung von fossilen Brennstoffen entstehen, drastisch reduziert wird. Vor dem Hintergrund der Erfahrungen anderer Länder ist sie überzeugt, dass sich dieses Ziel am besten durch eine deutliche Verteuerung der Kraftfahrzeug-Nutzung erreichen lässt. Nach Vorstellung der S soll daher bei jeder Neuzulassung eines Personenkraftwagens (PKW) von dem Halter – zusätzlich zu den bereits auf der Grundlage der geltenden Regeln erhobenen Zulassungsgebühren – eine gesonderte „Klimagebühr“ gezahlt werden, deren Höhe sich nach der von dem jeweiligen PKW ausgehenden Schadstoffbelastung richtet. Zu diesem Zweck soll in das Straßenverkehrsgesetz ein neuer § 1c eingefügt werden, der die Pflicht zur Entrichtung dieser Klimagebühr für alle zukünftigen PKW-Zulassungen sowie nachträglich für alle PKW-Zulassungen seit dem 1.1.2012 vorsieht (§ 1c Abs. 1 StVG n.F.).</w:t>
      </w:r>
    </w:p>
    <w:p w14:paraId="39F2B80C" w14:textId="77777777" w:rsidR="00D34A6A" w:rsidRDefault="00000000">
      <w:pPr>
        <w:spacing w:line="360" w:lineRule="auto"/>
        <w:jc w:val="both"/>
        <w:rPr>
          <w:rFonts w:ascii="Arial" w:hAnsi="Arial" w:cs="Arial"/>
          <w:sz w:val="24"/>
          <w:szCs w:val="24"/>
        </w:rPr>
      </w:pPr>
      <w:r>
        <w:rPr>
          <w:rFonts w:ascii="Arial" w:hAnsi="Arial" w:cs="Arial"/>
          <w:sz w:val="24"/>
          <w:szCs w:val="24"/>
        </w:rPr>
        <w:t xml:space="preserve">Aber auch weitere Gesetzesverschärfungen schweben ihr vor: Zum einen sollen die Verjährungsvorschriften für Umweltstraftaten verlängert werden und zum anderen die Einkommenssteuer rückwirkend zum 01.01.2012 erhöht werden, um die notwendigen Investitionen in Wind- und Solarkraft zu ermöglichen. Außerdem soll das Planfeststellungsverfahren effektuiert werden, sodass Bahnstrecken schneller ausgebaut werden können. Dieses Ziel möchte S erreichen, indem die »leidigen« Bürgerbeteiligungen wegfallen. Auf diese Weise müsste das übliche Vorgehen, Bürgerinnen und Bürgern die Möglichkeit zur schriftlichen und/oder mündlichen Äußerung zum Plan größerer Infrastrukturvorhaben (hier: Ausbau der Bahnstrecken) zu geben, um Kenntnis von möglichst allen relevanten Belangen für die Abwägung der öffentlichen und privaten Interessen zu erlangen, nicht eingehalten werden und ein Ausbau der Bahnstrecken </w:t>
      </w:r>
      <w:r>
        <w:rPr>
          <w:rFonts w:ascii="Arial" w:hAnsi="Arial" w:cs="Arial"/>
          <w:sz w:val="24"/>
          <w:szCs w:val="24"/>
        </w:rPr>
        <w:lastRenderedPageBreak/>
        <w:t>könne wesentlich „unkomplizierter“ erfolgen.</w:t>
      </w:r>
      <w:r>
        <w:rPr>
          <w:rFonts w:ascii="Arial" w:hAnsi="Arial" w:cs="Arial"/>
          <w:sz w:val="28"/>
          <w:szCs w:val="28"/>
        </w:rPr>
        <w:t xml:space="preserve"> </w:t>
      </w:r>
      <w:r>
        <w:rPr>
          <w:rFonts w:ascii="Arial" w:hAnsi="Arial" w:cs="Arial"/>
          <w:sz w:val="24"/>
          <w:szCs w:val="24"/>
        </w:rPr>
        <w:t xml:space="preserve">Ferner soll der Rechtsschutz gegen Planfeststellungsbeschlüsse bei einem speziellen </w:t>
      </w:r>
      <w:r>
        <w:rPr>
          <w:rFonts w:ascii="Times New Roman" w:hAnsi="Times New Roman" w:cs="Times New Roman"/>
          <w:sz w:val="24"/>
          <w:szCs w:val="24"/>
        </w:rPr>
        <w:t>»</w:t>
      </w:r>
      <w:r>
        <w:rPr>
          <w:rFonts w:ascii="Arial" w:hAnsi="Arial" w:cs="Arial"/>
          <w:sz w:val="24"/>
          <w:szCs w:val="24"/>
        </w:rPr>
        <w:t>Planfeststellungsgericht</w:t>
      </w:r>
      <w:r>
        <w:rPr>
          <w:rFonts w:ascii="Times New Roman" w:hAnsi="Times New Roman" w:cs="Times New Roman"/>
          <w:sz w:val="24"/>
          <w:szCs w:val="24"/>
        </w:rPr>
        <w:t>«</w:t>
      </w:r>
      <w:r>
        <w:rPr>
          <w:rFonts w:ascii="Arial" w:hAnsi="Arial" w:cs="Arial"/>
          <w:sz w:val="24"/>
          <w:szCs w:val="24"/>
        </w:rPr>
        <w:t xml:space="preserve"> konzentriert werden, das </w:t>
      </w:r>
      <w:r>
        <w:rPr>
          <w:rFonts w:ascii="Times New Roman" w:hAnsi="Times New Roman" w:cs="Times New Roman"/>
          <w:sz w:val="24"/>
          <w:szCs w:val="24"/>
        </w:rPr>
        <w:t>»</w:t>
      </w:r>
      <w:r>
        <w:rPr>
          <w:rFonts w:ascii="Arial" w:hAnsi="Arial" w:cs="Arial"/>
          <w:sz w:val="24"/>
          <w:szCs w:val="24"/>
        </w:rPr>
        <w:t>einzig und allein</w:t>
      </w:r>
      <w:r>
        <w:rPr>
          <w:rFonts w:ascii="Times New Roman" w:hAnsi="Times New Roman" w:cs="Times New Roman"/>
          <w:sz w:val="24"/>
          <w:szCs w:val="24"/>
        </w:rPr>
        <w:t>«</w:t>
      </w:r>
      <w:r>
        <w:rPr>
          <w:rFonts w:ascii="Arial" w:hAnsi="Arial" w:cs="Arial"/>
          <w:sz w:val="24"/>
          <w:szCs w:val="24"/>
        </w:rPr>
        <w:t xml:space="preserve"> über die Rechtmäßigkeit der Beschlüsse entscheidet. Nachdem S ihre Pläne dargelegt hat, bittet sie ihre Referentin, zu prüfen, ob die präsentierten Ideen unter rechtsstaatlichen Gesichtspunkten zu beanstanden sind.</w:t>
      </w:r>
    </w:p>
    <w:p w14:paraId="2F8B7881" w14:textId="77777777" w:rsidR="00D34A6A" w:rsidRDefault="00D34A6A">
      <w:pPr>
        <w:spacing w:line="360" w:lineRule="auto"/>
        <w:jc w:val="both"/>
        <w:rPr>
          <w:rFonts w:ascii="Arial" w:hAnsi="Arial" w:cs="Arial"/>
          <w:sz w:val="24"/>
          <w:szCs w:val="24"/>
        </w:rPr>
      </w:pPr>
    </w:p>
    <w:p w14:paraId="149AC608" w14:textId="77777777" w:rsidR="00D34A6A" w:rsidRDefault="00000000">
      <w:pPr>
        <w:spacing w:line="360" w:lineRule="auto"/>
        <w:jc w:val="both"/>
        <w:rPr>
          <w:rFonts w:ascii="Arial" w:hAnsi="Arial" w:cs="Arial"/>
          <w:b/>
          <w:sz w:val="24"/>
          <w:szCs w:val="24"/>
        </w:rPr>
      </w:pPr>
      <w:r>
        <w:rPr>
          <w:rFonts w:ascii="Arial" w:hAnsi="Arial" w:cs="Arial"/>
          <w:b/>
          <w:sz w:val="24"/>
          <w:szCs w:val="24"/>
        </w:rPr>
        <w:t>Erstellen Sie das Gutachten der Referentin.</w:t>
      </w:r>
    </w:p>
    <w:p w14:paraId="10ABDA3B" w14:textId="77777777" w:rsidR="00D34A6A" w:rsidRDefault="00000000">
      <w:pPr>
        <w:spacing w:line="360" w:lineRule="auto"/>
        <w:jc w:val="both"/>
        <w:rPr>
          <w:rFonts w:ascii="Arial" w:hAnsi="Arial" w:cs="Arial"/>
          <w:sz w:val="24"/>
          <w:szCs w:val="24"/>
        </w:rPr>
      </w:pPr>
      <w:r>
        <w:rPr>
          <w:rFonts w:ascii="Arial" w:hAnsi="Arial" w:cs="Arial"/>
          <w:sz w:val="24"/>
          <w:szCs w:val="24"/>
        </w:rPr>
        <w:br w:type="page" w:clear="all"/>
      </w:r>
    </w:p>
    <w:p w14:paraId="2BDFBB30" w14:textId="77777777" w:rsidR="00D34A6A" w:rsidRDefault="00000000">
      <w:pPr>
        <w:spacing w:line="360" w:lineRule="auto"/>
        <w:jc w:val="both"/>
        <w:rPr>
          <w:rFonts w:ascii="Arial" w:hAnsi="Arial" w:cs="Arial"/>
          <w:b/>
          <w:sz w:val="24"/>
          <w:szCs w:val="24"/>
        </w:rPr>
      </w:pPr>
      <w:r>
        <w:rPr>
          <w:rFonts w:ascii="Arial" w:hAnsi="Arial" w:cs="Arial"/>
          <w:b/>
          <w:sz w:val="24"/>
          <w:szCs w:val="24"/>
        </w:rPr>
        <w:lastRenderedPageBreak/>
        <w:t>Lösungsvorschlag</w:t>
      </w:r>
    </w:p>
    <w:p w14:paraId="411CEB4B" w14:textId="77777777" w:rsidR="00D34A6A" w:rsidRDefault="00000000">
      <w:pPr>
        <w:spacing w:line="360" w:lineRule="auto"/>
        <w:jc w:val="both"/>
        <w:rPr>
          <w:rFonts w:ascii="Arial" w:hAnsi="Arial" w:cs="Arial"/>
          <w:b/>
          <w:sz w:val="24"/>
          <w:szCs w:val="24"/>
        </w:rPr>
      </w:pPr>
      <w:r>
        <w:rPr>
          <w:rFonts w:ascii="Arial" w:hAnsi="Arial" w:cs="Arial"/>
          <w:b/>
          <w:sz w:val="24"/>
          <w:szCs w:val="24"/>
        </w:rPr>
        <w:t>A. Verfassungsmäßigkeit der Klimagebühr</w:t>
      </w:r>
    </w:p>
    <w:p w14:paraId="0D7B6155" w14:textId="77777777" w:rsidR="00D34A6A" w:rsidRDefault="00000000">
      <w:pPr>
        <w:spacing w:line="360" w:lineRule="auto"/>
        <w:jc w:val="both"/>
        <w:rPr>
          <w:rFonts w:ascii="Arial" w:hAnsi="Arial" w:cs="Arial"/>
          <w:b/>
          <w:sz w:val="24"/>
          <w:szCs w:val="24"/>
        </w:rPr>
      </w:pPr>
      <w:r>
        <w:rPr>
          <w:rFonts w:ascii="Arial" w:hAnsi="Arial" w:cs="Arial"/>
          <w:b/>
          <w:sz w:val="24"/>
          <w:szCs w:val="24"/>
        </w:rPr>
        <w:t>I. Verstoß gegen das Rückwirkungsverbot</w:t>
      </w:r>
    </w:p>
    <w:p w14:paraId="5151BF7D" w14:textId="77777777" w:rsidR="00D34A6A" w:rsidRDefault="00000000">
      <w:pPr>
        <w:pStyle w:val="Listenabsatz"/>
        <w:numPr>
          <w:ilvl w:val="0"/>
          <w:numId w:val="7"/>
        </w:numPr>
        <w:spacing w:line="360" w:lineRule="auto"/>
        <w:jc w:val="both"/>
        <w:rPr>
          <w:rFonts w:ascii="Arial" w:hAnsi="Arial" w:cs="Arial"/>
          <w:bCs/>
          <w:sz w:val="24"/>
          <w:szCs w:val="24"/>
        </w:rPr>
      </w:pPr>
      <w:r>
        <w:rPr>
          <w:rFonts w:ascii="Arial" w:hAnsi="Arial" w:cs="Arial"/>
          <w:bCs/>
          <w:sz w:val="24"/>
          <w:szCs w:val="24"/>
        </w:rPr>
        <w:t xml:space="preserve">Welche Form der Rückwirkung? </w:t>
      </w:r>
      <w:r>
        <w:rPr>
          <w:rFonts w:ascii="Arial" w:hAnsi="Arial" w:cs="Arial"/>
          <w:bCs/>
          <w:i/>
          <w:iCs/>
          <w:color w:val="000000" w:themeColor="text1"/>
          <w:sz w:val="24"/>
          <w:szCs w:val="24"/>
        </w:rPr>
        <w:t xml:space="preserve">(Kotzur, </w:t>
      </w:r>
      <w:r>
        <w:rPr>
          <w:rFonts w:ascii="Arial" w:hAnsi="Arial" w:cs="Arial"/>
          <w:bCs/>
          <w:color w:val="000000" w:themeColor="text1"/>
          <w:sz w:val="24"/>
          <w:szCs w:val="24"/>
        </w:rPr>
        <w:t xml:space="preserve">in: von Münch/Kunig, Grundgesetz Kommentar, </w:t>
      </w:r>
      <w:r>
        <w:rPr>
          <w:rFonts w:ascii="Arial" w:hAnsi="Arial" w:cs="Arial"/>
          <w:color w:val="000000" w:themeColor="text1"/>
          <w:sz w:val="24"/>
          <w:szCs w:val="24"/>
        </w:rPr>
        <w:t xml:space="preserve">7. Aufl. 2021, </w:t>
      </w:r>
      <w:r>
        <w:rPr>
          <w:rFonts w:ascii="Arial" w:hAnsi="Arial" w:cs="Arial"/>
          <w:bCs/>
          <w:color w:val="000000" w:themeColor="text1"/>
          <w:sz w:val="24"/>
          <w:szCs w:val="24"/>
        </w:rPr>
        <w:t xml:space="preserve">Art. 20 </w:t>
      </w:r>
      <w:proofErr w:type="spellStart"/>
      <w:r>
        <w:rPr>
          <w:rFonts w:ascii="Arial" w:hAnsi="Arial" w:cs="Arial"/>
          <w:bCs/>
          <w:color w:val="000000" w:themeColor="text1"/>
          <w:sz w:val="24"/>
          <w:szCs w:val="24"/>
        </w:rPr>
        <w:t>Rn</w:t>
      </w:r>
      <w:proofErr w:type="spellEnd"/>
      <w:r>
        <w:rPr>
          <w:rFonts w:ascii="Arial" w:hAnsi="Arial" w:cs="Arial"/>
          <w:bCs/>
          <w:color w:val="000000" w:themeColor="text1"/>
          <w:sz w:val="24"/>
          <w:szCs w:val="24"/>
        </w:rPr>
        <w:t>. 159 ff.)</w:t>
      </w:r>
    </w:p>
    <w:p w14:paraId="482BEE6F" w14:textId="77777777" w:rsidR="00D34A6A" w:rsidRDefault="00000000">
      <w:pPr>
        <w:pStyle w:val="Listenabsatz"/>
        <w:numPr>
          <w:ilvl w:val="1"/>
          <w:numId w:val="7"/>
        </w:numPr>
        <w:spacing w:line="360" w:lineRule="auto"/>
        <w:jc w:val="both"/>
        <w:rPr>
          <w:rFonts w:ascii="Arial" w:hAnsi="Arial" w:cs="Arial"/>
          <w:bCs/>
          <w:sz w:val="24"/>
          <w:szCs w:val="24"/>
        </w:rPr>
      </w:pPr>
      <w:r>
        <w:rPr>
          <w:rFonts w:ascii="Arial" w:hAnsi="Arial" w:cs="Arial"/>
          <w:bCs/>
          <w:sz w:val="24"/>
          <w:szCs w:val="24"/>
        </w:rPr>
        <w:t>Rückbewirkung von Rechtsfolgen (echte Rückwirkung) o. tatbestandliche Rückanknüpfung (unechte Rückwirkung)?</w:t>
      </w:r>
    </w:p>
    <w:p w14:paraId="5866F1DD" w14:textId="77777777" w:rsidR="00D34A6A" w:rsidRDefault="00000000">
      <w:pPr>
        <w:pStyle w:val="Listenabsatz"/>
        <w:numPr>
          <w:ilvl w:val="1"/>
          <w:numId w:val="7"/>
        </w:numPr>
        <w:spacing w:line="360" w:lineRule="auto"/>
        <w:jc w:val="both"/>
        <w:rPr>
          <w:rFonts w:ascii="Arial" w:hAnsi="Arial" w:cs="Arial"/>
          <w:bCs/>
          <w:sz w:val="24"/>
          <w:szCs w:val="24"/>
        </w:rPr>
      </w:pPr>
      <w:r>
        <w:rPr>
          <w:rFonts w:ascii="Arial" w:hAnsi="Arial" w:cs="Arial"/>
          <w:bCs/>
          <w:sz w:val="24"/>
          <w:szCs w:val="24"/>
        </w:rPr>
        <w:t>Echte (+) hinsichtlich aller Erwerbstatbestände, die vor dem Erlass der Norm abgeschlossen wurden.</w:t>
      </w:r>
    </w:p>
    <w:p w14:paraId="00598773" w14:textId="77777777" w:rsidR="00D34A6A" w:rsidRDefault="00000000">
      <w:pPr>
        <w:pStyle w:val="Listenabsatz"/>
        <w:numPr>
          <w:ilvl w:val="0"/>
          <w:numId w:val="7"/>
        </w:numPr>
        <w:spacing w:line="360" w:lineRule="auto"/>
        <w:jc w:val="both"/>
        <w:rPr>
          <w:rFonts w:ascii="Arial" w:hAnsi="Arial" w:cs="Arial"/>
          <w:sz w:val="24"/>
          <w:szCs w:val="24"/>
        </w:rPr>
      </w:pPr>
      <w:proofErr w:type="spellStart"/>
      <w:r>
        <w:rPr>
          <w:rFonts w:ascii="Arial" w:hAnsi="Arial" w:cs="Arial"/>
          <w:sz w:val="24"/>
          <w:szCs w:val="24"/>
        </w:rPr>
        <w:t>grds</w:t>
      </w:r>
      <w:proofErr w:type="spellEnd"/>
      <w:r>
        <w:rPr>
          <w:rFonts w:ascii="Arial" w:hAnsi="Arial" w:cs="Arial"/>
          <w:sz w:val="24"/>
          <w:szCs w:val="24"/>
        </w:rPr>
        <w:t xml:space="preserve">. Verbot einer echten Rückwirkung (Konkretisierung des Rechtsstaatsprinzips) </w:t>
      </w:r>
      <w:r>
        <w:rPr>
          <w:rFonts w:ascii="Wingdings" w:eastAsia="Wingdings" w:hAnsi="Wingdings" w:cs="Wingdings"/>
          <w:sz w:val="24"/>
          <w:szCs w:val="24"/>
        </w:rPr>
        <w:t>à</w:t>
      </w:r>
      <w:r>
        <w:rPr>
          <w:rFonts w:ascii="Arial" w:hAnsi="Arial" w:cs="Arial"/>
          <w:sz w:val="24"/>
          <w:szCs w:val="24"/>
        </w:rPr>
        <w:t xml:space="preserve"> Rückwirkende Pflicht zur Zahlung der Klimagebühr kann nur gerechtfertigt werden, wenn die Rückwirkung durch zwingende Gründe des Gemeinwohls gefordert ist (hier – je nach Argumentation – evtl. zu bejahen, siehe ins. </w:t>
      </w:r>
      <w:r>
        <w:rPr>
          <w:rFonts w:ascii="Arial" w:hAnsi="Arial" w:cs="Arial"/>
          <w:color w:val="000000" w:themeColor="text1"/>
          <w:sz w:val="24"/>
          <w:szCs w:val="24"/>
        </w:rPr>
        <w:t xml:space="preserve">BVerfG NJW 2021, 1723; </w:t>
      </w:r>
      <w:r>
        <w:rPr>
          <w:rFonts w:ascii="Arial" w:hAnsi="Arial" w:cs="Arial"/>
          <w:i/>
          <w:iCs/>
          <w:color w:val="000000" w:themeColor="text1"/>
          <w:sz w:val="24"/>
          <w:szCs w:val="24"/>
        </w:rPr>
        <w:t>Sachs</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JuS</w:t>
      </w:r>
      <w:proofErr w:type="spellEnd"/>
      <w:r>
        <w:rPr>
          <w:rFonts w:ascii="Arial" w:hAnsi="Arial" w:cs="Arial"/>
          <w:color w:val="000000" w:themeColor="text1"/>
          <w:sz w:val="24"/>
          <w:szCs w:val="24"/>
        </w:rPr>
        <w:t xml:space="preserve"> 2021, 708.) </w:t>
      </w:r>
      <w:r>
        <w:rPr>
          <w:rFonts w:ascii="Arial" w:hAnsi="Arial" w:cs="Arial"/>
          <w:sz w:val="24"/>
          <w:szCs w:val="24"/>
        </w:rPr>
        <w:t>oder die betroffene Rechtsstellung keinen Vertrauensschutz genießt (hier [-]).</w:t>
      </w:r>
    </w:p>
    <w:p w14:paraId="05AE0A4B" w14:textId="77777777" w:rsidR="00D34A6A" w:rsidRDefault="00000000">
      <w:pPr>
        <w:spacing w:line="360" w:lineRule="auto"/>
        <w:jc w:val="both"/>
        <w:rPr>
          <w:rFonts w:ascii="Arial" w:hAnsi="Arial" w:cs="Arial"/>
          <w:b/>
          <w:bCs/>
          <w:sz w:val="24"/>
          <w:szCs w:val="24"/>
        </w:rPr>
      </w:pPr>
      <w:r>
        <w:rPr>
          <w:rFonts w:ascii="Arial" w:hAnsi="Arial" w:cs="Arial"/>
          <w:b/>
          <w:bCs/>
          <w:sz w:val="24"/>
          <w:szCs w:val="24"/>
        </w:rPr>
        <w:t>II. Ergebnis</w:t>
      </w:r>
    </w:p>
    <w:p w14:paraId="00CD859D" w14:textId="77777777" w:rsidR="00D34A6A" w:rsidRDefault="00000000">
      <w:pPr>
        <w:spacing w:line="360" w:lineRule="auto"/>
        <w:jc w:val="both"/>
        <w:rPr>
          <w:rFonts w:ascii="Arial" w:hAnsi="Arial" w:cs="Arial"/>
          <w:sz w:val="24"/>
          <w:szCs w:val="24"/>
        </w:rPr>
      </w:pPr>
      <w:r>
        <w:rPr>
          <w:rFonts w:ascii="Arial" w:hAnsi="Arial" w:cs="Arial"/>
          <w:sz w:val="24"/>
          <w:szCs w:val="24"/>
        </w:rPr>
        <w:t>Hier: Verfassungswidrigkeit ( + )</w:t>
      </w:r>
    </w:p>
    <w:p w14:paraId="678B99E2" w14:textId="77777777" w:rsidR="00D34A6A" w:rsidRDefault="00D34A6A">
      <w:pPr>
        <w:spacing w:line="360" w:lineRule="auto"/>
        <w:jc w:val="both"/>
        <w:rPr>
          <w:rFonts w:ascii="Arial" w:hAnsi="Arial" w:cs="Arial"/>
          <w:sz w:val="24"/>
          <w:szCs w:val="24"/>
        </w:rPr>
      </w:pPr>
    </w:p>
    <w:p w14:paraId="719B4F74" w14:textId="77777777" w:rsidR="00D34A6A" w:rsidRDefault="00000000">
      <w:pPr>
        <w:spacing w:line="360" w:lineRule="auto"/>
        <w:jc w:val="both"/>
        <w:rPr>
          <w:rFonts w:ascii="Arial" w:hAnsi="Arial" w:cs="Arial"/>
          <w:b/>
          <w:bCs/>
          <w:sz w:val="24"/>
          <w:szCs w:val="24"/>
        </w:rPr>
      </w:pPr>
      <w:r>
        <w:rPr>
          <w:rFonts w:ascii="Arial" w:hAnsi="Arial" w:cs="Arial"/>
          <w:b/>
          <w:bCs/>
          <w:sz w:val="24"/>
          <w:szCs w:val="24"/>
        </w:rPr>
        <w:t>B. Verlängerung der Verjährungsvorschriften</w:t>
      </w:r>
    </w:p>
    <w:p w14:paraId="6E441065" w14:textId="77777777" w:rsidR="00D34A6A" w:rsidRDefault="00000000">
      <w:pPr>
        <w:spacing w:line="360" w:lineRule="auto"/>
        <w:jc w:val="both"/>
        <w:rPr>
          <w:rFonts w:ascii="Arial" w:hAnsi="Arial" w:cs="Arial"/>
          <w:b/>
          <w:sz w:val="24"/>
          <w:szCs w:val="24"/>
        </w:rPr>
      </w:pPr>
      <w:r>
        <w:rPr>
          <w:rFonts w:ascii="Arial" w:hAnsi="Arial" w:cs="Arial"/>
          <w:b/>
          <w:sz w:val="24"/>
          <w:szCs w:val="24"/>
        </w:rPr>
        <w:t>I. Verstoß gegen Art. 103 II GG</w:t>
      </w:r>
    </w:p>
    <w:p w14:paraId="4435EB40" w14:textId="77777777" w:rsidR="00D34A6A" w:rsidRDefault="00000000">
      <w:pPr>
        <w:pStyle w:val="Listenabsatz"/>
        <w:numPr>
          <w:ilvl w:val="0"/>
          <w:numId w:val="9"/>
        </w:numPr>
        <w:spacing w:line="360" w:lineRule="auto"/>
        <w:jc w:val="both"/>
        <w:rPr>
          <w:rFonts w:ascii="Arial" w:hAnsi="Arial" w:cs="Arial"/>
          <w:sz w:val="24"/>
          <w:szCs w:val="24"/>
        </w:rPr>
      </w:pPr>
      <w:r>
        <w:rPr>
          <w:rFonts w:ascii="Arial" w:hAnsi="Arial" w:cs="Arial"/>
          <w:sz w:val="24"/>
          <w:szCs w:val="24"/>
        </w:rPr>
        <w:t>Nein, Art. 103 II GG bezieht sich nur auf das „von wann an“, nicht hingegen auf das „wie lange“ der Strafverfolgung (</w:t>
      </w:r>
      <w:r>
        <w:rPr>
          <w:rFonts w:ascii="Arial" w:hAnsi="Arial" w:cs="Arial"/>
          <w:i/>
          <w:iCs/>
          <w:color w:val="000000" w:themeColor="text1"/>
          <w:sz w:val="24"/>
          <w:szCs w:val="24"/>
        </w:rPr>
        <w:t xml:space="preserve">siehe: Kunig/Saliger, in: von Münch/Kunig, Grundgesetz Kommentar, 7. Aufl. 2021, Art. 103 </w:t>
      </w:r>
      <w:proofErr w:type="spellStart"/>
      <w:r>
        <w:rPr>
          <w:rFonts w:ascii="Arial" w:hAnsi="Arial" w:cs="Arial"/>
          <w:i/>
          <w:iCs/>
          <w:color w:val="000000" w:themeColor="text1"/>
          <w:sz w:val="24"/>
          <w:szCs w:val="24"/>
        </w:rPr>
        <w:t>Rn</w:t>
      </w:r>
      <w:proofErr w:type="spellEnd"/>
      <w:r>
        <w:rPr>
          <w:rFonts w:ascii="Arial" w:hAnsi="Arial" w:cs="Arial"/>
          <w:i/>
          <w:iCs/>
          <w:color w:val="000000" w:themeColor="text1"/>
          <w:sz w:val="24"/>
          <w:szCs w:val="24"/>
        </w:rPr>
        <w:t>. 55 ff. m. w. N.)</w:t>
      </w:r>
    </w:p>
    <w:p w14:paraId="638EDA21" w14:textId="77777777" w:rsidR="00D34A6A" w:rsidRDefault="00D34A6A">
      <w:pPr>
        <w:spacing w:line="360" w:lineRule="auto"/>
        <w:jc w:val="both"/>
        <w:rPr>
          <w:rFonts w:ascii="Arial" w:hAnsi="Arial" w:cs="Arial"/>
          <w:sz w:val="24"/>
          <w:szCs w:val="24"/>
        </w:rPr>
      </w:pPr>
    </w:p>
    <w:p w14:paraId="7A5302B2" w14:textId="77777777" w:rsidR="00D34A6A" w:rsidRDefault="00000000">
      <w:pPr>
        <w:spacing w:line="360" w:lineRule="auto"/>
        <w:jc w:val="both"/>
        <w:rPr>
          <w:rFonts w:ascii="Arial" w:hAnsi="Arial" w:cs="Arial"/>
          <w:b/>
          <w:bCs/>
          <w:sz w:val="24"/>
          <w:szCs w:val="24"/>
        </w:rPr>
      </w:pPr>
      <w:r>
        <w:rPr>
          <w:rFonts w:ascii="Arial" w:hAnsi="Arial" w:cs="Arial"/>
          <w:b/>
          <w:bCs/>
          <w:sz w:val="24"/>
          <w:szCs w:val="24"/>
        </w:rPr>
        <w:t>C. Erhöhung der Einkommenssteuer</w:t>
      </w:r>
    </w:p>
    <w:p w14:paraId="5D9B5748" w14:textId="77777777" w:rsidR="00D34A6A" w:rsidRDefault="00000000">
      <w:pPr>
        <w:spacing w:line="360" w:lineRule="auto"/>
        <w:jc w:val="both"/>
        <w:rPr>
          <w:rFonts w:ascii="Arial" w:hAnsi="Arial" w:cs="Arial"/>
          <w:b/>
          <w:bCs/>
          <w:sz w:val="24"/>
          <w:szCs w:val="24"/>
        </w:rPr>
      </w:pPr>
      <w:r>
        <w:rPr>
          <w:rFonts w:ascii="Arial" w:hAnsi="Arial" w:cs="Arial"/>
          <w:b/>
          <w:bCs/>
          <w:sz w:val="24"/>
          <w:szCs w:val="24"/>
        </w:rPr>
        <w:t>I. Verstoß gegen das Rückwirkungsverbot</w:t>
      </w:r>
    </w:p>
    <w:p w14:paraId="2B703F4C" w14:textId="77777777" w:rsidR="00D34A6A" w:rsidRDefault="00000000">
      <w:pPr>
        <w:pStyle w:val="Listenabsatz"/>
        <w:numPr>
          <w:ilvl w:val="0"/>
          <w:numId w:val="9"/>
        </w:numPr>
        <w:spacing w:line="360" w:lineRule="auto"/>
        <w:jc w:val="both"/>
        <w:rPr>
          <w:rFonts w:ascii="Arial" w:hAnsi="Arial" w:cs="Arial"/>
          <w:b/>
          <w:bCs/>
          <w:sz w:val="24"/>
          <w:szCs w:val="24"/>
        </w:rPr>
      </w:pPr>
      <w:r>
        <w:rPr>
          <w:rFonts w:ascii="Arial" w:hAnsi="Arial" w:cs="Arial"/>
          <w:b/>
          <w:bCs/>
          <w:sz w:val="24"/>
          <w:szCs w:val="24"/>
        </w:rPr>
        <w:t>Differenzierung:</w:t>
      </w:r>
    </w:p>
    <w:p w14:paraId="0C390DCB" w14:textId="77777777" w:rsidR="00D34A6A" w:rsidRDefault="00000000">
      <w:pPr>
        <w:pStyle w:val="Listenabsatz"/>
        <w:numPr>
          <w:ilvl w:val="1"/>
          <w:numId w:val="9"/>
        </w:numPr>
        <w:spacing w:line="360" w:lineRule="auto"/>
        <w:jc w:val="both"/>
        <w:rPr>
          <w:rFonts w:ascii="Arial" w:hAnsi="Arial" w:cs="Arial"/>
          <w:sz w:val="24"/>
          <w:szCs w:val="24"/>
        </w:rPr>
      </w:pPr>
      <w:r>
        <w:rPr>
          <w:rFonts w:ascii="Arial" w:hAnsi="Arial" w:cs="Arial"/>
          <w:sz w:val="24"/>
          <w:szCs w:val="24"/>
        </w:rPr>
        <w:t>Laufendes Steuerjahr (2024) lediglich unechte Rückwirkung, vgl. §§ 36 i. V. m. 25 I EStG und daher grundsätzlich unproblematisch.</w:t>
      </w:r>
    </w:p>
    <w:p w14:paraId="03D2EDA8" w14:textId="77777777" w:rsidR="00D34A6A" w:rsidRDefault="00000000">
      <w:pPr>
        <w:pStyle w:val="Listenabsatz"/>
        <w:numPr>
          <w:ilvl w:val="1"/>
          <w:numId w:val="9"/>
        </w:numPr>
        <w:spacing w:line="360" w:lineRule="auto"/>
        <w:jc w:val="both"/>
        <w:rPr>
          <w:rFonts w:ascii="Arial" w:hAnsi="Arial" w:cs="Arial"/>
          <w:sz w:val="24"/>
          <w:szCs w:val="24"/>
        </w:rPr>
      </w:pPr>
      <w:r>
        <w:rPr>
          <w:rFonts w:ascii="Arial" w:hAnsi="Arial" w:cs="Arial"/>
          <w:sz w:val="24"/>
          <w:szCs w:val="24"/>
        </w:rPr>
        <w:lastRenderedPageBreak/>
        <w:t>Hinsichtlich der vorherigen Jahre echte Rückwirkung</w:t>
      </w:r>
    </w:p>
    <w:p w14:paraId="4DF3EF64" w14:textId="77777777" w:rsidR="00D34A6A" w:rsidRDefault="00000000">
      <w:pPr>
        <w:pStyle w:val="Listenabsatz"/>
        <w:numPr>
          <w:ilvl w:val="2"/>
          <w:numId w:val="9"/>
        </w:numPr>
        <w:spacing w:line="360" w:lineRule="auto"/>
        <w:jc w:val="both"/>
        <w:rPr>
          <w:rFonts w:ascii="Arial" w:hAnsi="Arial" w:cs="Arial"/>
          <w:sz w:val="24"/>
          <w:szCs w:val="24"/>
        </w:rPr>
      </w:pPr>
      <w:proofErr w:type="spellStart"/>
      <w:r>
        <w:rPr>
          <w:rFonts w:ascii="Arial" w:hAnsi="Arial" w:cs="Arial"/>
          <w:sz w:val="24"/>
          <w:szCs w:val="24"/>
        </w:rPr>
        <w:t>Grds</w:t>
      </w:r>
      <w:proofErr w:type="spellEnd"/>
      <w:r>
        <w:rPr>
          <w:rFonts w:ascii="Arial" w:hAnsi="Arial" w:cs="Arial"/>
          <w:sz w:val="24"/>
          <w:szCs w:val="24"/>
        </w:rPr>
        <w:t>. unzulässig, es sei denn Rechtfertigungsgrund</w:t>
      </w:r>
    </w:p>
    <w:p w14:paraId="2233B35C" w14:textId="77777777" w:rsidR="00D34A6A" w:rsidRDefault="00000000">
      <w:pPr>
        <w:pStyle w:val="Listenabsatz"/>
        <w:numPr>
          <w:ilvl w:val="3"/>
          <w:numId w:val="9"/>
        </w:numPr>
        <w:spacing w:line="360" w:lineRule="auto"/>
        <w:jc w:val="both"/>
        <w:rPr>
          <w:rFonts w:ascii="Arial" w:hAnsi="Arial" w:cs="Arial"/>
          <w:sz w:val="24"/>
          <w:szCs w:val="24"/>
        </w:rPr>
      </w:pPr>
      <w:r>
        <w:rPr>
          <w:rFonts w:ascii="Arial" w:hAnsi="Arial" w:cs="Arial"/>
          <w:sz w:val="24"/>
          <w:szCs w:val="24"/>
        </w:rPr>
        <w:t xml:space="preserve">in Betracht kommen erneut zwingende Gründe des Allgemeinwohls </w:t>
      </w:r>
      <w:r>
        <w:rPr>
          <w:rFonts w:ascii="Wingdings" w:eastAsia="Wingdings" w:hAnsi="Wingdings" w:cs="Wingdings"/>
          <w:sz w:val="24"/>
          <w:szCs w:val="24"/>
        </w:rPr>
        <w:t>à</w:t>
      </w:r>
      <w:r>
        <w:rPr>
          <w:rFonts w:ascii="Arial" w:hAnsi="Arial" w:cs="Arial"/>
          <w:sz w:val="24"/>
          <w:szCs w:val="24"/>
        </w:rPr>
        <w:t xml:space="preserve"> wohl (-)</w:t>
      </w:r>
    </w:p>
    <w:p w14:paraId="347496B5" w14:textId="77777777" w:rsidR="00D34A6A" w:rsidRDefault="00000000">
      <w:pPr>
        <w:spacing w:after="0" w:line="360" w:lineRule="auto"/>
        <w:jc w:val="both"/>
        <w:rPr>
          <w:rFonts w:ascii="Arial" w:hAnsi="Arial" w:cs="Arial"/>
          <w:b/>
          <w:sz w:val="24"/>
          <w:szCs w:val="24"/>
        </w:rPr>
      </w:pPr>
      <w:r>
        <w:rPr>
          <w:rFonts w:ascii="Arial" w:hAnsi="Arial" w:cs="Arial"/>
          <w:b/>
          <w:sz w:val="24"/>
          <w:szCs w:val="24"/>
        </w:rPr>
        <w:t>II. Ergebnis</w:t>
      </w:r>
    </w:p>
    <w:p w14:paraId="77C65FC3" w14:textId="77777777" w:rsidR="00D34A6A" w:rsidRDefault="00000000">
      <w:pPr>
        <w:spacing w:after="0" w:line="360" w:lineRule="auto"/>
        <w:jc w:val="both"/>
        <w:rPr>
          <w:rFonts w:ascii="Arial" w:hAnsi="Arial" w:cs="Arial"/>
          <w:bCs/>
          <w:sz w:val="24"/>
          <w:szCs w:val="24"/>
        </w:rPr>
      </w:pPr>
      <w:r>
        <w:rPr>
          <w:rFonts w:ascii="Arial" w:hAnsi="Arial" w:cs="Arial"/>
          <w:bCs/>
          <w:sz w:val="24"/>
          <w:szCs w:val="24"/>
        </w:rPr>
        <w:t>Für die Steuerjahre 2012-2023 Verstoß gegen das Rückwirkungsverbot</w:t>
      </w:r>
    </w:p>
    <w:p w14:paraId="1054BD05" w14:textId="77777777" w:rsidR="00D34A6A" w:rsidRDefault="00D34A6A">
      <w:pPr>
        <w:spacing w:after="0" w:line="360" w:lineRule="auto"/>
        <w:jc w:val="both"/>
        <w:rPr>
          <w:rFonts w:ascii="Arial" w:hAnsi="Arial" w:cs="Arial"/>
          <w:b/>
          <w:sz w:val="24"/>
          <w:szCs w:val="24"/>
        </w:rPr>
      </w:pPr>
    </w:p>
    <w:p w14:paraId="1DE421FD" w14:textId="77777777" w:rsidR="00D34A6A" w:rsidRDefault="00000000">
      <w:pPr>
        <w:spacing w:after="0" w:line="360" w:lineRule="auto"/>
        <w:jc w:val="both"/>
        <w:rPr>
          <w:rFonts w:ascii="Arial" w:hAnsi="Arial" w:cs="Arial"/>
          <w:b/>
          <w:sz w:val="24"/>
          <w:szCs w:val="24"/>
        </w:rPr>
      </w:pPr>
      <w:r>
        <w:rPr>
          <w:rFonts w:ascii="Arial" w:hAnsi="Arial" w:cs="Arial"/>
          <w:b/>
          <w:sz w:val="24"/>
          <w:szCs w:val="24"/>
        </w:rPr>
        <w:t>D. Wegfall der Bürgerbeteiligung im Rahmen des Planfeststellungsverfahrens / Konzentration des Rechtswegs</w:t>
      </w:r>
    </w:p>
    <w:p w14:paraId="53F8B117" w14:textId="77777777" w:rsidR="00D34A6A" w:rsidRDefault="00D34A6A">
      <w:pPr>
        <w:spacing w:after="0" w:line="360" w:lineRule="auto"/>
        <w:jc w:val="both"/>
        <w:rPr>
          <w:rFonts w:ascii="Arial" w:hAnsi="Arial" w:cs="Arial"/>
          <w:bCs/>
          <w:sz w:val="24"/>
          <w:szCs w:val="24"/>
        </w:rPr>
      </w:pPr>
    </w:p>
    <w:p w14:paraId="06AE9274" w14:textId="77777777" w:rsidR="00D34A6A" w:rsidRDefault="00000000">
      <w:pPr>
        <w:spacing w:after="0" w:line="360" w:lineRule="auto"/>
        <w:jc w:val="both"/>
        <w:rPr>
          <w:rFonts w:ascii="Arial" w:hAnsi="Arial" w:cs="Arial"/>
          <w:b/>
          <w:sz w:val="24"/>
          <w:szCs w:val="24"/>
        </w:rPr>
      </w:pPr>
      <w:r>
        <w:rPr>
          <w:rFonts w:ascii="Arial" w:hAnsi="Arial" w:cs="Arial"/>
          <w:b/>
          <w:sz w:val="24"/>
          <w:szCs w:val="24"/>
        </w:rPr>
        <w:t>I. Verletzung des allgemeinen Rechtsstaatsprinzips durch Wegfall der Bürgerbeteiligung</w:t>
      </w:r>
    </w:p>
    <w:p w14:paraId="72353079" w14:textId="77777777" w:rsidR="00D34A6A" w:rsidRDefault="00D34A6A">
      <w:pPr>
        <w:spacing w:after="0" w:line="360" w:lineRule="auto"/>
        <w:jc w:val="both"/>
        <w:rPr>
          <w:rFonts w:ascii="Arial" w:hAnsi="Arial" w:cs="Arial"/>
          <w:bCs/>
          <w:sz w:val="24"/>
          <w:szCs w:val="24"/>
        </w:rPr>
      </w:pPr>
    </w:p>
    <w:p w14:paraId="7D9184F8" w14:textId="77777777" w:rsidR="00D34A6A" w:rsidRDefault="00000000">
      <w:pPr>
        <w:spacing w:after="0" w:line="360" w:lineRule="auto"/>
        <w:jc w:val="both"/>
        <w:rPr>
          <w:rFonts w:ascii="Arial" w:hAnsi="Arial" w:cs="Arial"/>
          <w:bCs/>
          <w:sz w:val="24"/>
          <w:szCs w:val="24"/>
        </w:rPr>
      </w:pPr>
      <w:r>
        <w:rPr>
          <w:rFonts w:ascii="Arial" w:hAnsi="Arial" w:cs="Arial"/>
          <w:bCs/>
          <w:sz w:val="24"/>
          <w:szCs w:val="24"/>
        </w:rPr>
        <w:t>Sinn und Zweck der Bürgerbeteiligung?</w:t>
      </w:r>
    </w:p>
    <w:p w14:paraId="52A71767" w14:textId="77777777" w:rsidR="00D34A6A" w:rsidRDefault="00000000">
      <w:pPr>
        <w:pStyle w:val="Listenabsatz"/>
        <w:numPr>
          <w:ilvl w:val="0"/>
          <w:numId w:val="10"/>
        </w:numPr>
        <w:spacing w:line="360" w:lineRule="auto"/>
        <w:jc w:val="both"/>
        <w:rPr>
          <w:rFonts w:ascii="Arial" w:hAnsi="Arial" w:cs="Arial"/>
          <w:bCs/>
          <w:sz w:val="24"/>
          <w:szCs w:val="24"/>
        </w:rPr>
      </w:pPr>
      <w:r>
        <w:rPr>
          <w:rFonts w:ascii="Arial" w:hAnsi="Arial" w:cs="Arial"/>
          <w:bCs/>
          <w:sz w:val="24"/>
          <w:szCs w:val="24"/>
        </w:rPr>
        <w:t>Um frühzeitig einen schonenden Ausgleich der widerstreitenden Interessen zu erreichen, sollen Planbetroffene eigene Belange, die gegen das Vorhaben streiten, vorbringen können.</w:t>
      </w:r>
    </w:p>
    <w:p w14:paraId="6F39A740" w14:textId="77777777" w:rsidR="00D34A6A" w:rsidRDefault="00000000">
      <w:pPr>
        <w:pStyle w:val="Listenabsatz"/>
        <w:numPr>
          <w:ilvl w:val="0"/>
          <w:numId w:val="10"/>
        </w:numPr>
        <w:spacing w:line="360" w:lineRule="auto"/>
        <w:jc w:val="both"/>
        <w:rPr>
          <w:rFonts w:ascii="Arial" w:hAnsi="Arial" w:cs="Arial"/>
          <w:bCs/>
          <w:sz w:val="24"/>
          <w:szCs w:val="24"/>
        </w:rPr>
      </w:pPr>
      <w:r>
        <w:rPr>
          <w:rFonts w:ascii="Arial" w:hAnsi="Arial" w:cs="Arial"/>
          <w:bCs/>
          <w:sz w:val="24"/>
          <w:szCs w:val="24"/>
        </w:rPr>
        <w:t>Bürgerbeteiligung = rechtsstaatliches Gebot?</w:t>
      </w:r>
    </w:p>
    <w:p w14:paraId="11D2447B" w14:textId="77777777" w:rsidR="00D34A6A" w:rsidRDefault="00000000">
      <w:pPr>
        <w:pStyle w:val="Listenabsatz"/>
        <w:numPr>
          <w:ilvl w:val="1"/>
          <w:numId w:val="10"/>
        </w:numPr>
        <w:spacing w:line="360" w:lineRule="auto"/>
        <w:jc w:val="both"/>
        <w:rPr>
          <w:rFonts w:ascii="Arial" w:hAnsi="Arial" w:cs="Arial"/>
          <w:bCs/>
          <w:i/>
          <w:iCs/>
          <w:sz w:val="24"/>
          <w:szCs w:val="24"/>
        </w:rPr>
      </w:pPr>
      <w:r>
        <w:rPr>
          <w:rFonts w:ascii="Arial" w:hAnsi="Arial" w:cs="Arial"/>
          <w:bCs/>
          <w:sz w:val="24"/>
          <w:szCs w:val="24"/>
        </w:rPr>
        <w:t>Vgl. § 28 VwVfG: „</w:t>
      </w:r>
      <w:r>
        <w:rPr>
          <w:rFonts w:ascii="Arial" w:hAnsi="Arial" w:cs="Arial"/>
          <w:bCs/>
          <w:i/>
          <w:iCs/>
          <w:sz w:val="24"/>
          <w:szCs w:val="24"/>
        </w:rPr>
        <w:t xml:space="preserve">Aus dem Rechtsstaatsprinzip (OVG Münster </w:t>
      </w:r>
      <w:proofErr w:type="spellStart"/>
      <w:r>
        <w:rPr>
          <w:rFonts w:ascii="Arial" w:hAnsi="Arial" w:cs="Arial"/>
          <w:bCs/>
          <w:i/>
          <w:iCs/>
          <w:sz w:val="24"/>
          <w:szCs w:val="24"/>
        </w:rPr>
        <w:t>NVwZ</w:t>
      </w:r>
      <w:proofErr w:type="spellEnd"/>
      <w:r>
        <w:rPr>
          <w:rFonts w:ascii="Arial" w:hAnsi="Arial" w:cs="Arial"/>
          <w:bCs/>
          <w:i/>
          <w:iCs/>
          <w:sz w:val="24"/>
          <w:szCs w:val="24"/>
        </w:rPr>
        <w:t xml:space="preserve"> 1987, 606 (607); OVG Lüneburg DVBl 1989, 887 (888)) sowie aus dem Recht auf ein faires Verfahren, demzufolge auch außerhalb des Anwendungsbereichs des Art. 103 Abs. 1 GG der Einzelne nicht zum bloßen Objekt staatlicher Entscheidungen werden darf (BVerfG NJW 2000, 1709), wird jedoch auch für das Verwaltungsverfahren die Pflicht abgeleitet, die Beteiligten zu hören.“ (BeckOK VwVfG/Herrmann, 64. </w:t>
      </w:r>
      <w:r>
        <w:rPr>
          <w:rFonts w:ascii="Arial" w:hAnsi="Arial" w:cs="Arial"/>
          <w:bCs/>
          <w:i/>
          <w:iCs/>
          <w:sz w:val="24"/>
          <w:szCs w:val="24"/>
          <w:lang w:val="en-US"/>
        </w:rPr>
        <w:t xml:space="preserve">Ed. 1.7.2024, </w:t>
      </w:r>
      <w:proofErr w:type="spellStart"/>
      <w:r>
        <w:rPr>
          <w:rFonts w:ascii="Arial" w:hAnsi="Arial" w:cs="Arial"/>
          <w:bCs/>
          <w:i/>
          <w:iCs/>
          <w:sz w:val="24"/>
          <w:szCs w:val="24"/>
          <w:lang w:val="en-US"/>
        </w:rPr>
        <w:t>VwVfG</w:t>
      </w:r>
      <w:proofErr w:type="spellEnd"/>
      <w:r>
        <w:rPr>
          <w:rFonts w:ascii="Arial" w:hAnsi="Arial" w:cs="Arial"/>
          <w:bCs/>
          <w:i/>
          <w:iCs/>
          <w:sz w:val="24"/>
          <w:szCs w:val="24"/>
          <w:lang w:val="en-US"/>
        </w:rPr>
        <w:t xml:space="preserve"> § 28 Rn. 1, beck-online)</w:t>
      </w:r>
    </w:p>
    <w:p w14:paraId="4A99CA78" w14:textId="77777777" w:rsidR="00D34A6A" w:rsidRDefault="00000000">
      <w:pPr>
        <w:pStyle w:val="Listenabsatz"/>
        <w:numPr>
          <w:ilvl w:val="0"/>
          <w:numId w:val="10"/>
        </w:numPr>
        <w:spacing w:line="360" w:lineRule="auto"/>
        <w:jc w:val="both"/>
        <w:rPr>
          <w:rFonts w:ascii="Arial" w:hAnsi="Arial" w:cs="Arial"/>
          <w:bCs/>
          <w:sz w:val="24"/>
          <w:szCs w:val="24"/>
        </w:rPr>
      </w:pPr>
      <w:r>
        <w:rPr>
          <w:rFonts w:ascii="Arial" w:hAnsi="Arial" w:cs="Arial"/>
          <w:bCs/>
          <w:sz w:val="24"/>
          <w:szCs w:val="24"/>
        </w:rPr>
        <w:t>Bürgerbeteiligung = besondere Form der Partizipation im Verwaltungsverfahren; gänzlicher Wegfall kann als Verstoß gegen das Rechtsstaatsprinzip begriffen werden.</w:t>
      </w:r>
    </w:p>
    <w:p w14:paraId="08F948BF" w14:textId="77777777" w:rsidR="00D34A6A" w:rsidRDefault="00D34A6A">
      <w:pPr>
        <w:spacing w:line="360" w:lineRule="auto"/>
        <w:jc w:val="both"/>
        <w:rPr>
          <w:rFonts w:ascii="Arial" w:hAnsi="Arial" w:cs="Arial"/>
          <w:bCs/>
          <w:sz w:val="24"/>
          <w:szCs w:val="24"/>
        </w:rPr>
      </w:pPr>
    </w:p>
    <w:p w14:paraId="1A6D019B" w14:textId="77777777" w:rsidR="00EC3DC8" w:rsidRDefault="00EC3DC8">
      <w:pPr>
        <w:spacing w:line="360" w:lineRule="auto"/>
        <w:jc w:val="both"/>
        <w:rPr>
          <w:rFonts w:ascii="Arial" w:hAnsi="Arial" w:cs="Arial"/>
          <w:bCs/>
          <w:sz w:val="24"/>
          <w:szCs w:val="24"/>
        </w:rPr>
      </w:pPr>
    </w:p>
    <w:p w14:paraId="443498A4" w14:textId="77777777" w:rsidR="00EC3DC8" w:rsidRDefault="00EC3DC8">
      <w:pPr>
        <w:spacing w:line="360" w:lineRule="auto"/>
        <w:jc w:val="both"/>
        <w:rPr>
          <w:rFonts w:ascii="Arial" w:hAnsi="Arial" w:cs="Arial"/>
          <w:bCs/>
          <w:sz w:val="24"/>
          <w:szCs w:val="24"/>
        </w:rPr>
      </w:pPr>
    </w:p>
    <w:p w14:paraId="5E68711F" w14:textId="77777777" w:rsidR="00D34A6A" w:rsidRDefault="00000000">
      <w:pPr>
        <w:spacing w:line="360" w:lineRule="auto"/>
        <w:jc w:val="both"/>
        <w:rPr>
          <w:rFonts w:ascii="Arial" w:hAnsi="Arial" w:cs="Arial"/>
          <w:b/>
          <w:sz w:val="24"/>
          <w:szCs w:val="24"/>
        </w:rPr>
      </w:pPr>
      <w:r>
        <w:rPr>
          <w:rFonts w:ascii="Arial" w:hAnsi="Arial" w:cs="Arial"/>
          <w:b/>
          <w:sz w:val="24"/>
          <w:szCs w:val="24"/>
        </w:rPr>
        <w:lastRenderedPageBreak/>
        <w:t>II. Verletzung des Gebots effektiven Rechtsschutzes (Art. 19 IV GG) durch Rechtsschutzkonzentration?</w:t>
      </w:r>
    </w:p>
    <w:p w14:paraId="67C892C4" w14:textId="77777777" w:rsidR="00D34A6A" w:rsidRDefault="00000000">
      <w:pPr>
        <w:pStyle w:val="Listenabsatz"/>
        <w:numPr>
          <w:ilvl w:val="0"/>
          <w:numId w:val="12"/>
        </w:numPr>
        <w:spacing w:line="360" w:lineRule="auto"/>
        <w:jc w:val="both"/>
        <w:rPr>
          <w:rFonts w:ascii="Arial" w:hAnsi="Arial" w:cs="Arial"/>
          <w:bCs/>
          <w:sz w:val="24"/>
          <w:szCs w:val="24"/>
        </w:rPr>
      </w:pPr>
      <w:r>
        <w:rPr>
          <w:rFonts w:ascii="Arial" w:hAnsi="Arial" w:cs="Arial"/>
          <w:bCs/>
          <w:sz w:val="24"/>
          <w:szCs w:val="24"/>
        </w:rPr>
        <w:t>Verlangt Art. 19 IV GG Instanzenzug bzw. verbietet Rechtsschutzkonzentration?</w:t>
      </w:r>
    </w:p>
    <w:p w14:paraId="14B3679C" w14:textId="77777777" w:rsidR="00D34A6A" w:rsidRDefault="00000000">
      <w:pPr>
        <w:pStyle w:val="Listenabsatz"/>
        <w:numPr>
          <w:ilvl w:val="0"/>
          <w:numId w:val="12"/>
        </w:numPr>
        <w:spacing w:line="360" w:lineRule="auto"/>
        <w:jc w:val="both"/>
        <w:rPr>
          <w:rFonts w:ascii="Arial" w:hAnsi="Arial" w:cs="Arial"/>
          <w:bCs/>
          <w:sz w:val="24"/>
          <w:szCs w:val="24"/>
        </w:rPr>
      </w:pPr>
      <w:r>
        <w:rPr>
          <w:rFonts w:ascii="Arial" w:hAnsi="Arial" w:cs="Arial"/>
          <w:bCs/>
          <w:sz w:val="24"/>
          <w:szCs w:val="24"/>
        </w:rPr>
        <w:t xml:space="preserve">Nein, Art. 19 IV GG verlangt Schutz durch und nicht vor dem Richter </w:t>
      </w:r>
      <w:r>
        <w:rPr>
          <w:rFonts w:ascii="Arial" w:hAnsi="Arial" w:cs="Arial"/>
          <w:bCs/>
          <w:i/>
          <w:iCs/>
          <w:color w:val="000000" w:themeColor="text1"/>
          <w:sz w:val="24"/>
          <w:szCs w:val="24"/>
        </w:rPr>
        <w:t xml:space="preserve">(siehe bspw.: Dürig/Herzog/Scholz/Schmidt-Aßmann, 104. EL April 2024, GG, Art. 19 Abs. 4 </w:t>
      </w:r>
      <w:proofErr w:type="spellStart"/>
      <w:r>
        <w:rPr>
          <w:rFonts w:ascii="Arial" w:hAnsi="Arial" w:cs="Arial"/>
          <w:bCs/>
          <w:i/>
          <w:iCs/>
          <w:color w:val="000000" w:themeColor="text1"/>
          <w:sz w:val="24"/>
          <w:szCs w:val="24"/>
        </w:rPr>
        <w:t>Rn</w:t>
      </w:r>
      <w:proofErr w:type="spellEnd"/>
      <w:r>
        <w:rPr>
          <w:rFonts w:ascii="Arial" w:hAnsi="Arial" w:cs="Arial"/>
          <w:bCs/>
          <w:i/>
          <w:iCs/>
          <w:color w:val="000000" w:themeColor="text1"/>
          <w:sz w:val="24"/>
          <w:szCs w:val="24"/>
        </w:rPr>
        <w:t xml:space="preserve">. 96, </w:t>
      </w:r>
      <w:proofErr w:type="spellStart"/>
      <w:r>
        <w:rPr>
          <w:rFonts w:ascii="Arial" w:hAnsi="Arial" w:cs="Arial"/>
          <w:bCs/>
          <w:i/>
          <w:iCs/>
          <w:color w:val="000000" w:themeColor="text1"/>
          <w:sz w:val="24"/>
          <w:szCs w:val="24"/>
        </w:rPr>
        <w:t>beck</w:t>
      </w:r>
      <w:proofErr w:type="spellEnd"/>
      <w:r>
        <w:rPr>
          <w:rFonts w:ascii="Arial" w:hAnsi="Arial" w:cs="Arial"/>
          <w:bCs/>
          <w:i/>
          <w:iCs/>
          <w:color w:val="000000" w:themeColor="text1"/>
          <w:sz w:val="24"/>
          <w:szCs w:val="24"/>
        </w:rPr>
        <w:t>-online)</w:t>
      </w:r>
      <w:r>
        <w:rPr>
          <w:rFonts w:ascii="Arial" w:hAnsi="Arial" w:cs="Arial"/>
          <w:bCs/>
          <w:i/>
          <w:iCs/>
          <w:color w:val="FF0000"/>
          <w:sz w:val="24"/>
          <w:szCs w:val="24"/>
        </w:rPr>
        <w:t xml:space="preserve"> </w:t>
      </w:r>
      <w:r>
        <w:rPr>
          <w:rFonts w:ascii="Arial" w:hAnsi="Arial" w:cs="Arial"/>
          <w:bCs/>
          <w:sz w:val="24"/>
          <w:szCs w:val="24"/>
        </w:rPr>
        <w:t>Instanzenzug also nicht zwingend (teilweise sehr kritisch gesehen, s. ebd.)</w:t>
      </w:r>
    </w:p>
    <w:p w14:paraId="419A8F8F" w14:textId="77777777" w:rsidR="00D34A6A" w:rsidRDefault="00000000">
      <w:pPr>
        <w:pStyle w:val="Listenabsatz"/>
        <w:numPr>
          <w:ilvl w:val="0"/>
          <w:numId w:val="12"/>
        </w:numPr>
        <w:spacing w:line="360" w:lineRule="auto"/>
        <w:jc w:val="both"/>
        <w:rPr>
          <w:rFonts w:ascii="Arial" w:hAnsi="Arial" w:cs="Arial"/>
          <w:bCs/>
          <w:sz w:val="24"/>
          <w:szCs w:val="24"/>
        </w:rPr>
      </w:pPr>
      <w:r>
        <w:rPr>
          <w:rFonts w:ascii="Arial" w:hAnsi="Arial" w:cs="Arial"/>
          <w:bCs/>
          <w:sz w:val="24"/>
          <w:szCs w:val="24"/>
        </w:rPr>
        <w:t>Rechtsschutzkonzentration mit Art. 19 IV GG und daher mit dem Rechtsstaatsprinzip vereinbar.</w:t>
      </w:r>
    </w:p>
    <w:sectPr w:rsidR="00D34A6A">
      <w:footerReference w:type="default" r:id="rId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A00F" w14:textId="77777777" w:rsidR="006B3FDB" w:rsidRDefault="006B3FDB">
      <w:pPr>
        <w:spacing w:after="0" w:line="240" w:lineRule="auto"/>
      </w:pPr>
      <w:r>
        <w:separator/>
      </w:r>
    </w:p>
  </w:endnote>
  <w:endnote w:type="continuationSeparator" w:id="0">
    <w:p w14:paraId="153BEC4D" w14:textId="77777777" w:rsidR="006B3FDB" w:rsidRDefault="006B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Content>
      <w:p w14:paraId="1D2FA7C5" w14:textId="77777777" w:rsidR="00D34A6A" w:rsidRDefault="00000000">
        <w:pPr>
          <w:pStyle w:val="Fuzeil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A45F" w14:textId="77777777" w:rsidR="006B3FDB" w:rsidRDefault="006B3FDB">
      <w:pPr>
        <w:spacing w:after="0" w:line="240" w:lineRule="auto"/>
      </w:pPr>
      <w:r>
        <w:separator/>
      </w:r>
    </w:p>
  </w:footnote>
  <w:footnote w:type="continuationSeparator" w:id="0">
    <w:p w14:paraId="60180D26" w14:textId="77777777" w:rsidR="006B3FDB" w:rsidRDefault="006B3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4980"/>
    <w:multiLevelType w:val="multilevel"/>
    <w:tmpl w:val="08A02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A40E35"/>
    <w:multiLevelType w:val="multilevel"/>
    <w:tmpl w:val="9D241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017081"/>
    <w:multiLevelType w:val="multilevel"/>
    <w:tmpl w:val="A238BD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14E663E"/>
    <w:multiLevelType w:val="multilevel"/>
    <w:tmpl w:val="396E9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2524C0"/>
    <w:multiLevelType w:val="multilevel"/>
    <w:tmpl w:val="27A0AA2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A430FAB"/>
    <w:multiLevelType w:val="multilevel"/>
    <w:tmpl w:val="9F504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9755B"/>
    <w:multiLevelType w:val="multilevel"/>
    <w:tmpl w:val="F314F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B606AE"/>
    <w:multiLevelType w:val="multilevel"/>
    <w:tmpl w:val="FCC23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9F617E"/>
    <w:multiLevelType w:val="multilevel"/>
    <w:tmpl w:val="F2C89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7C3D03"/>
    <w:multiLevelType w:val="multilevel"/>
    <w:tmpl w:val="B7B66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C6E14BB"/>
    <w:multiLevelType w:val="multilevel"/>
    <w:tmpl w:val="F99A0D6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D142C1"/>
    <w:multiLevelType w:val="multilevel"/>
    <w:tmpl w:val="36EA18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0086211">
    <w:abstractNumId w:val="10"/>
  </w:num>
  <w:num w:numId="2" w16cid:durableId="1148858159">
    <w:abstractNumId w:val="11"/>
  </w:num>
  <w:num w:numId="3" w16cid:durableId="375665796">
    <w:abstractNumId w:val="0"/>
  </w:num>
  <w:num w:numId="4" w16cid:durableId="1831480732">
    <w:abstractNumId w:val="2"/>
  </w:num>
  <w:num w:numId="5" w16cid:durableId="424427338">
    <w:abstractNumId w:val="6"/>
  </w:num>
  <w:num w:numId="6" w16cid:durableId="1430082202">
    <w:abstractNumId w:val="1"/>
  </w:num>
  <w:num w:numId="7" w16cid:durableId="2125735133">
    <w:abstractNumId w:val="9"/>
  </w:num>
  <w:num w:numId="8" w16cid:durableId="1096829306">
    <w:abstractNumId w:val="7"/>
  </w:num>
  <w:num w:numId="9" w16cid:durableId="637805317">
    <w:abstractNumId w:val="5"/>
  </w:num>
  <w:num w:numId="10" w16cid:durableId="1253010386">
    <w:abstractNumId w:val="8"/>
  </w:num>
  <w:num w:numId="11" w16cid:durableId="2034114957">
    <w:abstractNumId w:val="4"/>
  </w:num>
  <w:num w:numId="12" w16cid:durableId="1181120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6A"/>
    <w:rsid w:val="006917D6"/>
    <w:rsid w:val="006B3FDB"/>
    <w:rsid w:val="00D34A6A"/>
    <w:rsid w:val="00EC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B95D"/>
  <w15:docId w15:val="{40800EE8-3A3A-4D35-BA0C-61D12517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Pr>
      <w:rFonts w:ascii="Times New Roman" w:hAnsi="Times New Roman"/>
      <w:sz w:val="20"/>
      <w:szCs w:val="20"/>
    </w:rPr>
  </w:style>
  <w:style w:type="character" w:styleId="Funotenzeichen">
    <w:name w:val="footnote reference"/>
    <w:basedOn w:val="Absatz-Standardschriftart"/>
    <w:uiPriority w:val="99"/>
    <w:unhideWhenUse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Pr>
      <w:rFonts w:ascii="Times New Roman" w:hAnsi="Times New Roman"/>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pPr>
      <w:spacing w:line="240" w:lineRule="auto"/>
    </w:pPr>
    <w:rPr>
      <w:sz w:val="24"/>
      <w:szCs w:val="24"/>
    </w:rPr>
  </w:style>
  <w:style w:type="character" w:customStyle="1" w:styleId="KommentartextZchn">
    <w:name w:val="Kommentartext Zchn"/>
    <w:basedOn w:val="Absatz-Standardschriftart"/>
    <w:link w:val="Kommentartext"/>
    <w:uiPriority w:val="99"/>
    <w:semiHidden/>
    <w:rPr>
      <w:sz w:val="24"/>
      <w:szCs w:val="24"/>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68F4-497F-440B-8E70-7ED44D6B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5283</Characters>
  <Application>Microsoft Office Word</Application>
  <DocSecurity>0</DocSecurity>
  <Lines>44</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13</cp:revision>
  <dcterms:created xsi:type="dcterms:W3CDTF">2024-09-12T09:35:00Z</dcterms:created>
  <dcterms:modified xsi:type="dcterms:W3CDTF">2025-09-24T14:44:00Z</dcterms:modified>
</cp:coreProperties>
</file>