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273E" w14:textId="77777777" w:rsidR="005A68AA" w:rsidRDefault="00000000">
      <w:pPr>
        <w:jc w:val="center"/>
        <w:rPr>
          <w:rFonts w:ascii="Arial" w:hAnsi="Arial" w:cs="Arial"/>
          <w:b/>
          <w:sz w:val="24"/>
          <w:szCs w:val="24"/>
        </w:rPr>
      </w:pPr>
      <w:r>
        <w:rPr>
          <w:rFonts w:ascii="Arial" w:hAnsi="Arial" w:cs="Arial"/>
          <w:b/>
          <w:sz w:val="24"/>
          <w:szCs w:val="24"/>
        </w:rPr>
        <w:t>III. AG-Fall (Staatsorganisationsrecht)</w:t>
      </w:r>
    </w:p>
    <w:p w14:paraId="11EC7521" w14:textId="372D68FE" w:rsidR="005A68AA" w:rsidRDefault="00000000">
      <w:pPr>
        <w:jc w:val="center"/>
        <w:rPr>
          <w:rFonts w:ascii="Arial" w:hAnsi="Arial" w:cs="Arial"/>
          <w:b/>
          <w:sz w:val="24"/>
          <w:szCs w:val="24"/>
        </w:rPr>
      </w:pPr>
      <w:r>
        <w:rPr>
          <w:rFonts w:ascii="Arial" w:hAnsi="Arial" w:cs="Arial"/>
          <w:b/>
          <w:sz w:val="24"/>
          <w:szCs w:val="24"/>
        </w:rPr>
        <w:t>Wintersemester 202</w:t>
      </w:r>
      <w:r w:rsidR="00684690">
        <w:rPr>
          <w:rFonts w:ascii="Arial" w:hAnsi="Arial" w:cs="Arial"/>
          <w:b/>
          <w:sz w:val="24"/>
          <w:szCs w:val="24"/>
        </w:rPr>
        <w:t>5</w:t>
      </w:r>
      <w:r>
        <w:rPr>
          <w:rFonts w:ascii="Arial" w:hAnsi="Arial" w:cs="Arial"/>
          <w:b/>
          <w:sz w:val="24"/>
          <w:szCs w:val="24"/>
        </w:rPr>
        <w:t>/202</w:t>
      </w:r>
      <w:r w:rsidR="00684690">
        <w:rPr>
          <w:rFonts w:ascii="Arial" w:hAnsi="Arial" w:cs="Arial"/>
          <w:b/>
          <w:sz w:val="24"/>
          <w:szCs w:val="24"/>
        </w:rPr>
        <w:t>6</w:t>
      </w:r>
    </w:p>
    <w:p w14:paraId="37563347" w14:textId="77777777" w:rsidR="005A68AA" w:rsidRDefault="005A68AA">
      <w:pPr>
        <w:jc w:val="center"/>
        <w:rPr>
          <w:rFonts w:ascii="Arial" w:hAnsi="Arial" w:cs="Arial"/>
          <w:b/>
          <w:sz w:val="24"/>
          <w:szCs w:val="24"/>
        </w:rPr>
      </w:pPr>
    </w:p>
    <w:p w14:paraId="00F9FECB" w14:textId="77777777" w:rsidR="005A68AA" w:rsidRDefault="00000000">
      <w:pPr>
        <w:spacing w:line="360" w:lineRule="auto"/>
        <w:jc w:val="both"/>
        <w:rPr>
          <w:rFonts w:ascii="Arial" w:hAnsi="Arial" w:cs="Arial"/>
          <w:sz w:val="24"/>
          <w:szCs w:val="24"/>
        </w:rPr>
      </w:pPr>
      <w:r>
        <w:rPr>
          <w:rFonts w:ascii="Arial" w:hAnsi="Arial" w:cs="Arial"/>
          <w:sz w:val="24"/>
          <w:szCs w:val="24"/>
        </w:rPr>
        <w:t xml:space="preserve">Nachdem die Partei „Die Grünen“ nach der letzten Bundestagswahl weit hinter dem prognostizierten Wahlergebnis geblieben ist und nur 15% der 630 Bundestagsmandate erringt, brechen Unruhen an den Gymnasien des Landes NW aus. Extremistische Schülergruppen formen eine </w:t>
      </w:r>
      <w:r>
        <w:rPr>
          <w:rFonts w:ascii="Times New Roman" w:hAnsi="Times New Roman" w:cs="Times New Roman"/>
          <w:sz w:val="24"/>
          <w:szCs w:val="24"/>
        </w:rPr>
        <w:t>»</w:t>
      </w:r>
      <w:r>
        <w:rPr>
          <w:rFonts w:ascii="Arial" w:hAnsi="Arial" w:cs="Arial"/>
          <w:sz w:val="24"/>
          <w:szCs w:val="24"/>
        </w:rPr>
        <w:t>außerparlamentarische Klima-Regierung</w:t>
      </w:r>
      <w:r>
        <w:rPr>
          <w:rFonts w:ascii="Times New Roman" w:hAnsi="Times New Roman" w:cs="Times New Roman"/>
          <w:sz w:val="24"/>
          <w:szCs w:val="24"/>
        </w:rPr>
        <w:t>«</w:t>
      </w:r>
      <w:r>
        <w:rPr>
          <w:rFonts w:ascii="Arial" w:hAnsi="Arial" w:cs="Arial"/>
          <w:sz w:val="24"/>
          <w:szCs w:val="24"/>
        </w:rPr>
        <w:t xml:space="preserve"> und stören den Schulalltag, indem sie den Unterricht boykottieren und Büros besetzen.</w:t>
      </w:r>
    </w:p>
    <w:p w14:paraId="11B0569D" w14:textId="77777777" w:rsidR="005A68AA" w:rsidRDefault="00000000">
      <w:pPr>
        <w:spacing w:line="360" w:lineRule="auto"/>
        <w:jc w:val="both"/>
        <w:rPr>
          <w:rFonts w:ascii="Arial" w:hAnsi="Arial" w:cs="Arial"/>
          <w:sz w:val="24"/>
          <w:szCs w:val="24"/>
        </w:rPr>
      </w:pPr>
      <w:r>
        <w:rPr>
          <w:rFonts w:ascii="Arial" w:hAnsi="Arial" w:cs="Arial"/>
          <w:sz w:val="24"/>
          <w:szCs w:val="24"/>
        </w:rPr>
        <w:t>Daher wird am 01.11.2021 formell verfassungsmäßig eine Neufassung des Landesschulgesetzes (LSG) verabschiedet, mit der ein § 56a eingefügt wird, der folgenden Wortlaut hat:</w:t>
      </w:r>
    </w:p>
    <w:p w14:paraId="34F78699" w14:textId="77777777" w:rsidR="005A68AA" w:rsidRDefault="005A68AA">
      <w:pPr>
        <w:spacing w:line="360" w:lineRule="auto"/>
        <w:jc w:val="both"/>
        <w:rPr>
          <w:rFonts w:ascii="Arial" w:hAnsi="Arial" w:cs="Arial"/>
          <w:sz w:val="24"/>
          <w:szCs w:val="24"/>
        </w:rPr>
      </w:pPr>
    </w:p>
    <w:p w14:paraId="16F37E74" w14:textId="77777777" w:rsidR="005A68AA" w:rsidRDefault="00000000">
      <w:pPr>
        <w:spacing w:line="360" w:lineRule="auto"/>
        <w:jc w:val="center"/>
        <w:rPr>
          <w:rFonts w:ascii="Arial" w:hAnsi="Arial" w:cs="Arial"/>
          <w:i/>
          <w:iCs/>
          <w:sz w:val="24"/>
          <w:szCs w:val="24"/>
        </w:rPr>
      </w:pPr>
      <w:r>
        <w:rPr>
          <w:rFonts w:ascii="Arial" w:hAnsi="Arial" w:cs="Arial"/>
          <w:i/>
          <w:iCs/>
          <w:sz w:val="24"/>
          <w:szCs w:val="24"/>
        </w:rPr>
        <w:t>I. Die Schulleitung wird ermächtigt, gegenüber Schülerinnen und Schülern, die durch ihr Verhalten hergebrachte Grundsätze gymnasialer Gepflogenheiten verletzen, geeignete Maßnahmen zu ergreifen. Bei groben Verstößen oder Besorgnis weiterer Störungen ist auch ein Ausschluss von den Abiturprüfungen zulässig.</w:t>
      </w:r>
    </w:p>
    <w:p w14:paraId="1646E253" w14:textId="77777777" w:rsidR="005A68AA" w:rsidRDefault="005A68AA">
      <w:pPr>
        <w:spacing w:line="360" w:lineRule="auto"/>
        <w:jc w:val="center"/>
        <w:rPr>
          <w:rFonts w:ascii="Arial" w:hAnsi="Arial" w:cs="Arial"/>
          <w:i/>
          <w:iCs/>
          <w:sz w:val="24"/>
          <w:szCs w:val="24"/>
        </w:rPr>
      </w:pPr>
    </w:p>
    <w:p w14:paraId="3865527F" w14:textId="77777777" w:rsidR="005A68AA" w:rsidRDefault="00000000">
      <w:pPr>
        <w:spacing w:line="360" w:lineRule="auto"/>
        <w:jc w:val="center"/>
        <w:rPr>
          <w:rFonts w:ascii="Arial" w:hAnsi="Arial" w:cs="Arial"/>
          <w:i/>
          <w:iCs/>
          <w:sz w:val="24"/>
          <w:szCs w:val="24"/>
        </w:rPr>
      </w:pPr>
      <w:r>
        <w:rPr>
          <w:rFonts w:ascii="Arial" w:hAnsi="Arial" w:cs="Arial"/>
          <w:i/>
          <w:iCs/>
          <w:sz w:val="24"/>
          <w:szCs w:val="24"/>
        </w:rPr>
        <w:t>II. Als Verhaltensweisen im Sinne des Abs. 1 gelten alle einschlägigen Handlungen ab dem 01.01.2024.</w:t>
      </w:r>
    </w:p>
    <w:p w14:paraId="221AA725" w14:textId="77777777" w:rsidR="005A68AA" w:rsidRDefault="005A68AA">
      <w:pPr>
        <w:spacing w:line="360" w:lineRule="auto"/>
        <w:jc w:val="center"/>
        <w:rPr>
          <w:rFonts w:ascii="Arial" w:hAnsi="Arial" w:cs="Arial"/>
          <w:i/>
          <w:iCs/>
          <w:sz w:val="24"/>
          <w:szCs w:val="24"/>
        </w:rPr>
      </w:pPr>
    </w:p>
    <w:p w14:paraId="738AFFDE" w14:textId="77777777" w:rsidR="005A68AA" w:rsidRDefault="00000000">
      <w:pPr>
        <w:spacing w:line="360" w:lineRule="auto"/>
        <w:jc w:val="center"/>
        <w:rPr>
          <w:rFonts w:ascii="Arial" w:hAnsi="Arial" w:cs="Arial"/>
          <w:i/>
          <w:iCs/>
          <w:sz w:val="24"/>
          <w:szCs w:val="24"/>
        </w:rPr>
      </w:pPr>
      <w:r>
        <w:rPr>
          <w:rFonts w:ascii="Arial" w:hAnsi="Arial" w:cs="Arial"/>
          <w:i/>
          <w:iCs/>
          <w:sz w:val="24"/>
          <w:szCs w:val="24"/>
        </w:rPr>
        <w:t>III. Gegen Maßnahmen nach Abs. 1 und 2 ist der Rechtsweg nur binnen 24 Stunden nach ihrer Bekanntgabe möglich.</w:t>
      </w:r>
    </w:p>
    <w:p w14:paraId="3686E827" w14:textId="77777777" w:rsidR="005A68AA" w:rsidRDefault="005A68AA">
      <w:pPr>
        <w:spacing w:line="360" w:lineRule="auto"/>
        <w:jc w:val="both"/>
        <w:rPr>
          <w:rFonts w:ascii="Arial" w:hAnsi="Arial" w:cs="Arial"/>
          <w:sz w:val="24"/>
          <w:szCs w:val="24"/>
        </w:rPr>
      </w:pPr>
    </w:p>
    <w:p w14:paraId="7084E76C" w14:textId="77777777" w:rsidR="005A68AA" w:rsidRDefault="00000000">
      <w:pPr>
        <w:spacing w:line="360" w:lineRule="auto"/>
        <w:jc w:val="both"/>
        <w:rPr>
          <w:rFonts w:ascii="Arial" w:hAnsi="Arial" w:cs="Arial"/>
          <w:sz w:val="24"/>
          <w:szCs w:val="24"/>
        </w:rPr>
      </w:pPr>
      <w:r>
        <w:rPr>
          <w:rFonts w:ascii="Arial" w:hAnsi="Arial" w:cs="Arial"/>
          <w:sz w:val="24"/>
          <w:szCs w:val="24"/>
        </w:rPr>
        <w:t xml:space="preserve">158 Abgeordnete des Bundestages zeigen sich besorgt über die </w:t>
      </w:r>
      <w:r>
        <w:rPr>
          <w:rFonts w:ascii="Times New Roman" w:hAnsi="Times New Roman" w:cs="Times New Roman"/>
          <w:sz w:val="24"/>
          <w:szCs w:val="24"/>
        </w:rPr>
        <w:t>»</w:t>
      </w:r>
      <w:r>
        <w:rPr>
          <w:rFonts w:ascii="Arial" w:hAnsi="Arial" w:cs="Arial"/>
          <w:sz w:val="24"/>
          <w:szCs w:val="24"/>
        </w:rPr>
        <w:t>reaktionäre Gesetzgebung</w:t>
      </w:r>
      <w:r>
        <w:rPr>
          <w:rFonts w:ascii="Times New Roman" w:hAnsi="Times New Roman" w:cs="Times New Roman"/>
          <w:sz w:val="24"/>
          <w:szCs w:val="24"/>
        </w:rPr>
        <w:t>«</w:t>
      </w:r>
      <w:r>
        <w:rPr>
          <w:rFonts w:ascii="Arial" w:hAnsi="Arial" w:cs="Arial"/>
          <w:sz w:val="24"/>
          <w:szCs w:val="24"/>
        </w:rPr>
        <w:t xml:space="preserve"> im Land NW und überlegen, ob es eine Möglichkeit gibt, die Gesetzesnovelle, deren Verfassungskonformität man bezweifelt, durch das BVerfG </w:t>
      </w:r>
      <w:r>
        <w:rPr>
          <w:rFonts w:ascii="Times New Roman" w:hAnsi="Times New Roman" w:cs="Times New Roman"/>
          <w:sz w:val="24"/>
          <w:szCs w:val="24"/>
        </w:rPr>
        <w:t>»</w:t>
      </w:r>
      <w:r>
        <w:rPr>
          <w:rFonts w:ascii="Arial" w:hAnsi="Arial" w:cs="Arial"/>
          <w:sz w:val="24"/>
          <w:szCs w:val="24"/>
        </w:rPr>
        <w:t>kassieren zu lassen</w:t>
      </w:r>
      <w:r>
        <w:rPr>
          <w:rFonts w:ascii="Times New Roman" w:hAnsi="Times New Roman" w:cs="Times New Roman"/>
          <w:sz w:val="24"/>
          <w:szCs w:val="24"/>
        </w:rPr>
        <w:t>«</w:t>
      </w:r>
      <w:r>
        <w:rPr>
          <w:rFonts w:ascii="Arial" w:hAnsi="Arial" w:cs="Arial"/>
          <w:sz w:val="24"/>
          <w:szCs w:val="24"/>
        </w:rPr>
        <w:t>.</w:t>
      </w:r>
    </w:p>
    <w:p w14:paraId="35AF1079" w14:textId="77777777" w:rsidR="005A68AA" w:rsidRDefault="00000000">
      <w:pPr>
        <w:spacing w:line="360" w:lineRule="auto"/>
        <w:jc w:val="both"/>
        <w:rPr>
          <w:rFonts w:ascii="Arial" w:hAnsi="Arial" w:cs="Arial"/>
          <w:b/>
          <w:sz w:val="24"/>
          <w:szCs w:val="24"/>
        </w:rPr>
      </w:pPr>
      <w:r>
        <w:rPr>
          <w:rFonts w:ascii="Arial" w:hAnsi="Arial" w:cs="Arial"/>
          <w:b/>
          <w:sz w:val="24"/>
          <w:szCs w:val="24"/>
        </w:rPr>
        <w:t>Legen Sie den Abgeordneten des Bundestags die rechtlichen Möglichkeiten dar.</w:t>
      </w:r>
    </w:p>
    <w:p w14:paraId="1817BDB6" w14:textId="77777777" w:rsidR="005A68AA" w:rsidRDefault="00000000">
      <w:pPr>
        <w:spacing w:line="360" w:lineRule="auto"/>
        <w:jc w:val="both"/>
        <w:rPr>
          <w:rFonts w:ascii="Arial" w:hAnsi="Arial" w:cs="Arial"/>
          <w:b/>
          <w:sz w:val="24"/>
          <w:szCs w:val="24"/>
        </w:rPr>
      </w:pPr>
      <w:r>
        <w:rPr>
          <w:rFonts w:ascii="Arial" w:hAnsi="Arial" w:cs="Arial"/>
          <w:b/>
          <w:sz w:val="24"/>
          <w:szCs w:val="24"/>
        </w:rPr>
        <w:lastRenderedPageBreak/>
        <w:t>Bearbeitervermerk</w:t>
      </w:r>
      <w:r>
        <w:rPr>
          <w:rFonts w:ascii="Arial" w:hAnsi="Arial" w:cs="Arial"/>
          <w:bCs/>
          <w:sz w:val="24"/>
          <w:szCs w:val="24"/>
        </w:rPr>
        <w:t>: Es ist zu unterstellen, dass die Norm nicht gegen einfachgesetzliches Bundesrecht verstößt. Auch auf die Vereinbarkeit des Gesetzes mit der Landesverfassung ist nicht einzugehen.</w:t>
      </w:r>
    </w:p>
    <w:p w14:paraId="61D5BB18" w14:textId="77777777" w:rsidR="005A68AA" w:rsidRDefault="00000000">
      <w:pPr>
        <w:spacing w:line="360" w:lineRule="auto"/>
        <w:jc w:val="both"/>
        <w:rPr>
          <w:rFonts w:ascii="Arial" w:hAnsi="Arial" w:cs="Arial"/>
          <w:sz w:val="24"/>
          <w:szCs w:val="24"/>
        </w:rPr>
      </w:pPr>
      <w:r>
        <w:rPr>
          <w:rFonts w:ascii="Arial" w:hAnsi="Arial" w:cs="Arial"/>
          <w:sz w:val="24"/>
          <w:szCs w:val="24"/>
        </w:rPr>
        <w:br w:type="page" w:clear="all"/>
      </w:r>
    </w:p>
    <w:p w14:paraId="5F776899" w14:textId="77777777" w:rsidR="005A68AA" w:rsidRDefault="00000000">
      <w:pPr>
        <w:spacing w:line="360" w:lineRule="auto"/>
        <w:jc w:val="both"/>
        <w:rPr>
          <w:rFonts w:ascii="Arial" w:hAnsi="Arial" w:cs="Arial"/>
          <w:b/>
          <w:sz w:val="24"/>
          <w:szCs w:val="24"/>
        </w:rPr>
      </w:pPr>
      <w:r>
        <w:rPr>
          <w:rFonts w:ascii="Arial" w:hAnsi="Arial" w:cs="Arial"/>
          <w:b/>
          <w:sz w:val="24"/>
          <w:szCs w:val="24"/>
        </w:rPr>
        <w:lastRenderedPageBreak/>
        <w:t>Lösungsvorschlag</w:t>
      </w:r>
    </w:p>
    <w:p w14:paraId="02F4B078" w14:textId="77777777" w:rsidR="005A68AA" w:rsidRDefault="00000000">
      <w:pPr>
        <w:spacing w:line="360" w:lineRule="auto"/>
        <w:jc w:val="both"/>
        <w:rPr>
          <w:rFonts w:ascii="Arial" w:hAnsi="Arial" w:cs="Arial"/>
          <w:sz w:val="24"/>
          <w:szCs w:val="24"/>
        </w:rPr>
      </w:pPr>
      <w:r>
        <w:rPr>
          <w:rFonts w:ascii="Wingdings" w:eastAsia="Wingdings" w:hAnsi="Wingdings" w:cs="Wingdings"/>
          <w:sz w:val="24"/>
          <w:szCs w:val="24"/>
        </w:rPr>
        <w:t>à</w:t>
      </w:r>
      <w:r>
        <w:rPr>
          <w:rFonts w:ascii="Arial" w:hAnsi="Arial" w:cs="Arial"/>
          <w:sz w:val="24"/>
          <w:szCs w:val="24"/>
        </w:rPr>
        <w:t xml:space="preserve"> Verfassungsrechtliche Handlungsoption der Abgeordneten: Art. 93 I Nr. 2, GG, </w:t>
      </w:r>
      <w:r>
        <w:rPr>
          <w:rFonts w:ascii="Arial" w:hAnsi="Arial" w:cs="Arial"/>
          <w:sz w:val="24"/>
          <w:szCs w:val="24"/>
        </w:rPr>
        <w:br/>
        <w:t>§§ 13 Nr. 6, 76 ff. BVerfGG (abstrakte Normenkontrolle)</w:t>
      </w:r>
    </w:p>
    <w:p w14:paraId="00229AE1" w14:textId="77777777" w:rsidR="005A68AA" w:rsidRDefault="005A68AA">
      <w:pPr>
        <w:spacing w:line="360" w:lineRule="auto"/>
        <w:jc w:val="both"/>
        <w:rPr>
          <w:rFonts w:ascii="Arial" w:hAnsi="Arial" w:cs="Arial"/>
          <w:sz w:val="24"/>
          <w:szCs w:val="24"/>
        </w:rPr>
      </w:pPr>
    </w:p>
    <w:p w14:paraId="4A9C4E75" w14:textId="77777777" w:rsidR="005A68AA" w:rsidRDefault="00000000">
      <w:pPr>
        <w:spacing w:line="360" w:lineRule="auto"/>
        <w:jc w:val="both"/>
        <w:rPr>
          <w:rFonts w:ascii="Arial" w:hAnsi="Arial" w:cs="Arial"/>
          <w:b/>
          <w:sz w:val="24"/>
          <w:szCs w:val="24"/>
        </w:rPr>
      </w:pPr>
      <w:r>
        <w:rPr>
          <w:rFonts w:ascii="Arial" w:hAnsi="Arial" w:cs="Arial"/>
          <w:b/>
          <w:sz w:val="24"/>
          <w:szCs w:val="24"/>
        </w:rPr>
        <w:t xml:space="preserve">A. Zulässigkeit </w:t>
      </w:r>
      <w:r>
        <w:rPr>
          <w:rFonts w:ascii="Arial" w:hAnsi="Arial" w:cs="Arial"/>
          <w:bCs/>
          <w:sz w:val="24"/>
          <w:szCs w:val="24"/>
        </w:rPr>
        <w:t>(Prüfung der Sachentscheidungsvoraussetzungen)</w:t>
      </w:r>
    </w:p>
    <w:p w14:paraId="697AA920" w14:textId="77777777" w:rsidR="005A68AA" w:rsidRDefault="00000000">
      <w:pPr>
        <w:spacing w:line="360" w:lineRule="auto"/>
        <w:jc w:val="both"/>
        <w:rPr>
          <w:rFonts w:ascii="Arial" w:hAnsi="Arial" w:cs="Arial"/>
          <w:b/>
          <w:sz w:val="24"/>
          <w:szCs w:val="24"/>
        </w:rPr>
      </w:pPr>
      <w:r>
        <w:rPr>
          <w:rFonts w:ascii="Arial" w:hAnsi="Arial" w:cs="Arial"/>
          <w:b/>
          <w:sz w:val="24"/>
          <w:szCs w:val="24"/>
        </w:rPr>
        <w:t>I. Statthaftigkeit und Zuständigkeit des BVerfG</w:t>
      </w:r>
    </w:p>
    <w:p w14:paraId="21B71D46" w14:textId="77777777" w:rsidR="005A68AA" w:rsidRDefault="00000000">
      <w:pPr>
        <w:spacing w:line="360" w:lineRule="auto"/>
        <w:jc w:val="both"/>
        <w:rPr>
          <w:rFonts w:ascii="Arial" w:hAnsi="Arial" w:cs="Arial"/>
          <w:sz w:val="24"/>
          <w:szCs w:val="24"/>
        </w:rPr>
      </w:pPr>
      <w:r>
        <w:rPr>
          <w:rFonts w:ascii="Arial" w:hAnsi="Arial" w:cs="Arial"/>
          <w:sz w:val="24"/>
          <w:szCs w:val="24"/>
        </w:rPr>
        <w:t>Der Antrag der 158 Abgeordneten ist als abstrakte Normenkontrolle, für die das BVerfG gem. Art. 93 I Nr. 2 GG, § 13 Nr. 6 BVerfGG zuständig ist, statthaft.</w:t>
      </w:r>
    </w:p>
    <w:p w14:paraId="08EAC872" w14:textId="77777777" w:rsidR="005A68AA" w:rsidRDefault="005A68AA">
      <w:pPr>
        <w:spacing w:line="360" w:lineRule="auto"/>
        <w:jc w:val="both"/>
        <w:rPr>
          <w:rFonts w:ascii="Arial" w:hAnsi="Arial" w:cs="Arial"/>
          <w:sz w:val="24"/>
          <w:szCs w:val="24"/>
        </w:rPr>
      </w:pPr>
    </w:p>
    <w:p w14:paraId="321871DD" w14:textId="77777777" w:rsidR="005A68AA" w:rsidRDefault="00000000">
      <w:pPr>
        <w:spacing w:line="360" w:lineRule="auto"/>
        <w:jc w:val="both"/>
        <w:rPr>
          <w:rFonts w:ascii="Arial" w:hAnsi="Arial" w:cs="Arial"/>
          <w:b/>
          <w:bCs/>
          <w:sz w:val="24"/>
          <w:szCs w:val="24"/>
        </w:rPr>
      </w:pPr>
      <w:r>
        <w:rPr>
          <w:rFonts w:ascii="Arial" w:hAnsi="Arial" w:cs="Arial"/>
          <w:b/>
          <w:bCs/>
          <w:sz w:val="24"/>
          <w:szCs w:val="24"/>
        </w:rPr>
        <w:t>II. Antragsberechtigung</w:t>
      </w:r>
    </w:p>
    <w:p w14:paraId="6ED50AD1" w14:textId="77777777" w:rsidR="005A68AA" w:rsidRDefault="00000000">
      <w:pPr>
        <w:pStyle w:val="Listenabsatz"/>
        <w:numPr>
          <w:ilvl w:val="0"/>
          <w:numId w:val="4"/>
        </w:numPr>
        <w:spacing w:line="360" w:lineRule="auto"/>
        <w:jc w:val="both"/>
        <w:rPr>
          <w:rFonts w:ascii="Arial" w:hAnsi="Arial" w:cs="Arial"/>
          <w:sz w:val="24"/>
          <w:szCs w:val="24"/>
        </w:rPr>
      </w:pPr>
      <w:r>
        <w:rPr>
          <w:rFonts w:ascii="Arial" w:hAnsi="Arial" w:cs="Arial"/>
          <w:sz w:val="24"/>
          <w:szCs w:val="24"/>
        </w:rPr>
        <w:t>158 Abgeordnete = 25% des BT? 158 = ca. 25% von 630, also (+)</w:t>
      </w:r>
    </w:p>
    <w:p w14:paraId="7E0CE477" w14:textId="77777777" w:rsidR="005A68AA" w:rsidRDefault="005A68AA">
      <w:pPr>
        <w:spacing w:line="360" w:lineRule="auto"/>
        <w:jc w:val="both"/>
        <w:rPr>
          <w:rFonts w:ascii="Arial" w:hAnsi="Arial" w:cs="Arial"/>
          <w:sz w:val="24"/>
          <w:szCs w:val="24"/>
        </w:rPr>
      </w:pPr>
    </w:p>
    <w:p w14:paraId="4FA5A2D7" w14:textId="77777777" w:rsidR="005A68AA" w:rsidRDefault="00000000">
      <w:pPr>
        <w:spacing w:line="360" w:lineRule="auto"/>
        <w:jc w:val="both"/>
        <w:rPr>
          <w:rFonts w:ascii="Arial" w:hAnsi="Arial" w:cs="Arial"/>
          <w:b/>
          <w:sz w:val="24"/>
          <w:szCs w:val="24"/>
        </w:rPr>
      </w:pPr>
      <w:r>
        <w:rPr>
          <w:rFonts w:ascii="Arial" w:hAnsi="Arial" w:cs="Arial"/>
          <w:b/>
          <w:sz w:val="24"/>
          <w:szCs w:val="24"/>
        </w:rPr>
        <w:t>III. Antragsgegenstand</w:t>
      </w:r>
    </w:p>
    <w:p w14:paraId="2064E474" w14:textId="77777777" w:rsidR="005A68AA" w:rsidRDefault="00000000">
      <w:pPr>
        <w:spacing w:line="360" w:lineRule="auto"/>
        <w:jc w:val="both"/>
        <w:rPr>
          <w:rFonts w:ascii="Arial" w:hAnsi="Arial" w:cs="Arial"/>
          <w:sz w:val="24"/>
          <w:szCs w:val="24"/>
        </w:rPr>
      </w:pPr>
      <w:r>
        <w:rPr>
          <w:rFonts w:ascii="Arial" w:hAnsi="Arial" w:cs="Arial"/>
          <w:sz w:val="24"/>
          <w:szCs w:val="24"/>
        </w:rPr>
        <w:t>Tauglicher Antragsgegenstand ist gem. Art. 93 I Nr. 2 GG, § 76 I BVerfGG jegliches Landesrecht, d.h. alle nachkonstitutionellen, bereits verkündeten Normen des Landes. Das bereits verkündete Landesschulgesetz ist mithin tauglicher Antragsgegenstand.</w:t>
      </w:r>
    </w:p>
    <w:p w14:paraId="599D0184" w14:textId="77777777" w:rsidR="005A68AA" w:rsidRDefault="005A68AA">
      <w:pPr>
        <w:spacing w:line="360" w:lineRule="auto"/>
        <w:jc w:val="both"/>
        <w:rPr>
          <w:rFonts w:ascii="Arial" w:hAnsi="Arial" w:cs="Arial"/>
          <w:sz w:val="24"/>
          <w:szCs w:val="24"/>
        </w:rPr>
      </w:pPr>
    </w:p>
    <w:p w14:paraId="77501AD0" w14:textId="77777777" w:rsidR="005A68AA" w:rsidRDefault="00000000">
      <w:pPr>
        <w:spacing w:line="360" w:lineRule="auto"/>
        <w:jc w:val="both"/>
        <w:rPr>
          <w:rFonts w:ascii="Arial" w:hAnsi="Arial" w:cs="Arial"/>
          <w:b/>
          <w:sz w:val="24"/>
          <w:szCs w:val="24"/>
        </w:rPr>
      </w:pPr>
      <w:r>
        <w:rPr>
          <w:rFonts w:ascii="Arial" w:hAnsi="Arial" w:cs="Arial"/>
          <w:b/>
          <w:sz w:val="24"/>
          <w:szCs w:val="24"/>
        </w:rPr>
        <w:t>IV. Antragsgrund</w:t>
      </w:r>
    </w:p>
    <w:p w14:paraId="5721930D" w14:textId="77777777" w:rsidR="005A68AA" w:rsidRDefault="00000000">
      <w:pPr>
        <w:pStyle w:val="Listenabsatz"/>
        <w:numPr>
          <w:ilvl w:val="0"/>
          <w:numId w:val="3"/>
        </w:numPr>
        <w:spacing w:after="0" w:line="360" w:lineRule="auto"/>
        <w:jc w:val="both"/>
        <w:rPr>
          <w:rFonts w:ascii="Arial" w:hAnsi="Arial" w:cs="Arial"/>
          <w:sz w:val="24"/>
          <w:szCs w:val="24"/>
        </w:rPr>
      </w:pPr>
      <w:r>
        <w:rPr>
          <w:rFonts w:ascii="Arial" w:hAnsi="Arial" w:cs="Arial"/>
          <w:sz w:val="24"/>
          <w:szCs w:val="24"/>
        </w:rPr>
        <w:t>P! Ast. formuliert lediglich Zweifel</w:t>
      </w:r>
    </w:p>
    <w:p w14:paraId="3E132C5E" w14:textId="77777777" w:rsidR="005A68AA" w:rsidRDefault="00000000">
      <w:pPr>
        <w:pStyle w:val="Listenabsatz"/>
        <w:numPr>
          <w:ilvl w:val="1"/>
          <w:numId w:val="3"/>
        </w:numPr>
        <w:spacing w:after="0" w:line="360" w:lineRule="auto"/>
        <w:jc w:val="both"/>
        <w:rPr>
          <w:rFonts w:ascii="Arial" w:hAnsi="Arial" w:cs="Arial"/>
          <w:sz w:val="24"/>
          <w:szCs w:val="24"/>
        </w:rPr>
      </w:pPr>
      <w:r>
        <w:rPr>
          <w:rFonts w:ascii="Arial" w:hAnsi="Arial" w:cs="Arial"/>
          <w:sz w:val="24"/>
          <w:szCs w:val="24"/>
        </w:rPr>
        <w:t>Nach Art. 93 I Nr. 2 GG ausreichend</w:t>
      </w:r>
    </w:p>
    <w:p w14:paraId="0099F967" w14:textId="77777777" w:rsidR="005A68AA" w:rsidRDefault="00000000">
      <w:pPr>
        <w:pStyle w:val="Listenabsatz"/>
        <w:numPr>
          <w:ilvl w:val="1"/>
          <w:numId w:val="3"/>
        </w:numPr>
        <w:spacing w:after="0" w:line="360" w:lineRule="auto"/>
        <w:jc w:val="both"/>
        <w:rPr>
          <w:rFonts w:ascii="Arial" w:hAnsi="Arial" w:cs="Arial"/>
          <w:b/>
          <w:sz w:val="24"/>
          <w:szCs w:val="24"/>
        </w:rPr>
      </w:pPr>
      <w:r>
        <w:rPr>
          <w:rFonts w:ascii="Arial" w:hAnsi="Arial" w:cs="Arial"/>
          <w:sz w:val="24"/>
          <w:szCs w:val="24"/>
        </w:rPr>
        <w:t>§ 76 I Nr. 1 BVerfGG hingegen (-)</w:t>
      </w:r>
    </w:p>
    <w:p w14:paraId="2E01A36F" w14:textId="77777777" w:rsidR="005A68AA" w:rsidRDefault="00000000">
      <w:pPr>
        <w:pStyle w:val="Listenabsatz"/>
        <w:numPr>
          <w:ilvl w:val="1"/>
          <w:numId w:val="3"/>
        </w:numPr>
        <w:spacing w:after="0" w:line="360" w:lineRule="auto"/>
        <w:jc w:val="both"/>
        <w:rPr>
          <w:rFonts w:ascii="Arial" w:hAnsi="Arial" w:cs="Arial"/>
          <w:b/>
          <w:sz w:val="24"/>
          <w:szCs w:val="24"/>
        </w:rPr>
      </w:pPr>
      <w:r>
        <w:rPr>
          <w:rFonts w:ascii="Arial" w:hAnsi="Arial" w:cs="Arial"/>
          <w:sz w:val="24"/>
          <w:szCs w:val="24"/>
        </w:rPr>
        <w:t>Zweifel reichen aufgrund der Normenhierarchie aus</w:t>
      </w:r>
    </w:p>
    <w:p w14:paraId="0FE7A9F4" w14:textId="77777777" w:rsidR="005A68AA" w:rsidRDefault="005A68AA">
      <w:pPr>
        <w:spacing w:after="0" w:line="360" w:lineRule="auto"/>
        <w:jc w:val="both"/>
        <w:rPr>
          <w:rFonts w:ascii="Arial" w:hAnsi="Arial" w:cs="Arial"/>
          <w:b/>
          <w:sz w:val="24"/>
          <w:szCs w:val="24"/>
        </w:rPr>
      </w:pPr>
    </w:p>
    <w:p w14:paraId="456F9F57" w14:textId="77777777" w:rsidR="005A68AA" w:rsidRDefault="00000000">
      <w:pPr>
        <w:spacing w:after="0" w:line="360" w:lineRule="auto"/>
        <w:jc w:val="both"/>
        <w:rPr>
          <w:rFonts w:ascii="Arial" w:hAnsi="Arial" w:cs="Arial"/>
          <w:b/>
          <w:sz w:val="24"/>
          <w:szCs w:val="24"/>
        </w:rPr>
      </w:pPr>
      <w:r>
        <w:rPr>
          <w:rFonts w:ascii="Arial" w:hAnsi="Arial" w:cs="Arial"/>
          <w:b/>
          <w:sz w:val="24"/>
          <w:szCs w:val="24"/>
        </w:rPr>
        <w:t>V. Form</w:t>
      </w:r>
    </w:p>
    <w:p w14:paraId="66409672" w14:textId="77777777" w:rsidR="005A68AA" w:rsidRDefault="00000000">
      <w:pPr>
        <w:spacing w:line="360" w:lineRule="auto"/>
        <w:jc w:val="both"/>
        <w:rPr>
          <w:rFonts w:ascii="Arial" w:hAnsi="Arial" w:cs="Arial"/>
          <w:sz w:val="24"/>
          <w:szCs w:val="24"/>
        </w:rPr>
      </w:pPr>
      <w:r>
        <w:rPr>
          <w:rFonts w:ascii="Arial" w:hAnsi="Arial" w:cs="Arial"/>
          <w:sz w:val="24"/>
          <w:szCs w:val="24"/>
        </w:rPr>
        <w:t>Es ist davon auszugehen, dass die Formvorgaben des § 23 I BVerfGG gewahrt wurden. Der Antrag ist nicht fristgebunden.</w:t>
      </w:r>
    </w:p>
    <w:p w14:paraId="56D880A9" w14:textId="77777777" w:rsidR="005A68AA" w:rsidRDefault="005A68AA">
      <w:pPr>
        <w:spacing w:line="360" w:lineRule="auto"/>
        <w:jc w:val="both"/>
        <w:rPr>
          <w:rFonts w:ascii="Arial" w:hAnsi="Arial" w:cs="Arial"/>
          <w:sz w:val="24"/>
          <w:szCs w:val="24"/>
        </w:rPr>
      </w:pPr>
    </w:p>
    <w:p w14:paraId="4ACCA6CA" w14:textId="77777777" w:rsidR="005A68AA" w:rsidRDefault="005A68AA">
      <w:pPr>
        <w:spacing w:line="360" w:lineRule="auto"/>
        <w:jc w:val="both"/>
        <w:rPr>
          <w:rFonts w:ascii="Arial" w:hAnsi="Arial" w:cs="Arial"/>
          <w:sz w:val="24"/>
          <w:szCs w:val="24"/>
        </w:rPr>
      </w:pPr>
    </w:p>
    <w:p w14:paraId="28277398" w14:textId="77777777" w:rsidR="005A68AA" w:rsidRDefault="00000000">
      <w:pPr>
        <w:spacing w:line="360" w:lineRule="auto"/>
        <w:jc w:val="both"/>
        <w:rPr>
          <w:rFonts w:ascii="Arial" w:hAnsi="Arial" w:cs="Arial"/>
          <w:b/>
          <w:sz w:val="24"/>
          <w:szCs w:val="24"/>
        </w:rPr>
      </w:pPr>
      <w:r>
        <w:rPr>
          <w:rFonts w:ascii="Arial" w:hAnsi="Arial" w:cs="Arial"/>
          <w:b/>
          <w:sz w:val="24"/>
          <w:szCs w:val="24"/>
        </w:rPr>
        <w:lastRenderedPageBreak/>
        <w:t>VI. Zwischenergebnis</w:t>
      </w:r>
    </w:p>
    <w:p w14:paraId="0C8A4A64" w14:textId="77777777" w:rsidR="005A68AA" w:rsidRDefault="00000000">
      <w:pPr>
        <w:spacing w:line="360" w:lineRule="auto"/>
        <w:jc w:val="both"/>
        <w:rPr>
          <w:rFonts w:ascii="Arial" w:hAnsi="Arial" w:cs="Arial"/>
          <w:sz w:val="24"/>
          <w:szCs w:val="24"/>
        </w:rPr>
      </w:pPr>
      <w:r>
        <w:rPr>
          <w:rFonts w:ascii="Arial" w:hAnsi="Arial" w:cs="Arial"/>
          <w:sz w:val="24"/>
          <w:szCs w:val="24"/>
        </w:rPr>
        <w:t>Die Sachentscheidungsvoraussetzungen liegen vor. Damit ist der Antrag zulässig.</w:t>
      </w:r>
    </w:p>
    <w:p w14:paraId="30548C56" w14:textId="77777777" w:rsidR="005A68AA" w:rsidRDefault="005A68AA">
      <w:pPr>
        <w:spacing w:line="360" w:lineRule="auto"/>
        <w:jc w:val="both"/>
        <w:rPr>
          <w:rFonts w:ascii="Arial" w:hAnsi="Arial" w:cs="Arial"/>
          <w:sz w:val="24"/>
          <w:szCs w:val="24"/>
        </w:rPr>
      </w:pPr>
    </w:p>
    <w:p w14:paraId="369886F3" w14:textId="77777777" w:rsidR="005A68AA" w:rsidRDefault="00000000">
      <w:pPr>
        <w:spacing w:line="360" w:lineRule="auto"/>
        <w:jc w:val="both"/>
        <w:rPr>
          <w:rFonts w:ascii="Arial" w:hAnsi="Arial" w:cs="Arial"/>
          <w:b/>
          <w:sz w:val="24"/>
          <w:szCs w:val="24"/>
        </w:rPr>
      </w:pPr>
      <w:r>
        <w:rPr>
          <w:rFonts w:ascii="Arial" w:hAnsi="Arial" w:cs="Arial"/>
          <w:b/>
          <w:sz w:val="24"/>
          <w:szCs w:val="24"/>
        </w:rPr>
        <w:t>B. Begründetheit</w:t>
      </w:r>
    </w:p>
    <w:p w14:paraId="147DEB9A" w14:textId="77777777" w:rsidR="005A68AA" w:rsidRDefault="00000000">
      <w:pPr>
        <w:spacing w:line="360" w:lineRule="auto"/>
        <w:jc w:val="both"/>
        <w:rPr>
          <w:rFonts w:ascii="Arial" w:hAnsi="Arial" w:cs="Arial"/>
          <w:sz w:val="24"/>
          <w:szCs w:val="24"/>
        </w:rPr>
      </w:pPr>
      <w:r>
        <w:rPr>
          <w:rFonts w:ascii="Arial" w:hAnsi="Arial" w:cs="Arial"/>
          <w:sz w:val="24"/>
          <w:szCs w:val="24"/>
        </w:rPr>
        <w:t>Der Antrag ist begründet, soweit das angegriffene Schulgesetz gegen das GG verstößt, vgl. § 78 BVerfGG.</w:t>
      </w:r>
    </w:p>
    <w:p w14:paraId="3DC425D2" w14:textId="77777777" w:rsidR="005A68AA" w:rsidRDefault="005A68AA">
      <w:pPr>
        <w:spacing w:line="360" w:lineRule="auto"/>
        <w:jc w:val="both"/>
        <w:rPr>
          <w:rFonts w:ascii="Arial" w:hAnsi="Arial" w:cs="Arial"/>
          <w:sz w:val="24"/>
          <w:szCs w:val="24"/>
        </w:rPr>
      </w:pPr>
    </w:p>
    <w:p w14:paraId="28EBCFF1" w14:textId="77777777" w:rsidR="005A68AA" w:rsidRDefault="00000000">
      <w:pPr>
        <w:spacing w:line="360" w:lineRule="auto"/>
        <w:jc w:val="both"/>
        <w:rPr>
          <w:rFonts w:ascii="Arial" w:hAnsi="Arial" w:cs="Arial"/>
          <w:b/>
          <w:sz w:val="24"/>
          <w:szCs w:val="24"/>
        </w:rPr>
      </w:pPr>
      <w:r>
        <w:rPr>
          <w:rFonts w:ascii="Arial" w:hAnsi="Arial" w:cs="Arial"/>
          <w:b/>
          <w:sz w:val="24"/>
          <w:szCs w:val="24"/>
        </w:rPr>
        <w:t>I. Formelle Verfassungsmäßigkeit</w:t>
      </w:r>
    </w:p>
    <w:p w14:paraId="7995248B" w14:textId="77777777" w:rsidR="005A68AA" w:rsidRDefault="00000000">
      <w:pPr>
        <w:spacing w:line="360" w:lineRule="auto"/>
        <w:jc w:val="both"/>
        <w:rPr>
          <w:rFonts w:ascii="Arial" w:hAnsi="Arial" w:cs="Arial"/>
          <w:bCs/>
          <w:sz w:val="24"/>
          <w:szCs w:val="24"/>
        </w:rPr>
      </w:pPr>
      <w:r>
        <w:rPr>
          <w:rFonts w:ascii="Arial" w:hAnsi="Arial" w:cs="Arial"/>
          <w:bCs/>
          <w:sz w:val="24"/>
          <w:szCs w:val="24"/>
        </w:rPr>
        <w:t>Die formelle Verfassungsmäßigkeit ist laut Sachverhalt gegeben.</w:t>
      </w:r>
    </w:p>
    <w:p w14:paraId="69A7DA16" w14:textId="77777777" w:rsidR="005A68AA" w:rsidRDefault="005A68AA">
      <w:pPr>
        <w:spacing w:line="360" w:lineRule="auto"/>
        <w:jc w:val="both"/>
        <w:rPr>
          <w:rFonts w:ascii="Arial" w:hAnsi="Arial" w:cs="Arial"/>
          <w:bCs/>
          <w:sz w:val="24"/>
          <w:szCs w:val="24"/>
        </w:rPr>
      </w:pPr>
    </w:p>
    <w:p w14:paraId="676665EA" w14:textId="77777777" w:rsidR="005A68AA" w:rsidRDefault="00000000">
      <w:pPr>
        <w:spacing w:line="360" w:lineRule="auto"/>
        <w:jc w:val="both"/>
        <w:rPr>
          <w:rFonts w:ascii="Arial" w:hAnsi="Arial" w:cs="Arial"/>
          <w:bCs/>
          <w:i/>
          <w:iCs/>
          <w:sz w:val="24"/>
          <w:szCs w:val="24"/>
        </w:rPr>
      </w:pPr>
      <w:r>
        <w:rPr>
          <w:rFonts w:ascii="Arial" w:hAnsi="Arial" w:cs="Arial"/>
          <w:bCs/>
          <w:i/>
          <w:iCs/>
          <w:sz w:val="24"/>
          <w:szCs w:val="24"/>
        </w:rPr>
        <w:t>(1. Gesetzeskompetenz</w:t>
      </w:r>
    </w:p>
    <w:p w14:paraId="5E60BFBC" w14:textId="77777777" w:rsidR="005A68AA" w:rsidRDefault="00000000">
      <w:pPr>
        <w:spacing w:line="360" w:lineRule="auto"/>
        <w:jc w:val="both"/>
        <w:rPr>
          <w:rFonts w:ascii="Arial" w:hAnsi="Arial" w:cs="Arial"/>
          <w:bCs/>
          <w:i/>
          <w:iCs/>
          <w:sz w:val="24"/>
          <w:szCs w:val="24"/>
        </w:rPr>
      </w:pPr>
      <w:r>
        <w:rPr>
          <w:rFonts w:ascii="Arial" w:hAnsi="Arial" w:cs="Arial"/>
          <w:bCs/>
          <w:i/>
          <w:iCs/>
          <w:sz w:val="24"/>
          <w:szCs w:val="24"/>
        </w:rPr>
        <w:t>Das Land hat die Gesetzgebungskompetenz im Bereich des Schulrechts, Art. 70 GG.</w:t>
      </w:r>
    </w:p>
    <w:p w14:paraId="40A8878F" w14:textId="77777777" w:rsidR="005A68AA" w:rsidRDefault="00000000">
      <w:pPr>
        <w:spacing w:line="360" w:lineRule="auto"/>
        <w:jc w:val="both"/>
        <w:rPr>
          <w:rFonts w:ascii="Arial" w:hAnsi="Arial" w:cs="Arial"/>
          <w:bCs/>
          <w:i/>
          <w:iCs/>
          <w:sz w:val="24"/>
          <w:szCs w:val="24"/>
        </w:rPr>
      </w:pPr>
      <w:r>
        <w:rPr>
          <w:rFonts w:ascii="Arial" w:hAnsi="Arial" w:cs="Arial"/>
          <w:bCs/>
          <w:i/>
          <w:iCs/>
          <w:sz w:val="24"/>
          <w:szCs w:val="24"/>
        </w:rPr>
        <w:t>[Hinweis: Hinsichtlich § 56a III muss die Gesetzgebungskompetenz im Bereich des Rechtsschutzes eigentlich bezweifelt werden]</w:t>
      </w:r>
    </w:p>
    <w:p w14:paraId="1C6540E2" w14:textId="77777777" w:rsidR="005A68AA" w:rsidRDefault="005A68AA">
      <w:pPr>
        <w:spacing w:line="360" w:lineRule="auto"/>
        <w:jc w:val="both"/>
        <w:rPr>
          <w:rFonts w:ascii="Arial" w:hAnsi="Arial" w:cs="Arial"/>
          <w:bCs/>
          <w:i/>
          <w:iCs/>
          <w:sz w:val="24"/>
          <w:szCs w:val="24"/>
        </w:rPr>
      </w:pPr>
    </w:p>
    <w:p w14:paraId="7376DFF6" w14:textId="77777777" w:rsidR="005A68AA" w:rsidRDefault="00000000">
      <w:pPr>
        <w:spacing w:line="360" w:lineRule="auto"/>
        <w:jc w:val="both"/>
        <w:rPr>
          <w:rFonts w:ascii="Arial" w:hAnsi="Arial" w:cs="Arial"/>
          <w:bCs/>
          <w:i/>
          <w:iCs/>
          <w:sz w:val="24"/>
          <w:szCs w:val="24"/>
        </w:rPr>
      </w:pPr>
      <w:r>
        <w:rPr>
          <w:rFonts w:ascii="Arial" w:hAnsi="Arial" w:cs="Arial"/>
          <w:bCs/>
          <w:i/>
          <w:iCs/>
          <w:sz w:val="24"/>
          <w:szCs w:val="24"/>
        </w:rPr>
        <w:t>2. Gesetzgebungsverfahren</w:t>
      </w:r>
    </w:p>
    <w:p w14:paraId="327AD39C" w14:textId="77777777" w:rsidR="005A68AA" w:rsidRDefault="00000000">
      <w:pPr>
        <w:spacing w:line="360" w:lineRule="auto"/>
        <w:jc w:val="both"/>
        <w:rPr>
          <w:rFonts w:ascii="Arial" w:hAnsi="Arial" w:cs="Arial"/>
          <w:bCs/>
          <w:i/>
          <w:iCs/>
          <w:sz w:val="24"/>
          <w:szCs w:val="24"/>
        </w:rPr>
      </w:pPr>
      <w:r>
        <w:rPr>
          <w:rFonts w:ascii="Arial" w:hAnsi="Arial" w:cs="Arial"/>
          <w:bCs/>
          <w:i/>
          <w:iCs/>
          <w:sz w:val="24"/>
          <w:szCs w:val="24"/>
        </w:rPr>
        <w:t>Auch das Verfahren unterliegt keiner Beanstandung. In der Folge ist das Gesetz formell verfassungsgemäß.)</w:t>
      </w:r>
    </w:p>
    <w:p w14:paraId="2D14C93C" w14:textId="77777777" w:rsidR="005A68AA" w:rsidRDefault="005A68AA">
      <w:pPr>
        <w:spacing w:line="360" w:lineRule="auto"/>
        <w:jc w:val="both"/>
        <w:rPr>
          <w:rFonts w:ascii="Arial" w:hAnsi="Arial" w:cs="Arial"/>
          <w:sz w:val="24"/>
          <w:szCs w:val="24"/>
        </w:rPr>
      </w:pPr>
    </w:p>
    <w:p w14:paraId="1178DA2B" w14:textId="77777777" w:rsidR="005A68AA" w:rsidRDefault="00000000">
      <w:pPr>
        <w:spacing w:line="360" w:lineRule="auto"/>
        <w:jc w:val="both"/>
        <w:rPr>
          <w:rFonts w:ascii="Arial" w:hAnsi="Arial" w:cs="Arial"/>
          <w:b/>
          <w:sz w:val="24"/>
          <w:szCs w:val="24"/>
        </w:rPr>
      </w:pPr>
      <w:r>
        <w:rPr>
          <w:rFonts w:ascii="Arial" w:hAnsi="Arial" w:cs="Arial"/>
          <w:b/>
          <w:sz w:val="24"/>
          <w:szCs w:val="24"/>
        </w:rPr>
        <w:t>II. Materielle Verfassungsmäßigkeit</w:t>
      </w:r>
    </w:p>
    <w:p w14:paraId="64564F27" w14:textId="77777777" w:rsidR="005A68AA" w:rsidRDefault="00000000">
      <w:pPr>
        <w:spacing w:line="360" w:lineRule="auto"/>
        <w:jc w:val="both"/>
        <w:rPr>
          <w:rFonts w:ascii="Arial" w:hAnsi="Arial" w:cs="Arial"/>
          <w:sz w:val="24"/>
          <w:szCs w:val="24"/>
        </w:rPr>
      </w:pPr>
      <w:r>
        <w:rPr>
          <w:rFonts w:ascii="Arial" w:hAnsi="Arial" w:cs="Arial"/>
          <w:sz w:val="24"/>
          <w:szCs w:val="24"/>
        </w:rPr>
        <w:t>Fraglich ist indes, ob das Gesetz auch materiell verfassungskonform ist. Die Einführung des § 56a könnte gegen das Rechtsstaatsprinzip verstoßen.</w:t>
      </w:r>
    </w:p>
    <w:p w14:paraId="5E277976" w14:textId="77777777" w:rsidR="005A68AA" w:rsidRDefault="005A68AA">
      <w:pPr>
        <w:spacing w:line="360" w:lineRule="auto"/>
        <w:jc w:val="both"/>
        <w:rPr>
          <w:rFonts w:ascii="Arial" w:hAnsi="Arial" w:cs="Arial"/>
          <w:sz w:val="24"/>
          <w:szCs w:val="24"/>
        </w:rPr>
      </w:pPr>
    </w:p>
    <w:p w14:paraId="2B6B8C18" w14:textId="77777777" w:rsidR="005A68AA" w:rsidRDefault="00000000">
      <w:pPr>
        <w:spacing w:line="360" w:lineRule="auto"/>
        <w:jc w:val="both"/>
        <w:rPr>
          <w:rFonts w:ascii="Arial" w:hAnsi="Arial" w:cs="Arial"/>
          <w:b/>
          <w:bCs/>
          <w:sz w:val="24"/>
          <w:szCs w:val="24"/>
        </w:rPr>
      </w:pPr>
      <w:r>
        <w:rPr>
          <w:rFonts w:ascii="Arial" w:hAnsi="Arial" w:cs="Arial"/>
          <w:b/>
          <w:bCs/>
          <w:sz w:val="24"/>
          <w:szCs w:val="24"/>
        </w:rPr>
        <w:t>1. Inhalt des Rechtsstaatsprinzips</w:t>
      </w:r>
    </w:p>
    <w:p w14:paraId="57EA4198" w14:textId="77777777" w:rsidR="005A68AA" w:rsidRDefault="00000000">
      <w:pPr>
        <w:pStyle w:val="Listenabsatz"/>
        <w:numPr>
          <w:ilvl w:val="0"/>
          <w:numId w:val="3"/>
        </w:numPr>
        <w:spacing w:line="360" w:lineRule="auto"/>
        <w:jc w:val="both"/>
        <w:rPr>
          <w:rFonts w:ascii="Arial" w:hAnsi="Arial" w:cs="Arial"/>
          <w:sz w:val="24"/>
          <w:szCs w:val="24"/>
        </w:rPr>
      </w:pPr>
      <w:r>
        <w:rPr>
          <w:rFonts w:ascii="Arial" w:hAnsi="Arial" w:cs="Arial"/>
          <w:sz w:val="24"/>
          <w:szCs w:val="24"/>
        </w:rPr>
        <w:t>Normative Anknüpfungspunkte: Art. 20 II, III, 23 I 1, 28 I 1 GG, aber auch abwehrrechtliche Dimension der Grundrechte (Art. 1-19 GG)</w:t>
      </w:r>
    </w:p>
    <w:p w14:paraId="50E34BFE" w14:textId="77777777" w:rsidR="005A68AA" w:rsidRDefault="00000000">
      <w:pPr>
        <w:pStyle w:val="Listenabsatz"/>
        <w:numPr>
          <w:ilvl w:val="0"/>
          <w:numId w:val="3"/>
        </w:numPr>
        <w:spacing w:line="360" w:lineRule="auto"/>
        <w:jc w:val="both"/>
        <w:rPr>
          <w:rFonts w:ascii="Arial" w:hAnsi="Arial" w:cs="Arial"/>
          <w:sz w:val="24"/>
          <w:szCs w:val="24"/>
        </w:rPr>
      </w:pPr>
      <w:r>
        <w:rPr>
          <w:rFonts w:ascii="Arial" w:hAnsi="Arial" w:cs="Arial"/>
          <w:sz w:val="24"/>
          <w:szCs w:val="24"/>
        </w:rPr>
        <w:t>Bedeutung: Kanalisierung und Kontrolle staatlicher Gewalt</w:t>
      </w:r>
    </w:p>
    <w:p w14:paraId="3AE73F11" w14:textId="77777777" w:rsidR="005A68AA" w:rsidRDefault="00000000">
      <w:pPr>
        <w:pStyle w:val="Listenabsatz"/>
        <w:numPr>
          <w:ilvl w:val="0"/>
          <w:numId w:val="3"/>
        </w:numPr>
        <w:spacing w:line="360" w:lineRule="auto"/>
        <w:jc w:val="both"/>
        <w:rPr>
          <w:rFonts w:ascii="Arial" w:hAnsi="Arial" w:cs="Arial"/>
          <w:sz w:val="24"/>
          <w:szCs w:val="24"/>
        </w:rPr>
      </w:pPr>
      <w:r>
        <w:rPr>
          <w:rFonts w:ascii="Arial" w:hAnsi="Arial" w:cs="Arial"/>
          <w:sz w:val="24"/>
          <w:szCs w:val="24"/>
        </w:rPr>
        <w:lastRenderedPageBreak/>
        <w:t>Teilgarantien: Gewaltenteilung (Art. 20 II 2 GG), Vorrang und Vorbehalt des Gesetzes (Art. 20 III GG), Verhältnismäßigkeit, Rechtssicherheit/Vertrauensschutz (zusätzlich strafrechtliches Rückwirkungsverbot [Art. 103 II GG]), Justizgewährleistung u. effektiver Rechtsschutz (Art. 103, Art. 19 IV,); Bestimmtheitsgrundsatz</w:t>
      </w:r>
    </w:p>
    <w:p w14:paraId="546B4950" w14:textId="77777777" w:rsidR="005A68AA" w:rsidRDefault="005A68AA">
      <w:pPr>
        <w:spacing w:line="360" w:lineRule="auto"/>
        <w:jc w:val="both"/>
        <w:rPr>
          <w:rFonts w:ascii="Arial" w:hAnsi="Arial" w:cs="Arial"/>
          <w:sz w:val="24"/>
          <w:szCs w:val="24"/>
        </w:rPr>
      </w:pPr>
    </w:p>
    <w:p w14:paraId="32E86F9C" w14:textId="77777777" w:rsidR="005A68AA" w:rsidRDefault="00000000">
      <w:pPr>
        <w:spacing w:line="360" w:lineRule="auto"/>
        <w:jc w:val="both"/>
        <w:rPr>
          <w:rFonts w:ascii="Arial" w:hAnsi="Arial" w:cs="Arial"/>
          <w:b/>
          <w:bCs/>
          <w:sz w:val="24"/>
          <w:szCs w:val="24"/>
        </w:rPr>
      </w:pPr>
      <w:r>
        <w:rPr>
          <w:rFonts w:ascii="Arial" w:hAnsi="Arial" w:cs="Arial"/>
          <w:b/>
          <w:bCs/>
          <w:sz w:val="24"/>
          <w:szCs w:val="24"/>
        </w:rPr>
        <w:t>2. Vereinbarkeit des § 56a mit dem Rechtsstaatsprinzip</w:t>
      </w:r>
    </w:p>
    <w:p w14:paraId="1A0E7C94" w14:textId="77777777" w:rsidR="005A68AA" w:rsidRDefault="00000000">
      <w:pPr>
        <w:spacing w:line="360" w:lineRule="auto"/>
        <w:jc w:val="both"/>
        <w:rPr>
          <w:rFonts w:ascii="Arial" w:hAnsi="Arial" w:cs="Arial"/>
          <w:b/>
          <w:sz w:val="24"/>
          <w:szCs w:val="24"/>
        </w:rPr>
      </w:pPr>
      <w:r>
        <w:rPr>
          <w:rFonts w:ascii="Arial" w:hAnsi="Arial" w:cs="Arial"/>
          <w:b/>
          <w:sz w:val="24"/>
          <w:szCs w:val="24"/>
        </w:rPr>
        <w:t>a. § 56a I</w:t>
      </w:r>
    </w:p>
    <w:p w14:paraId="38CE097D" w14:textId="77777777" w:rsidR="005A68AA" w:rsidRDefault="00000000">
      <w:pPr>
        <w:pStyle w:val="Listenabsatz"/>
        <w:numPr>
          <w:ilvl w:val="0"/>
          <w:numId w:val="3"/>
        </w:numPr>
        <w:spacing w:line="360" w:lineRule="auto"/>
        <w:jc w:val="both"/>
        <w:rPr>
          <w:rFonts w:ascii="Arial" w:hAnsi="Arial" w:cs="Arial"/>
          <w:bCs/>
          <w:sz w:val="24"/>
          <w:szCs w:val="24"/>
        </w:rPr>
      </w:pPr>
      <w:r>
        <w:rPr>
          <w:rFonts w:ascii="Arial" w:hAnsi="Arial" w:cs="Arial"/>
          <w:sz w:val="24"/>
          <w:szCs w:val="24"/>
        </w:rPr>
        <w:t xml:space="preserve">Verstoß gegen den Bestimmtheitsgrundsatz </w:t>
      </w:r>
      <w:r>
        <w:rPr>
          <w:rFonts w:ascii="Arial" w:hAnsi="Arial" w:cs="Arial"/>
          <w:bCs/>
          <w:sz w:val="24"/>
          <w:szCs w:val="24"/>
        </w:rPr>
        <w:t xml:space="preserve">(siehe § 56a I 1 </w:t>
      </w:r>
      <w:r>
        <w:rPr>
          <w:rFonts w:ascii="Arial" w:hAnsi="Arial" w:cs="Arial"/>
          <w:bCs/>
          <w:i/>
          <w:iCs/>
          <w:sz w:val="24"/>
          <w:szCs w:val="24"/>
        </w:rPr>
        <w:t xml:space="preserve">„gymnasiale Gepflogenheiten“, „geeignete Maßnahmen“; </w:t>
      </w:r>
      <w:r>
        <w:rPr>
          <w:rFonts w:ascii="Arial" w:hAnsi="Arial" w:cs="Arial"/>
          <w:bCs/>
          <w:sz w:val="24"/>
          <w:szCs w:val="24"/>
        </w:rPr>
        <w:t xml:space="preserve">§ 56a I 2 </w:t>
      </w:r>
      <w:r>
        <w:rPr>
          <w:rFonts w:ascii="Arial" w:hAnsi="Arial" w:cs="Arial"/>
          <w:bCs/>
          <w:i/>
          <w:iCs/>
          <w:sz w:val="24"/>
          <w:szCs w:val="24"/>
        </w:rPr>
        <w:t>„grobe Verstöße“</w:t>
      </w:r>
      <w:r>
        <w:rPr>
          <w:rFonts w:ascii="Arial" w:hAnsi="Arial" w:cs="Arial"/>
          <w:bCs/>
          <w:sz w:val="24"/>
          <w:szCs w:val="24"/>
        </w:rPr>
        <w:t>)</w:t>
      </w:r>
    </w:p>
    <w:p w14:paraId="534EE470" w14:textId="77777777" w:rsidR="005A68AA" w:rsidRDefault="00000000">
      <w:pPr>
        <w:pStyle w:val="Listenabsatz"/>
        <w:numPr>
          <w:ilvl w:val="1"/>
          <w:numId w:val="3"/>
        </w:numPr>
        <w:spacing w:line="360" w:lineRule="auto"/>
        <w:jc w:val="both"/>
        <w:rPr>
          <w:rFonts w:ascii="Arial" w:hAnsi="Arial" w:cs="Arial"/>
          <w:sz w:val="24"/>
          <w:szCs w:val="24"/>
        </w:rPr>
      </w:pPr>
      <w:r>
        <w:rPr>
          <w:rFonts w:ascii="Arial" w:hAnsi="Arial" w:cs="Arial"/>
          <w:sz w:val="24"/>
          <w:szCs w:val="24"/>
        </w:rPr>
        <w:t>Inhalt: Klare und hinreichend bestimmbare Normen, sodass Bürgerinnen und Bürger eindeutig vermittelt wird, welche Rechte sie besitzen und welche Pflichten ihnen obliegen.</w:t>
      </w:r>
    </w:p>
    <w:p w14:paraId="149E8956" w14:textId="77777777" w:rsidR="005A68AA" w:rsidRDefault="00000000">
      <w:pPr>
        <w:pStyle w:val="Listenabsatz"/>
        <w:spacing w:line="360" w:lineRule="auto"/>
        <w:ind w:left="1440"/>
        <w:jc w:val="both"/>
        <w:rPr>
          <w:rFonts w:ascii="Arial" w:hAnsi="Arial" w:cs="Arial"/>
          <w:sz w:val="24"/>
          <w:szCs w:val="24"/>
        </w:rPr>
      </w:pPr>
      <w:r>
        <w:rPr>
          <w:rFonts w:ascii="Arial" w:hAnsi="Arial" w:cs="Arial"/>
          <w:sz w:val="24"/>
          <w:szCs w:val="24"/>
        </w:rPr>
        <w:t>Bürgerinnen und Bürger müssen erkennen können, was von ihnen verlangt und welche Rechtsfolge angeordnet wird, damit sie ihr Verhalten an den Gesetzen ausrichten können.</w:t>
      </w:r>
    </w:p>
    <w:p w14:paraId="21076A42" w14:textId="77777777" w:rsidR="005A68AA" w:rsidRDefault="00000000">
      <w:pPr>
        <w:pStyle w:val="Listenabsatz"/>
        <w:numPr>
          <w:ilvl w:val="1"/>
          <w:numId w:val="3"/>
        </w:numPr>
        <w:spacing w:line="360" w:lineRule="auto"/>
        <w:jc w:val="both"/>
        <w:rPr>
          <w:rFonts w:ascii="Arial" w:hAnsi="Arial" w:cs="Arial"/>
          <w:sz w:val="24"/>
          <w:szCs w:val="24"/>
        </w:rPr>
      </w:pPr>
      <w:r>
        <w:rPr>
          <w:rFonts w:ascii="Arial" w:hAnsi="Arial" w:cs="Arial"/>
          <w:sz w:val="24"/>
          <w:szCs w:val="24"/>
        </w:rPr>
        <w:t>Subsumtion/Ergebnis: Weder auf Tatbestandsseite (</w:t>
      </w:r>
      <w:r>
        <w:rPr>
          <w:rFonts w:ascii="Arial" w:hAnsi="Arial" w:cs="Arial"/>
          <w:bCs/>
          <w:i/>
          <w:iCs/>
          <w:sz w:val="24"/>
          <w:szCs w:val="24"/>
        </w:rPr>
        <w:t xml:space="preserve">„gymnasiale Gepflogenheiten“, </w:t>
      </w:r>
      <w:r>
        <w:rPr>
          <w:rFonts w:ascii="Arial" w:hAnsi="Arial" w:cs="Arial"/>
          <w:bCs/>
          <w:sz w:val="24"/>
          <w:szCs w:val="24"/>
        </w:rPr>
        <w:t xml:space="preserve">§ 56a I 2 </w:t>
      </w:r>
      <w:r>
        <w:rPr>
          <w:rFonts w:ascii="Arial" w:hAnsi="Arial" w:cs="Arial"/>
          <w:bCs/>
          <w:i/>
          <w:iCs/>
          <w:sz w:val="24"/>
          <w:szCs w:val="24"/>
        </w:rPr>
        <w:t>„grobe Verstöße“</w:t>
      </w:r>
      <w:r>
        <w:rPr>
          <w:rFonts w:ascii="Arial" w:hAnsi="Arial" w:cs="Arial"/>
          <w:bCs/>
          <w:sz w:val="24"/>
          <w:szCs w:val="24"/>
        </w:rPr>
        <w:t>)</w:t>
      </w:r>
      <w:r>
        <w:rPr>
          <w:rFonts w:ascii="Arial" w:hAnsi="Arial" w:cs="Arial"/>
          <w:sz w:val="24"/>
          <w:szCs w:val="24"/>
        </w:rPr>
        <w:t xml:space="preserve"> noch auf Rechtsfolgenseite (</w:t>
      </w:r>
      <w:r>
        <w:rPr>
          <w:rFonts w:ascii="Arial" w:hAnsi="Arial" w:cs="Arial"/>
          <w:bCs/>
          <w:i/>
          <w:iCs/>
          <w:sz w:val="24"/>
          <w:szCs w:val="24"/>
        </w:rPr>
        <w:t xml:space="preserve">„geeignete Maßnahmen“) </w:t>
      </w:r>
      <w:r>
        <w:rPr>
          <w:rFonts w:ascii="Arial" w:hAnsi="Arial" w:cs="Arial"/>
          <w:sz w:val="24"/>
          <w:szCs w:val="24"/>
        </w:rPr>
        <w:t>genügt der Gesetzgeber dem Bestimmtheitsgrundsatz. Zum einen ist nicht klar, welches Verhalten als sanktionswürdig erachtet wird, zum anderen sind die drohenden Konsequenzen vollkommen offen. Den Schülerinnen und Schülern wird daher nicht kommuniziert, wie sie sich zu verhalten haben und welche Konsequenzen drohen, wenn ein Fehlverhalten vorliegt. § 56a I verstößt somit insgesamt gegen den Bestimmtheitsgrundsatz.</w:t>
      </w:r>
    </w:p>
    <w:p w14:paraId="34841A6D" w14:textId="77777777" w:rsidR="005A68AA" w:rsidRDefault="005A68AA">
      <w:pPr>
        <w:spacing w:line="360" w:lineRule="auto"/>
        <w:jc w:val="both"/>
        <w:rPr>
          <w:rFonts w:ascii="Arial" w:hAnsi="Arial" w:cs="Arial"/>
          <w:sz w:val="24"/>
          <w:szCs w:val="24"/>
        </w:rPr>
      </w:pPr>
    </w:p>
    <w:p w14:paraId="4AF6A722" w14:textId="77777777" w:rsidR="005A68AA" w:rsidRDefault="00000000">
      <w:pPr>
        <w:pStyle w:val="Listenabsatz"/>
        <w:numPr>
          <w:ilvl w:val="0"/>
          <w:numId w:val="3"/>
        </w:numPr>
        <w:spacing w:line="360" w:lineRule="auto"/>
        <w:jc w:val="both"/>
        <w:rPr>
          <w:rFonts w:ascii="Arial" w:hAnsi="Arial" w:cs="Arial"/>
          <w:sz w:val="24"/>
          <w:szCs w:val="24"/>
        </w:rPr>
      </w:pPr>
      <w:r>
        <w:rPr>
          <w:rFonts w:ascii="Arial" w:hAnsi="Arial" w:cs="Arial"/>
          <w:sz w:val="24"/>
          <w:szCs w:val="24"/>
        </w:rPr>
        <w:t>Verstoß gegen den Verhältnismäßigkeitsgrundsatz (Ausschluss von den Abiturprüfungen)</w:t>
      </w:r>
    </w:p>
    <w:p w14:paraId="73768D87" w14:textId="77777777" w:rsidR="005A68AA" w:rsidRDefault="00000000">
      <w:pPr>
        <w:pStyle w:val="Listenabsatz"/>
        <w:numPr>
          <w:ilvl w:val="1"/>
          <w:numId w:val="3"/>
        </w:numPr>
        <w:spacing w:line="360" w:lineRule="auto"/>
        <w:jc w:val="both"/>
        <w:rPr>
          <w:rFonts w:ascii="Arial" w:hAnsi="Arial" w:cs="Arial"/>
          <w:color w:val="000000" w:themeColor="text1"/>
          <w:sz w:val="24"/>
          <w:szCs w:val="24"/>
        </w:rPr>
      </w:pPr>
      <w:r>
        <w:rPr>
          <w:rFonts w:ascii="Arial" w:hAnsi="Arial" w:cs="Arial"/>
          <w:sz w:val="24"/>
          <w:szCs w:val="24"/>
        </w:rPr>
        <w:t xml:space="preserve">Anwendbar im Verhältnis Schüler-Schule/Lehrer? Kein „besonderes Gewaltverhältnis“ </w:t>
      </w:r>
      <w:r>
        <w:rPr>
          <w:rFonts w:ascii="Arial" w:hAnsi="Arial" w:cs="Arial"/>
          <w:color w:val="000000" w:themeColor="text1"/>
          <w:sz w:val="24"/>
          <w:szCs w:val="24"/>
        </w:rPr>
        <w:t>(</w:t>
      </w:r>
      <w:r>
        <w:rPr>
          <w:rFonts w:ascii="Arial" w:hAnsi="Arial" w:cs="Arial"/>
          <w:i/>
          <w:iCs/>
          <w:color w:val="000000" w:themeColor="text1"/>
          <w:sz w:val="24"/>
          <w:szCs w:val="24"/>
        </w:rPr>
        <w:t xml:space="preserve">„Lehre vom besonderen Gewaltverhältnis […] obsolet“, Poscher/​Kingreen in: Kingreen/​Poscher, Grundrechte. Staatsrecht II, </w:t>
      </w:r>
      <w:r>
        <w:rPr>
          <w:rFonts w:ascii="Arial" w:hAnsi="Arial" w:cs="Arial"/>
          <w:i/>
          <w:iCs/>
          <w:color w:val="000000" w:themeColor="text1"/>
          <w:sz w:val="24"/>
          <w:szCs w:val="24"/>
        </w:rPr>
        <w:lastRenderedPageBreak/>
        <w:t xml:space="preserve">40. Auflage 2024, § 5 Grundrechtsberechtigung und -bindung, </w:t>
      </w:r>
      <w:proofErr w:type="spellStart"/>
      <w:r>
        <w:rPr>
          <w:rFonts w:ascii="Arial" w:hAnsi="Arial" w:cs="Arial"/>
          <w:i/>
          <w:iCs/>
          <w:color w:val="000000" w:themeColor="text1"/>
          <w:sz w:val="24"/>
          <w:szCs w:val="24"/>
        </w:rPr>
        <w:t>Rn</w:t>
      </w:r>
      <w:proofErr w:type="spellEnd"/>
      <w:r>
        <w:rPr>
          <w:rFonts w:ascii="Arial" w:hAnsi="Arial" w:cs="Arial"/>
          <w:i/>
          <w:iCs/>
          <w:color w:val="000000" w:themeColor="text1"/>
          <w:sz w:val="24"/>
          <w:szCs w:val="24"/>
        </w:rPr>
        <w:t>. 257</w:t>
      </w:r>
      <w:r>
        <w:rPr>
          <w:rFonts w:ascii="Arial" w:hAnsi="Arial" w:cs="Arial"/>
          <w:color w:val="000000" w:themeColor="text1"/>
          <w:sz w:val="24"/>
          <w:szCs w:val="24"/>
        </w:rPr>
        <w:t xml:space="preserve">; auch dazu: </w:t>
      </w:r>
      <w:r>
        <w:rPr>
          <w:rFonts w:ascii="Arial" w:hAnsi="Arial" w:cs="Arial"/>
          <w:i/>
          <w:iCs/>
          <w:color w:val="000000" w:themeColor="text1"/>
          <w:sz w:val="24"/>
          <w:szCs w:val="24"/>
        </w:rPr>
        <w:t>BVerfGE 33, 1</w:t>
      </w:r>
      <w:r>
        <w:rPr>
          <w:rFonts w:ascii="Arial" w:hAnsi="Arial" w:cs="Arial"/>
          <w:color w:val="000000" w:themeColor="text1"/>
          <w:sz w:val="24"/>
          <w:szCs w:val="24"/>
        </w:rPr>
        <w:t>)</w:t>
      </w:r>
    </w:p>
    <w:p w14:paraId="26206D81" w14:textId="77777777" w:rsidR="005A68AA" w:rsidRDefault="00000000">
      <w:pPr>
        <w:pStyle w:val="Listenabsatz"/>
        <w:numPr>
          <w:ilvl w:val="1"/>
          <w:numId w:val="3"/>
        </w:numPr>
        <w:spacing w:line="360" w:lineRule="auto"/>
        <w:jc w:val="both"/>
        <w:rPr>
          <w:rFonts w:ascii="Arial" w:hAnsi="Arial" w:cs="Arial"/>
          <w:sz w:val="24"/>
          <w:szCs w:val="24"/>
        </w:rPr>
      </w:pPr>
      <w:r>
        <w:rPr>
          <w:rFonts w:ascii="Arial" w:hAnsi="Arial" w:cs="Arial"/>
          <w:sz w:val="24"/>
          <w:szCs w:val="24"/>
        </w:rPr>
        <w:t>Mit Blick auf Art. 12 GG ein erheblicher Grundrechtseingriff (spätere Berufswahl beeinträchtigt)</w:t>
      </w:r>
    </w:p>
    <w:p w14:paraId="4515B246" w14:textId="77777777" w:rsidR="005A68AA" w:rsidRDefault="00000000">
      <w:pPr>
        <w:pStyle w:val="Listenabsatz"/>
        <w:numPr>
          <w:ilvl w:val="1"/>
          <w:numId w:val="3"/>
        </w:numPr>
        <w:spacing w:line="360" w:lineRule="auto"/>
        <w:jc w:val="both"/>
        <w:rPr>
          <w:rFonts w:ascii="Arial" w:hAnsi="Arial" w:cs="Arial"/>
          <w:sz w:val="24"/>
          <w:szCs w:val="24"/>
        </w:rPr>
      </w:pPr>
      <w:r>
        <w:rPr>
          <w:rFonts w:ascii="Arial" w:hAnsi="Arial" w:cs="Arial"/>
          <w:sz w:val="24"/>
          <w:szCs w:val="24"/>
        </w:rPr>
        <w:t>Hier wohl unverhältnismäßig</w:t>
      </w:r>
    </w:p>
    <w:p w14:paraId="6C64FB0C" w14:textId="77777777" w:rsidR="005A68AA" w:rsidRDefault="00000000">
      <w:pPr>
        <w:pStyle w:val="Listenabsatz"/>
        <w:numPr>
          <w:ilvl w:val="1"/>
          <w:numId w:val="3"/>
        </w:numPr>
        <w:spacing w:line="360" w:lineRule="auto"/>
        <w:jc w:val="both"/>
        <w:rPr>
          <w:rFonts w:ascii="Arial" w:hAnsi="Arial" w:cs="Arial"/>
          <w:sz w:val="24"/>
          <w:szCs w:val="24"/>
        </w:rPr>
      </w:pPr>
      <w:r>
        <w:rPr>
          <w:rFonts w:ascii="Arial" w:hAnsi="Arial" w:cs="Arial"/>
          <w:sz w:val="24"/>
          <w:szCs w:val="24"/>
        </w:rPr>
        <w:t>Anders, wenn zu erwarten ist, dass betroffene Schülerinnen und Schüler während der Prüfung stören wollen</w:t>
      </w:r>
    </w:p>
    <w:p w14:paraId="78FFF078" w14:textId="77777777" w:rsidR="005A68AA" w:rsidRDefault="00000000">
      <w:pPr>
        <w:spacing w:line="360" w:lineRule="auto"/>
        <w:jc w:val="both"/>
        <w:rPr>
          <w:rFonts w:ascii="Arial" w:hAnsi="Arial" w:cs="Arial"/>
          <w:b/>
          <w:sz w:val="24"/>
          <w:szCs w:val="24"/>
        </w:rPr>
      </w:pPr>
      <w:r>
        <w:rPr>
          <w:rFonts w:ascii="Arial" w:hAnsi="Arial" w:cs="Arial"/>
          <w:b/>
          <w:sz w:val="24"/>
          <w:szCs w:val="24"/>
        </w:rPr>
        <w:t>b. § 56a II</w:t>
      </w:r>
    </w:p>
    <w:p w14:paraId="0DB92834" w14:textId="77777777" w:rsidR="005A68AA" w:rsidRDefault="00000000">
      <w:pPr>
        <w:pStyle w:val="Listenabsatz"/>
        <w:numPr>
          <w:ilvl w:val="0"/>
          <w:numId w:val="5"/>
        </w:numPr>
        <w:spacing w:line="360" w:lineRule="auto"/>
        <w:jc w:val="both"/>
        <w:rPr>
          <w:rFonts w:ascii="Arial" w:hAnsi="Arial" w:cs="Arial"/>
          <w:sz w:val="24"/>
          <w:szCs w:val="24"/>
        </w:rPr>
      </w:pPr>
      <w:r>
        <w:rPr>
          <w:rFonts w:ascii="Arial" w:hAnsi="Arial" w:cs="Arial"/>
          <w:sz w:val="24"/>
          <w:szCs w:val="24"/>
        </w:rPr>
        <w:t>Verstoß gegen das Rückwirkungsverbot</w:t>
      </w:r>
    </w:p>
    <w:p w14:paraId="13480911" w14:textId="77777777" w:rsidR="005A68AA" w:rsidRDefault="00000000">
      <w:pPr>
        <w:pStyle w:val="Listenabsatz"/>
        <w:numPr>
          <w:ilvl w:val="1"/>
          <w:numId w:val="5"/>
        </w:numPr>
        <w:spacing w:line="360" w:lineRule="auto"/>
        <w:jc w:val="both"/>
        <w:rPr>
          <w:rFonts w:ascii="Arial" w:hAnsi="Arial" w:cs="Arial"/>
          <w:sz w:val="24"/>
          <w:szCs w:val="24"/>
        </w:rPr>
      </w:pPr>
      <w:r>
        <w:rPr>
          <w:rFonts w:ascii="Arial" w:hAnsi="Arial" w:cs="Arial"/>
          <w:sz w:val="24"/>
          <w:szCs w:val="24"/>
        </w:rPr>
        <w:t>P! Welches Rückwirkungsverbot ist betroffen? Strafrechtliches oder allgemeines?</w:t>
      </w:r>
    </w:p>
    <w:p w14:paraId="4D90912A" w14:textId="77777777" w:rsidR="005A68AA" w:rsidRDefault="00000000">
      <w:pPr>
        <w:pStyle w:val="Listenabsatz"/>
        <w:numPr>
          <w:ilvl w:val="2"/>
          <w:numId w:val="5"/>
        </w:numPr>
        <w:spacing w:line="360" w:lineRule="auto"/>
        <w:jc w:val="both"/>
        <w:rPr>
          <w:rFonts w:ascii="Arial" w:hAnsi="Arial" w:cs="Arial"/>
          <w:sz w:val="24"/>
          <w:szCs w:val="24"/>
        </w:rPr>
      </w:pPr>
      <w:r>
        <w:rPr>
          <w:rFonts w:ascii="Arial" w:hAnsi="Arial" w:cs="Arial"/>
          <w:sz w:val="24"/>
          <w:szCs w:val="24"/>
        </w:rPr>
        <w:t>Regelungszweck des § 56a?</w:t>
      </w:r>
    </w:p>
    <w:p w14:paraId="3E1DD6BE" w14:textId="77777777" w:rsidR="005A68AA" w:rsidRDefault="00000000">
      <w:pPr>
        <w:pStyle w:val="Listenabsatz"/>
        <w:numPr>
          <w:ilvl w:val="3"/>
          <w:numId w:val="5"/>
        </w:numPr>
        <w:spacing w:line="360" w:lineRule="auto"/>
        <w:jc w:val="both"/>
        <w:rPr>
          <w:rFonts w:ascii="Arial" w:hAnsi="Arial" w:cs="Arial"/>
          <w:sz w:val="24"/>
          <w:szCs w:val="24"/>
        </w:rPr>
      </w:pPr>
      <w:r>
        <w:rPr>
          <w:rFonts w:ascii="Arial" w:hAnsi="Arial" w:cs="Arial"/>
          <w:sz w:val="24"/>
          <w:szCs w:val="24"/>
        </w:rPr>
        <w:t xml:space="preserve">Ordnungsrechtliche Regelungen des </w:t>
      </w:r>
      <w:proofErr w:type="spellStart"/>
      <w:r>
        <w:rPr>
          <w:rFonts w:ascii="Arial" w:hAnsi="Arial" w:cs="Arial"/>
          <w:sz w:val="24"/>
          <w:szCs w:val="24"/>
        </w:rPr>
        <w:t>SchulR</w:t>
      </w:r>
      <w:proofErr w:type="spellEnd"/>
      <w:r>
        <w:rPr>
          <w:rFonts w:ascii="Arial" w:hAnsi="Arial" w:cs="Arial"/>
          <w:sz w:val="24"/>
          <w:szCs w:val="24"/>
        </w:rPr>
        <w:t xml:space="preserve"> sind Teil des Gefahrenabwehrrechts (präventiv und nicht repressiv)</w:t>
      </w:r>
    </w:p>
    <w:p w14:paraId="19C412BD" w14:textId="77777777" w:rsidR="005A68AA" w:rsidRDefault="00000000">
      <w:pPr>
        <w:pStyle w:val="Listenabsatz"/>
        <w:numPr>
          <w:ilvl w:val="3"/>
          <w:numId w:val="5"/>
        </w:numPr>
        <w:spacing w:line="360" w:lineRule="auto"/>
        <w:jc w:val="both"/>
        <w:rPr>
          <w:rFonts w:ascii="Arial" w:hAnsi="Arial" w:cs="Arial"/>
          <w:sz w:val="24"/>
          <w:szCs w:val="24"/>
        </w:rPr>
      </w:pPr>
      <w:r>
        <w:rPr>
          <w:rFonts w:ascii="Arial" w:hAnsi="Arial" w:cs="Arial"/>
          <w:sz w:val="24"/>
          <w:szCs w:val="24"/>
        </w:rPr>
        <w:t xml:space="preserve">Sanktionscharakter jedoch hier unverkennbar (siehe Bestrafung = „missbilligende hoheitliche Reaktion auf ein schuldhaftes Verhalten“ </w:t>
      </w:r>
      <w:r>
        <w:rPr>
          <w:rFonts w:ascii="Arial" w:hAnsi="Arial" w:cs="Arial"/>
          <w:color w:val="000000" w:themeColor="text1"/>
          <w:sz w:val="24"/>
          <w:szCs w:val="24"/>
        </w:rPr>
        <w:t xml:space="preserve">(vgl. NJW 2021, 1222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107, </w:t>
      </w:r>
      <w:proofErr w:type="spellStart"/>
      <w:r>
        <w:rPr>
          <w:rFonts w:ascii="Arial" w:hAnsi="Arial" w:cs="Arial"/>
          <w:color w:val="000000" w:themeColor="text1"/>
          <w:sz w:val="24"/>
          <w:szCs w:val="24"/>
        </w:rPr>
        <w:t>beck</w:t>
      </w:r>
      <w:proofErr w:type="spellEnd"/>
      <w:r>
        <w:rPr>
          <w:rFonts w:ascii="Arial" w:hAnsi="Arial" w:cs="Arial"/>
          <w:color w:val="000000" w:themeColor="text1"/>
          <w:sz w:val="24"/>
          <w:szCs w:val="24"/>
        </w:rPr>
        <w:t xml:space="preserve">-online; BeckOK GG/Radtke, 58. Ed. 15.8.2023, GG Art. 103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19, </w:t>
      </w:r>
      <w:proofErr w:type="spellStart"/>
      <w:r>
        <w:rPr>
          <w:rFonts w:ascii="Arial" w:hAnsi="Arial" w:cs="Arial"/>
          <w:color w:val="000000" w:themeColor="text1"/>
          <w:sz w:val="24"/>
          <w:szCs w:val="24"/>
        </w:rPr>
        <w:t>beck</w:t>
      </w:r>
      <w:proofErr w:type="spellEnd"/>
      <w:r>
        <w:rPr>
          <w:rFonts w:ascii="Arial" w:hAnsi="Arial" w:cs="Arial"/>
          <w:color w:val="000000" w:themeColor="text1"/>
          <w:sz w:val="24"/>
          <w:szCs w:val="24"/>
        </w:rPr>
        <w:t>-online)</w:t>
      </w:r>
      <w:r>
        <w:rPr>
          <w:rFonts w:ascii="Arial" w:hAnsi="Arial" w:cs="Arial"/>
          <w:i/>
          <w:iCs/>
          <w:color w:val="FF0000"/>
          <w:sz w:val="24"/>
          <w:szCs w:val="24"/>
        </w:rPr>
        <w:t xml:space="preserve"> </w:t>
      </w:r>
    </w:p>
    <w:p w14:paraId="120F9CBA" w14:textId="77777777" w:rsidR="005A68AA" w:rsidRDefault="00000000">
      <w:pPr>
        <w:pStyle w:val="Listenabsatz"/>
        <w:spacing w:line="360" w:lineRule="auto"/>
        <w:ind w:left="2880"/>
        <w:jc w:val="both"/>
        <w:rPr>
          <w:rFonts w:ascii="Arial" w:hAnsi="Arial" w:cs="Arial"/>
          <w:sz w:val="24"/>
          <w:szCs w:val="24"/>
        </w:rPr>
      </w:pPr>
      <w:r>
        <w:rPr>
          <w:rFonts w:ascii="Arial" w:hAnsi="Arial" w:cs="Arial"/>
          <w:sz w:val="24"/>
          <w:szCs w:val="24"/>
        </w:rPr>
        <w:t>(</w:t>
      </w:r>
      <w:r>
        <w:rPr>
          <w:rFonts w:ascii="Arial" w:hAnsi="Arial" w:cs="Arial"/>
          <w:b/>
          <w:bCs/>
          <w:sz w:val="24"/>
          <w:szCs w:val="24"/>
        </w:rPr>
        <w:t>a. A. gut vertretbar</w:t>
      </w:r>
      <w:r>
        <w:rPr>
          <w:rFonts w:ascii="Arial" w:hAnsi="Arial" w:cs="Arial"/>
          <w:sz w:val="24"/>
          <w:szCs w:val="24"/>
        </w:rPr>
        <w:t>, dann muss allgemeines Rückwirkungsverbot geprüft werden; hier dann Rückbewirkung von Rechtsfolgen (echte Rückwirkung), soweit Störungsmaßnahmen schon abgeschlossen. Folge: Unzulässig, es sei denn, Ausnahmetatbestand greift)</w:t>
      </w:r>
    </w:p>
    <w:p w14:paraId="7BFC4AA8" w14:textId="77777777" w:rsidR="005A68AA" w:rsidRDefault="00000000">
      <w:pPr>
        <w:pStyle w:val="Listenabsatz"/>
        <w:numPr>
          <w:ilvl w:val="1"/>
          <w:numId w:val="5"/>
        </w:numPr>
        <w:spacing w:line="360" w:lineRule="auto"/>
        <w:jc w:val="both"/>
        <w:rPr>
          <w:rFonts w:ascii="Arial" w:hAnsi="Arial" w:cs="Arial"/>
          <w:sz w:val="24"/>
          <w:szCs w:val="24"/>
        </w:rPr>
      </w:pPr>
      <w:r>
        <w:rPr>
          <w:rFonts w:ascii="Arial" w:hAnsi="Arial" w:cs="Arial"/>
          <w:sz w:val="24"/>
          <w:szCs w:val="24"/>
        </w:rPr>
        <w:t>Verstoß hier (+)</w:t>
      </w:r>
    </w:p>
    <w:p w14:paraId="18C90CFD" w14:textId="77777777" w:rsidR="005A68AA" w:rsidRDefault="00000000">
      <w:pPr>
        <w:spacing w:line="360" w:lineRule="auto"/>
        <w:jc w:val="both"/>
        <w:rPr>
          <w:rFonts w:ascii="Arial" w:hAnsi="Arial" w:cs="Arial"/>
          <w:b/>
          <w:sz w:val="24"/>
          <w:szCs w:val="24"/>
        </w:rPr>
      </w:pPr>
      <w:r>
        <w:rPr>
          <w:rFonts w:ascii="Arial" w:hAnsi="Arial" w:cs="Arial"/>
          <w:b/>
          <w:sz w:val="24"/>
          <w:szCs w:val="24"/>
        </w:rPr>
        <w:t>c. § 56a III</w:t>
      </w:r>
    </w:p>
    <w:p w14:paraId="7404066C" w14:textId="77777777" w:rsidR="005A68AA" w:rsidRDefault="00000000">
      <w:pPr>
        <w:pStyle w:val="Listenabsatz"/>
        <w:numPr>
          <w:ilvl w:val="0"/>
          <w:numId w:val="6"/>
        </w:numPr>
        <w:spacing w:line="360" w:lineRule="auto"/>
        <w:jc w:val="both"/>
        <w:rPr>
          <w:rFonts w:ascii="Arial" w:hAnsi="Arial" w:cs="Arial"/>
          <w:bCs/>
          <w:sz w:val="24"/>
          <w:szCs w:val="24"/>
        </w:rPr>
      </w:pPr>
      <w:r>
        <w:rPr>
          <w:rFonts w:ascii="Arial" w:hAnsi="Arial" w:cs="Arial"/>
          <w:bCs/>
          <w:sz w:val="24"/>
          <w:szCs w:val="24"/>
        </w:rPr>
        <w:t>Verstoß gegen Art. 19 IV 1 GG?</w:t>
      </w:r>
    </w:p>
    <w:p w14:paraId="59774622" w14:textId="77777777" w:rsidR="005A68AA" w:rsidRDefault="00000000">
      <w:pPr>
        <w:pStyle w:val="Listenabsatz"/>
        <w:numPr>
          <w:ilvl w:val="1"/>
          <w:numId w:val="6"/>
        </w:numPr>
        <w:spacing w:line="360" w:lineRule="auto"/>
        <w:jc w:val="both"/>
        <w:rPr>
          <w:rFonts w:ascii="Arial" w:hAnsi="Arial" w:cs="Arial"/>
          <w:bCs/>
          <w:sz w:val="24"/>
          <w:szCs w:val="24"/>
        </w:rPr>
      </w:pPr>
      <w:r>
        <w:rPr>
          <w:rFonts w:ascii="Arial" w:hAnsi="Arial" w:cs="Arial"/>
          <w:bCs/>
          <w:sz w:val="24"/>
          <w:szCs w:val="24"/>
        </w:rPr>
        <w:t>Inhalt: Gegen hoheitliche Maßnahmen muss effektiver Rechtsschutz bestehen</w:t>
      </w:r>
    </w:p>
    <w:p w14:paraId="4FCA6B94" w14:textId="77777777" w:rsidR="005A68AA" w:rsidRDefault="00000000">
      <w:pPr>
        <w:pStyle w:val="Listenabsatz"/>
        <w:numPr>
          <w:ilvl w:val="1"/>
          <w:numId w:val="6"/>
        </w:numPr>
        <w:spacing w:line="360" w:lineRule="auto"/>
        <w:jc w:val="both"/>
        <w:rPr>
          <w:rFonts w:ascii="Arial" w:hAnsi="Arial" w:cs="Arial"/>
          <w:bCs/>
          <w:sz w:val="24"/>
          <w:szCs w:val="24"/>
        </w:rPr>
      </w:pPr>
      <w:r>
        <w:rPr>
          <w:rFonts w:ascii="Arial" w:hAnsi="Arial" w:cs="Arial"/>
          <w:bCs/>
          <w:sz w:val="24"/>
          <w:szCs w:val="24"/>
        </w:rPr>
        <w:t xml:space="preserve">Subsumtion: Frist von 24 Stunden verkürzt die Rechtsmittelfrist derart, dass eine Rechtsmitteleinlegung faktisch ausgeschlossen ist; daher Verstoß (+) </w:t>
      </w:r>
    </w:p>
    <w:p w14:paraId="238DF5D1" w14:textId="77777777" w:rsidR="005A68AA" w:rsidRDefault="005A68AA">
      <w:pPr>
        <w:spacing w:line="360" w:lineRule="auto"/>
        <w:jc w:val="both"/>
        <w:rPr>
          <w:rFonts w:ascii="Arial" w:hAnsi="Arial" w:cs="Arial"/>
          <w:bCs/>
          <w:sz w:val="24"/>
          <w:szCs w:val="24"/>
        </w:rPr>
      </w:pPr>
    </w:p>
    <w:p w14:paraId="181C1FBB" w14:textId="77777777" w:rsidR="005A68AA" w:rsidRDefault="00000000">
      <w:pPr>
        <w:spacing w:line="360" w:lineRule="auto"/>
        <w:jc w:val="both"/>
        <w:rPr>
          <w:rFonts w:ascii="Arial" w:hAnsi="Arial" w:cs="Arial"/>
          <w:b/>
          <w:sz w:val="24"/>
          <w:szCs w:val="24"/>
        </w:rPr>
      </w:pPr>
      <w:r>
        <w:rPr>
          <w:rFonts w:ascii="Arial" w:hAnsi="Arial" w:cs="Arial"/>
          <w:b/>
          <w:sz w:val="24"/>
          <w:szCs w:val="24"/>
        </w:rPr>
        <w:t>C. Ergebnis</w:t>
      </w:r>
    </w:p>
    <w:p w14:paraId="09FA0362" w14:textId="77777777" w:rsidR="005A68AA" w:rsidRDefault="00000000">
      <w:pPr>
        <w:spacing w:line="360" w:lineRule="auto"/>
        <w:jc w:val="both"/>
        <w:rPr>
          <w:rFonts w:ascii="Arial" w:hAnsi="Arial" w:cs="Arial"/>
          <w:sz w:val="24"/>
          <w:szCs w:val="24"/>
        </w:rPr>
      </w:pPr>
      <w:r>
        <w:rPr>
          <w:rFonts w:ascii="Arial" w:hAnsi="Arial" w:cs="Arial"/>
          <w:sz w:val="24"/>
          <w:szCs w:val="24"/>
        </w:rPr>
        <w:t>Die zulässige Normenkontrolle ist begründet. Die 158 Abgeordneten können erfolgreich gegen das Landesschulgesetz vorgehen.</w:t>
      </w:r>
    </w:p>
    <w:p w14:paraId="57606DCA" w14:textId="77777777" w:rsidR="005A68AA" w:rsidRDefault="005A68AA">
      <w:pPr>
        <w:spacing w:line="360" w:lineRule="auto"/>
        <w:jc w:val="both"/>
        <w:rPr>
          <w:rFonts w:ascii="Arial" w:hAnsi="Arial" w:cs="Arial"/>
          <w:sz w:val="24"/>
          <w:szCs w:val="24"/>
        </w:rPr>
      </w:pPr>
    </w:p>
    <w:p w14:paraId="727B95A8" w14:textId="77777777" w:rsidR="005A68AA" w:rsidRPr="00684690" w:rsidRDefault="005A68AA" w:rsidP="00684690">
      <w:pPr>
        <w:spacing w:line="360" w:lineRule="auto"/>
        <w:jc w:val="both"/>
        <w:rPr>
          <w:rFonts w:ascii="Arial" w:hAnsi="Arial" w:cs="Arial"/>
          <w:bCs/>
          <w:sz w:val="24"/>
          <w:szCs w:val="24"/>
        </w:rPr>
      </w:pPr>
    </w:p>
    <w:p w14:paraId="0A29342A" w14:textId="77777777" w:rsidR="005A68AA" w:rsidRDefault="005A68AA">
      <w:pPr>
        <w:pStyle w:val="Listenabsatz"/>
        <w:spacing w:line="360" w:lineRule="auto"/>
        <w:ind w:left="567"/>
        <w:rPr>
          <w:rFonts w:ascii="Arial" w:hAnsi="Arial" w:cs="Arial"/>
          <w:sz w:val="24"/>
          <w:szCs w:val="24"/>
        </w:rPr>
      </w:pPr>
    </w:p>
    <w:p w14:paraId="69C2D28C" w14:textId="77777777" w:rsidR="005A68AA" w:rsidRDefault="005A68AA">
      <w:pPr>
        <w:spacing w:line="360" w:lineRule="auto"/>
        <w:ind w:left="3240"/>
        <w:rPr>
          <w:rFonts w:ascii="Arial" w:hAnsi="Arial" w:cs="Arial"/>
          <w:sz w:val="24"/>
          <w:szCs w:val="24"/>
        </w:rPr>
      </w:pPr>
    </w:p>
    <w:sectPr w:rsidR="005A68AA">
      <w:footerReference w:type="default" r:id="rId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83B3" w14:textId="77777777" w:rsidR="00732212" w:rsidRDefault="00732212">
      <w:pPr>
        <w:spacing w:after="0" w:line="240" w:lineRule="auto"/>
      </w:pPr>
      <w:r>
        <w:separator/>
      </w:r>
    </w:p>
  </w:endnote>
  <w:endnote w:type="continuationSeparator" w:id="0">
    <w:p w14:paraId="12CFD503" w14:textId="77777777" w:rsidR="00732212" w:rsidRDefault="0073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Content>
      <w:p w14:paraId="7627518A" w14:textId="77777777" w:rsidR="005A68AA" w:rsidRDefault="00000000">
        <w:pPr>
          <w:pStyle w:val="Fuzeil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0C55" w14:textId="77777777" w:rsidR="00732212" w:rsidRDefault="00732212">
      <w:pPr>
        <w:spacing w:after="0" w:line="240" w:lineRule="auto"/>
      </w:pPr>
      <w:r>
        <w:separator/>
      </w:r>
    </w:p>
  </w:footnote>
  <w:footnote w:type="continuationSeparator" w:id="0">
    <w:p w14:paraId="2BF19C3A" w14:textId="77777777" w:rsidR="00732212" w:rsidRDefault="00732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BCC"/>
    <w:multiLevelType w:val="multilevel"/>
    <w:tmpl w:val="0B2A9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9219F0"/>
    <w:multiLevelType w:val="multilevel"/>
    <w:tmpl w:val="6644D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Arial" w:eastAsiaTheme="minorHAnsi"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D24089"/>
    <w:multiLevelType w:val="multilevel"/>
    <w:tmpl w:val="135E72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39A49F0"/>
    <w:multiLevelType w:val="multilevel"/>
    <w:tmpl w:val="626EAB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471169"/>
    <w:multiLevelType w:val="multilevel"/>
    <w:tmpl w:val="43A0B5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E61E1F"/>
    <w:multiLevelType w:val="multilevel"/>
    <w:tmpl w:val="62A81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51671C"/>
    <w:multiLevelType w:val="multilevel"/>
    <w:tmpl w:val="C8389A9E"/>
    <w:lvl w:ilvl="0">
      <w:start w:val="28"/>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2902085">
    <w:abstractNumId w:val="4"/>
  </w:num>
  <w:num w:numId="2" w16cid:durableId="125859908">
    <w:abstractNumId w:val="3"/>
  </w:num>
  <w:num w:numId="3" w16cid:durableId="1434084732">
    <w:abstractNumId w:val="0"/>
  </w:num>
  <w:num w:numId="4" w16cid:durableId="221528832">
    <w:abstractNumId w:val="2"/>
  </w:num>
  <w:num w:numId="5" w16cid:durableId="194386011">
    <w:abstractNumId w:val="1"/>
  </w:num>
  <w:num w:numId="6" w16cid:durableId="1493522636">
    <w:abstractNumId w:val="5"/>
  </w:num>
  <w:num w:numId="7" w16cid:durableId="1462729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AA"/>
    <w:rsid w:val="00426C0E"/>
    <w:rsid w:val="005A68AA"/>
    <w:rsid w:val="00684690"/>
    <w:rsid w:val="00732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2F2A"/>
  <w15:docId w15:val="{DC83B2FB-05AD-4CD7-98AA-AD5DA075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Pr>
      <w:rFonts w:ascii="Times New Roman" w:hAnsi="Times New Roman"/>
      <w:sz w:val="20"/>
      <w:szCs w:val="20"/>
    </w:rPr>
  </w:style>
  <w:style w:type="character" w:styleId="Funotenzeichen">
    <w:name w:val="footnote reference"/>
    <w:basedOn w:val="Absatz-Standardschriftart"/>
    <w:uiPriority w:val="99"/>
    <w:unhideWhenUse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Pr>
      <w:rFonts w:ascii="Times New Roman" w:hAnsi="Times New Roman"/>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pPr>
      <w:spacing w:line="240" w:lineRule="auto"/>
    </w:pPr>
    <w:rPr>
      <w:sz w:val="24"/>
      <w:szCs w:val="24"/>
    </w:rPr>
  </w:style>
  <w:style w:type="character" w:customStyle="1" w:styleId="KommentartextZchn">
    <w:name w:val="Kommentartext Zchn"/>
    <w:basedOn w:val="Absatz-Standardschriftart"/>
    <w:link w:val="Kommentartext"/>
    <w:uiPriority w:val="99"/>
    <w:semiHidden/>
    <w:rPr>
      <w:sz w:val="24"/>
      <w:szCs w:val="24"/>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berarbeitung">
    <w:name w:val="Revision"/>
    <w:hidden/>
    <w:uiPriority w:val="99"/>
    <w:semiHidden/>
    <w:pPr>
      <w:spacing w:after="0" w:line="240" w:lineRule="auto"/>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6529-9053-45BB-9E9E-7C79C864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972</Words>
  <Characters>6129</Characters>
  <Application>Microsoft Office Word</Application>
  <DocSecurity>0</DocSecurity>
  <Lines>51</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12</cp:revision>
  <dcterms:created xsi:type="dcterms:W3CDTF">2024-09-12T09:29:00Z</dcterms:created>
  <dcterms:modified xsi:type="dcterms:W3CDTF">2025-09-24T14:44:00Z</dcterms:modified>
</cp:coreProperties>
</file>