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AB39" w14:textId="62C5204C" w:rsidR="007C26A3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Fall 1.1: Wintersemester 202</w:t>
      </w:r>
      <w:r w:rsidR="00B55815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B55815">
        <w:rPr>
          <w:rFonts w:ascii="Arial" w:hAnsi="Arial" w:cs="Arial"/>
        </w:rPr>
        <w:t>6</w:t>
      </w:r>
    </w:p>
    <w:p w14:paraId="184A97B4" w14:textId="77777777" w:rsidR="007C26A3" w:rsidRDefault="007C26A3">
      <w:pPr>
        <w:rPr>
          <w:rFonts w:ascii="Arial" w:hAnsi="Arial" w:cs="Arial"/>
        </w:rPr>
      </w:pPr>
    </w:p>
    <w:p w14:paraId="00AAA0BF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Frage 1: </w:t>
      </w:r>
    </w:p>
    <w:p w14:paraId="2CE57663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Angesichts der erfreulichen Entwicklung der Europäischen Union zu einer politischen Union möchte die Bundestagsfraktion F einer Gesetzesvorlage in den Bundestag einbringen, wonach durch Gesetz künftig auch Bürgern aus Staaten der Europäischen Union, die sich bereits seit 5 Jahren in der BRD befinden und hier ihren Wohnsitz haben, das Wahlrecht zum Bundestag gewährt wird.</w:t>
      </w:r>
    </w:p>
    <w:p w14:paraId="79FB73E0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Wäre das Gesetz materiell verfassungsgemäß?</w:t>
      </w:r>
    </w:p>
    <w:p w14:paraId="3E9961C2" w14:textId="77777777" w:rsidR="007C26A3" w:rsidRDefault="007C26A3">
      <w:pPr>
        <w:spacing w:line="276" w:lineRule="auto"/>
        <w:jc w:val="both"/>
        <w:rPr>
          <w:rFonts w:ascii="Arial" w:hAnsi="Arial" w:cs="Arial"/>
        </w:rPr>
      </w:pPr>
    </w:p>
    <w:p w14:paraId="1D4817A3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Frage 2:</w:t>
      </w:r>
    </w:p>
    <w:p w14:paraId="71BF789E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Auch im Land L wird die Einführung des Wahlrechts für Europäer erwogen. Ist das zulässig?</w:t>
      </w:r>
    </w:p>
    <w:p w14:paraId="59832C46" w14:textId="77777777" w:rsidR="007C26A3" w:rsidRDefault="007C26A3">
      <w:pPr>
        <w:spacing w:line="276" w:lineRule="auto"/>
        <w:jc w:val="both"/>
        <w:rPr>
          <w:rFonts w:ascii="Arial" w:hAnsi="Arial" w:cs="Arial"/>
        </w:rPr>
      </w:pPr>
    </w:p>
    <w:p w14:paraId="18466268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Frage 3:</w:t>
      </w:r>
    </w:p>
    <w:p w14:paraId="5F39F59D" w14:textId="77777777" w:rsidR="007C26A3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Angenommen, Sie kommen zu dem Ergebnis, dass ein Ausländerwahlrecht nach der momentanen Gesetzeslage nicht zulässig sei: Prüfen Sie die Möglichkeiten, ein Wahlrecht für Ausländer einzuführen.</w:t>
      </w:r>
    </w:p>
    <w:p w14:paraId="4D906CF7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cs="Arial"/>
        </w:rPr>
        <w:lastRenderedPageBreak/>
        <w:t>Lösung</w:t>
      </w:r>
    </w:p>
    <w:p w14:paraId="38B10CE8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Frage 1:</w:t>
      </w:r>
    </w:p>
    <w:p w14:paraId="7B48FD90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A. Demokratieprinzip</w:t>
      </w:r>
    </w:p>
    <w:p w14:paraId="3A3482FC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Das Gesetz könnte gegen das Demokratieprinzip aus Art. 20 II 1 GG verstoßen.</w:t>
      </w:r>
    </w:p>
    <w:p w14:paraId="0B91D930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Alle Staatsgewalt geht vom Volke aus</w:t>
      </w:r>
    </w:p>
    <w:p w14:paraId="7545BF88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Volk aus Souverän“ = Träger der Staatsgewalt </w:t>
      </w:r>
    </w:p>
    <w:p w14:paraId="0FD1ADFC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Das Wahlrecht als Grundpfeiler demokratischer Legitimation der die Staatsgewalt ausführenden Organe (Art. 20 II 2 GG)</w:t>
      </w:r>
    </w:p>
    <w:p w14:paraId="7A0C4D79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Bedeutend für die Ausübung des Wahlrechts: das „Volk“</w:t>
      </w:r>
    </w:p>
    <w:p w14:paraId="45050C40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6DB3BF4D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Wer ist das Volk i.S.d. Art. 20 II 1 GG? </w:t>
      </w:r>
      <w:r>
        <w:rPr>
          <w:rFonts w:ascii="Wingdings" w:eastAsia="Wingdings" w:hAnsi="Wingdings" w:cs="Wingdings"/>
        </w:rPr>
        <w:t>à</w:t>
      </w:r>
      <w:r>
        <w:rPr>
          <w:rFonts w:ascii="Arial" w:hAnsi="Arial" w:cs="Arial"/>
        </w:rPr>
        <w:t xml:space="preserve"> Auslegung</w:t>
      </w:r>
    </w:p>
    <w:p w14:paraId="23BED4D3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Wortlaut: „Volk“ wenig aussagekräftig</w:t>
      </w:r>
    </w:p>
    <w:p w14:paraId="6AF77333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Systematik: </w:t>
      </w:r>
    </w:p>
    <w:p w14:paraId="320B4F7C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vgl. Präambel des GG: nennt „die Deutschen“ und das „Deutsche Volk“</w:t>
      </w:r>
    </w:p>
    <w:p w14:paraId="76F50782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Eid des BP (Art. 56 GG) und der Mitglieder der BReg (Art. 64 II GG): schwören auf das „Deutsche Volk“</w:t>
      </w:r>
    </w:p>
    <w:p w14:paraId="312E00A9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Auch Art. 146 GG nennt das „Deutsche Volk“</w:t>
      </w:r>
    </w:p>
    <w:p w14:paraId="4CDC25BE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Aus Art. 28 I 3 GG: EU-Ausländer nur ausnahmsweise wahlberechtigt </w:t>
      </w:r>
    </w:p>
    <w:p w14:paraId="34A0B567" w14:textId="77777777" w:rsidR="007C26A3" w:rsidRDefault="007C26A3">
      <w:pPr>
        <w:pStyle w:val="Listenabsatz"/>
        <w:spacing w:line="276" w:lineRule="auto"/>
        <w:ind w:left="1440"/>
        <w:rPr>
          <w:rFonts w:ascii="Arial" w:hAnsi="Arial" w:cs="Arial"/>
        </w:rPr>
      </w:pPr>
    </w:p>
    <w:p w14:paraId="145BFFEB" w14:textId="77777777" w:rsidR="007C26A3" w:rsidRDefault="00000000">
      <w:pPr>
        <w:pStyle w:val="Listenabsatz"/>
        <w:spacing w:line="276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t>à</w:t>
      </w:r>
      <w:r>
        <w:rPr>
          <w:rFonts w:ascii="Arial" w:hAnsi="Arial" w:cs="Arial"/>
        </w:rPr>
        <w:t xml:space="preserve"> deutsche Staatsangehörigkeit (Art. 116 I GG)</w:t>
      </w:r>
    </w:p>
    <w:p w14:paraId="2875A97F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44F43FC8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ABER: Sinn und Zweck / teleologische Auslegung:</w:t>
      </w:r>
    </w:p>
    <w:p w14:paraId="693FC2E8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Zunehmender Anteil von Ausländern an der Gesamtbevölkerung = „Volk“ könnte alle erfassen, die sich dauerhaft in Deutschland aufhalten</w:t>
      </w:r>
    </w:p>
    <w:p w14:paraId="4E2523A9" w14:textId="77777777" w:rsidR="007C26A3" w:rsidRDefault="007C26A3">
      <w:pPr>
        <w:pStyle w:val="Listenabsatz"/>
        <w:spacing w:line="276" w:lineRule="auto"/>
        <w:ind w:left="1440"/>
        <w:rPr>
          <w:rFonts w:ascii="Arial" w:hAnsi="Arial" w:cs="Arial"/>
        </w:rPr>
      </w:pPr>
    </w:p>
    <w:p w14:paraId="01D5DB06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DAGEGEN: Art. 20 II GG bezieht sich auf das „Staatsvolk“: Teil des Staatsbegriff (Jellinek) = insbesondere dauerhafte Beziehung zum Staat, dauerhaftes </w:t>
      </w:r>
      <w:proofErr w:type="spellStart"/>
      <w:r>
        <w:rPr>
          <w:rFonts w:ascii="Arial" w:hAnsi="Arial" w:cs="Arial"/>
        </w:rPr>
        <w:t>Unterworfensein</w:t>
      </w:r>
      <w:proofErr w:type="spellEnd"/>
      <w:r>
        <w:rPr>
          <w:rFonts w:ascii="Arial" w:hAnsi="Arial" w:cs="Arial"/>
        </w:rPr>
        <w:t xml:space="preserve"> unter die Staatsgewalt, Erfordernis und Berechtigung zur demokratischen Legitimation derselbigen (Gebiets- und Personalhoheit des Staates)</w:t>
      </w:r>
    </w:p>
    <w:p w14:paraId="04401361" w14:textId="77777777" w:rsidR="007C26A3" w:rsidRDefault="007C26A3">
      <w:pPr>
        <w:pStyle w:val="Listenabsatz"/>
        <w:spacing w:line="276" w:lineRule="auto"/>
        <w:rPr>
          <w:rFonts w:ascii="Arial" w:hAnsi="Arial" w:cs="Arial"/>
        </w:rPr>
      </w:pPr>
    </w:p>
    <w:p w14:paraId="29342B70" w14:textId="77777777" w:rsidR="007C26A3" w:rsidRDefault="00000000">
      <w:pPr>
        <w:pStyle w:val="Listenabsatz"/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Bedeutend: Unionsbürger zwar der Gebietshoheit Deutschlands, aber der Personalhoheit ihres Heimatstaates unterworfen; können sich der deutschen Hoheit jederzeit durch Ausreise entziehen – unabhängig ihrer kulturellen Verknüpfung und Integration</w:t>
      </w:r>
    </w:p>
    <w:p w14:paraId="51731ED3" w14:textId="77777777" w:rsidR="007C26A3" w:rsidRDefault="007C26A3">
      <w:pPr>
        <w:pStyle w:val="Listenabsatz"/>
        <w:spacing w:line="276" w:lineRule="auto"/>
        <w:rPr>
          <w:rFonts w:ascii="Arial" w:hAnsi="Arial" w:cs="Arial"/>
        </w:rPr>
      </w:pPr>
    </w:p>
    <w:p w14:paraId="4872699E" w14:textId="77777777" w:rsidR="007C26A3" w:rsidRDefault="00000000">
      <w:pPr>
        <w:pStyle w:val="Listenabsatz"/>
        <w:spacing w:line="276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t>à</w:t>
      </w:r>
      <w:r>
        <w:rPr>
          <w:rFonts w:ascii="Arial" w:hAnsi="Arial" w:cs="Arial"/>
        </w:rPr>
        <w:t xml:space="preserve"> keine derartige „dauerhafte Verbindung“ zum deutschen Staat wie sie von Art. 20 II 1 GG gefordert wird</w:t>
      </w:r>
    </w:p>
    <w:p w14:paraId="684AB633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153CC0A2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Folge: nur das „deutsche“ Volk ist wahlberechtigt. Ein Ausländerwahlrecht verstieße gegen Art. 20 II 1 GG.</w:t>
      </w:r>
    </w:p>
    <w:p w14:paraId="56B6D53A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3F1EEBC3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20475B94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Frage 2:</w:t>
      </w:r>
    </w:p>
    <w:p w14:paraId="6C90F808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Unzulässigkeit auf Landesebene? </w:t>
      </w:r>
    </w:p>
    <w:p w14:paraId="10883EC0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Nur unzulässig, wenn Art. 20 II 1 GG wie oben Anwendung findet </w:t>
      </w:r>
    </w:p>
    <w:p w14:paraId="55DBF855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Dazu Art. 28 I 2 GG: ebenfalls der Begriff „Volk“ </w:t>
      </w:r>
    </w:p>
    <w:p w14:paraId="72D2B1A3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Einheitliches Begriffsverständnis im GG erforderlich (Einheit zwischen Bund und Ländern)</w:t>
      </w:r>
    </w:p>
    <w:p w14:paraId="17F5B57A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Umkehrschluss aus Art. 28 I 3 GG: Ausländerwahlrecht nur bei Kommunalwahlen </w:t>
      </w:r>
    </w:p>
    <w:p w14:paraId="483FB527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4F157CF9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Folge: Ausländerwahlrecht auch auf Landesebene unzulässig.</w:t>
      </w:r>
    </w:p>
    <w:p w14:paraId="06683434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66A756E6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3CBDB59C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Frage 3: </w:t>
      </w:r>
    </w:p>
    <w:p w14:paraId="54ECE568" w14:textId="77777777" w:rsidR="007C26A3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Verfassungsänderung:</w:t>
      </w:r>
    </w:p>
    <w:p w14:paraId="1F29A86A" w14:textId="77777777" w:rsidR="007C26A3" w:rsidRDefault="00000000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Möglichkeit: Änderung des Art. 20 II 1 GG in: „Alle Staatsgewalt geht von den auf dem Staatsgebiet Wohnenden aus.“ </w:t>
      </w:r>
    </w:p>
    <w:p w14:paraId="1C2EB7FC" w14:textId="77777777" w:rsidR="007C26A3" w:rsidRDefault="007C26A3">
      <w:pPr>
        <w:pStyle w:val="Listenabsatz"/>
        <w:spacing w:line="276" w:lineRule="auto"/>
        <w:rPr>
          <w:rFonts w:ascii="Arial" w:hAnsi="Arial" w:cs="Arial"/>
        </w:rPr>
      </w:pPr>
    </w:p>
    <w:p w14:paraId="47551158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Verfassungsänderung gemessen an Art. 79 III GG (sog. Ewigkeitsgarantie)</w:t>
      </w:r>
    </w:p>
    <w:p w14:paraId="25872BCC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Grundsätze aus Art. 1 und 20 GG sind unveränderlich; dürfen durch Verfassungsänderungen nicht berührt werden</w:t>
      </w:r>
    </w:p>
    <w:p w14:paraId="4DA7E7E2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Ausländerwahlrecht verstößt gegen Art. 20 II 1 GG (s.o.)</w:t>
      </w:r>
    </w:p>
    <w:p w14:paraId="3D779A79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Der Souverän in Deutschland kann also nicht anders bestimmt werden</w:t>
      </w:r>
    </w:p>
    <w:p w14:paraId="306DF7D6" w14:textId="77777777" w:rsidR="007C26A3" w:rsidRDefault="007C26A3">
      <w:pPr>
        <w:pStyle w:val="Listenabsatz"/>
        <w:spacing w:line="276" w:lineRule="auto"/>
        <w:rPr>
          <w:rFonts w:ascii="Arial" w:hAnsi="Arial" w:cs="Arial"/>
        </w:rPr>
      </w:pPr>
    </w:p>
    <w:p w14:paraId="05C9AB75" w14:textId="77777777" w:rsidR="007C26A3" w:rsidRDefault="00000000">
      <w:pPr>
        <w:pStyle w:val="Listenabsatz"/>
        <w:spacing w:line="276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t>à</w:t>
      </w:r>
      <w:r>
        <w:rPr>
          <w:rFonts w:ascii="Arial" w:hAnsi="Arial" w:cs="Arial"/>
        </w:rPr>
        <w:t xml:space="preserve"> Änderung des Art. 20 II 1 GG demnach ausgeschlossen</w:t>
      </w:r>
    </w:p>
    <w:p w14:paraId="24C34B66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73303BC1" w14:textId="77777777" w:rsidR="007C26A3" w:rsidRDefault="00000000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Art. 28 I 3 GG: kein Verstoß gegen Art. 79 III GG</w:t>
      </w:r>
    </w:p>
    <w:p w14:paraId="1C7141B1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Wahlen zu den Gemeindevertretungen bestimmen nur die Zusammensetzung eines Exekutivorgans – Landtags- und Bundestagswahlen bestimmen aber die Zusammensetzung eines Legislativorgans </w:t>
      </w:r>
    </w:p>
    <w:p w14:paraId="3FF1F067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Grund: enge örtliche Verbindung zwischen den Einwohnern der Gemeinde und den Vertretungen auf kommunaler Ebene </w:t>
      </w:r>
      <w:r>
        <w:rPr>
          <w:rFonts w:ascii="Wingdings" w:eastAsia="Wingdings" w:hAnsi="Wingdings" w:cs="Wingdings"/>
          <w:i/>
          <w:iCs/>
        </w:rPr>
        <w:t>à</w:t>
      </w:r>
      <w:r>
        <w:rPr>
          <w:rFonts w:ascii="Arial" w:hAnsi="Arial" w:cs="Arial"/>
          <w:i/>
          <w:iCs/>
        </w:rPr>
        <w:t xml:space="preserve"> Umsetzung des Art. 22 AEUV</w:t>
      </w:r>
    </w:p>
    <w:p w14:paraId="3FA075BC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Art. 79 GG schützt allerdings nur den Inhalt von Art. 1 und 20 GG, den diese bei Inkrafttreten des GG hatten: nachträgliche Ergänzungen wie Art. 20 IV GG werden nicht erfasst – Hintergrund: keine massive Ausweitung der Ewigkeitsgarantie durch BT und BR, sodass es nicht zu einer sog. Versteinerung des Verfassungsrechts kommt </w:t>
      </w:r>
    </w:p>
    <w:p w14:paraId="09D190BB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Art. 79 GG demnach natürlich auch von der Ewigkeitsgarantie erfasst</w:t>
      </w:r>
    </w:p>
    <w:p w14:paraId="47AA0AD5" w14:textId="77777777" w:rsidR="007C26A3" w:rsidRDefault="007C26A3">
      <w:pPr>
        <w:spacing w:line="276" w:lineRule="auto"/>
        <w:ind w:left="360"/>
        <w:rPr>
          <w:rFonts w:ascii="Arial" w:hAnsi="Arial" w:cs="Arial"/>
          <w:i/>
          <w:iCs/>
        </w:rPr>
      </w:pPr>
    </w:p>
    <w:p w14:paraId="616E705C" w14:textId="77777777" w:rsidR="007C26A3" w:rsidRDefault="00000000">
      <w:pPr>
        <w:spacing w:line="276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ABER: Art. 146 GG – das deutsche Volk könnte sich eine „neue“ Verfassung geben und dadurch die Inhalte neu bestimmen bzw. auch die Ewigkeitsgarantie antasten (sehr hohe Anforderungen)</w:t>
      </w:r>
    </w:p>
    <w:p w14:paraId="64D9513C" w14:textId="77777777" w:rsidR="007C26A3" w:rsidRDefault="007C26A3">
      <w:pPr>
        <w:spacing w:line="276" w:lineRule="auto"/>
        <w:ind w:left="360"/>
        <w:rPr>
          <w:rFonts w:ascii="Arial" w:hAnsi="Arial" w:cs="Arial"/>
          <w:i/>
          <w:iCs/>
        </w:rPr>
      </w:pPr>
    </w:p>
    <w:p w14:paraId="000E6682" w14:textId="77777777" w:rsidR="007C26A3" w:rsidRDefault="007C26A3">
      <w:pPr>
        <w:spacing w:line="276" w:lineRule="auto"/>
        <w:ind w:left="360"/>
        <w:rPr>
          <w:rFonts w:ascii="Arial" w:hAnsi="Arial" w:cs="Arial"/>
          <w:i/>
          <w:iCs/>
        </w:rPr>
      </w:pPr>
    </w:p>
    <w:p w14:paraId="437F386E" w14:textId="77777777" w:rsidR="007C26A3" w:rsidRDefault="007C26A3">
      <w:pPr>
        <w:spacing w:line="276" w:lineRule="auto"/>
        <w:ind w:left="360"/>
        <w:rPr>
          <w:rFonts w:ascii="Arial" w:hAnsi="Arial" w:cs="Arial"/>
          <w:i/>
          <w:iCs/>
        </w:rPr>
      </w:pPr>
    </w:p>
    <w:p w14:paraId="02A4BE71" w14:textId="77777777" w:rsidR="007C26A3" w:rsidRDefault="007C26A3">
      <w:pPr>
        <w:spacing w:line="276" w:lineRule="auto"/>
        <w:ind w:left="360"/>
        <w:rPr>
          <w:rFonts w:ascii="Arial" w:hAnsi="Arial" w:cs="Arial"/>
          <w:i/>
          <w:iCs/>
        </w:rPr>
      </w:pPr>
    </w:p>
    <w:p w14:paraId="052A9413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4D7F5806" w14:textId="77777777" w:rsidR="007C26A3" w:rsidRDefault="00000000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Möglichkeit: Änderung des StAG</w:t>
      </w:r>
    </w:p>
    <w:p w14:paraId="2960B4B7" w14:textId="77777777" w:rsidR="007C26A3" w:rsidRDefault="007C26A3">
      <w:pPr>
        <w:pStyle w:val="Listenabsatz"/>
        <w:spacing w:line="276" w:lineRule="auto"/>
        <w:rPr>
          <w:rFonts w:ascii="Arial" w:hAnsi="Arial" w:cs="Arial"/>
        </w:rPr>
      </w:pPr>
    </w:p>
    <w:p w14:paraId="7E01932A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Begriff des „deutschen Volkes“ ausweiten: </w:t>
      </w:r>
      <w:proofErr w:type="spellStart"/>
      <w:r>
        <w:rPr>
          <w:rFonts w:ascii="Arial" w:hAnsi="Arial" w:cs="Arial"/>
        </w:rPr>
        <w:t>Vss</w:t>
      </w:r>
      <w:proofErr w:type="spellEnd"/>
      <w:r>
        <w:rPr>
          <w:rFonts w:ascii="Arial" w:hAnsi="Arial" w:cs="Arial"/>
        </w:rPr>
        <w:t>. der Staatsangehörigkeit ändern</w:t>
      </w:r>
    </w:p>
    <w:p w14:paraId="1D77A56D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Kein Verstoß gegen Art. 20 II 1 GG, weil zunächst deutsche Staatsangehörigkeit erworben wird</w:t>
      </w:r>
    </w:p>
    <w:p w14:paraId="1212011F" w14:textId="77777777" w:rsidR="007C26A3" w:rsidRDefault="00000000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Art. 73 I Nr. 2 und 116 I GG: Gesetzgeber kann Regelungen zum Erwerb und Verlust der deutschen Staatsangehörigkeit bestimmen</w:t>
      </w:r>
    </w:p>
    <w:p w14:paraId="57C1B06B" w14:textId="77777777" w:rsidR="007C26A3" w:rsidRDefault="007C26A3">
      <w:pPr>
        <w:spacing w:line="276" w:lineRule="auto"/>
        <w:rPr>
          <w:rFonts w:ascii="Arial" w:hAnsi="Arial" w:cs="Arial"/>
        </w:rPr>
      </w:pPr>
    </w:p>
    <w:p w14:paraId="4C44527E" w14:textId="77777777" w:rsidR="007C26A3" w:rsidRDefault="007C26A3">
      <w:pPr>
        <w:spacing w:line="276" w:lineRule="auto"/>
        <w:rPr>
          <w:rFonts w:ascii="Arial" w:hAnsi="Arial" w:cs="Arial"/>
        </w:rPr>
      </w:pPr>
    </w:p>
    <w:sectPr w:rsidR="007C26A3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492D" w14:textId="77777777" w:rsidR="00ED0913" w:rsidRDefault="00ED0913">
      <w:r>
        <w:separator/>
      </w:r>
    </w:p>
  </w:endnote>
  <w:endnote w:type="continuationSeparator" w:id="0">
    <w:p w14:paraId="70323106" w14:textId="77777777" w:rsidR="00ED0913" w:rsidRDefault="00ED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54D7" w14:textId="77777777" w:rsidR="00ED0913" w:rsidRDefault="00ED0913">
      <w:r>
        <w:separator/>
      </w:r>
    </w:p>
  </w:footnote>
  <w:footnote w:type="continuationSeparator" w:id="0">
    <w:p w14:paraId="0C1BADFA" w14:textId="77777777" w:rsidR="00ED0913" w:rsidRDefault="00ED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695C"/>
    <w:multiLevelType w:val="multilevel"/>
    <w:tmpl w:val="9C90E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4521"/>
    <w:multiLevelType w:val="multilevel"/>
    <w:tmpl w:val="A732D41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41BC"/>
    <w:multiLevelType w:val="multilevel"/>
    <w:tmpl w:val="FD0C51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0294"/>
    <w:multiLevelType w:val="multilevel"/>
    <w:tmpl w:val="18C6D8C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045A"/>
    <w:multiLevelType w:val="multilevel"/>
    <w:tmpl w:val="5ADAC78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06F1"/>
    <w:multiLevelType w:val="multilevel"/>
    <w:tmpl w:val="D2B403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2996">
    <w:abstractNumId w:val="2"/>
  </w:num>
  <w:num w:numId="2" w16cid:durableId="1603143483">
    <w:abstractNumId w:val="5"/>
  </w:num>
  <w:num w:numId="3" w16cid:durableId="2108848809">
    <w:abstractNumId w:val="3"/>
  </w:num>
  <w:num w:numId="4" w16cid:durableId="1558662830">
    <w:abstractNumId w:val="4"/>
  </w:num>
  <w:num w:numId="5" w16cid:durableId="1856966890">
    <w:abstractNumId w:val="0"/>
  </w:num>
  <w:num w:numId="6" w16cid:durableId="23058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A3"/>
    <w:rsid w:val="007707FC"/>
    <w:rsid w:val="007C26A3"/>
    <w:rsid w:val="00B55815"/>
    <w:rsid w:val="00ED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BF2"/>
  <w15:docId w15:val="{678E3DD2-D9E4-41FC-B2F7-796EA508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Bongartz, Tim</dc:creator>
  <cp:keywords/>
  <dc:description/>
  <cp:lastModifiedBy>Sternkopf, Nick</cp:lastModifiedBy>
  <cp:revision>7</cp:revision>
  <dcterms:created xsi:type="dcterms:W3CDTF">2024-09-13T10:27:00Z</dcterms:created>
  <dcterms:modified xsi:type="dcterms:W3CDTF">2025-09-24T14:43:00Z</dcterms:modified>
</cp:coreProperties>
</file>