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05" w:rsidRDefault="00172F3B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Arbeitsanweisung</w:t>
      </w:r>
    </w:p>
    <w:p w:rsidR="00551705" w:rsidRPr="00E577A2" w:rsidRDefault="00172F3B">
      <w:pPr>
        <w:jc w:val="center"/>
        <w:rPr>
          <w:sz w:val="40"/>
          <w:szCs w:val="40"/>
        </w:rPr>
      </w:pPr>
      <w:r w:rsidRPr="00E577A2">
        <w:rPr>
          <w:b/>
          <w:sz w:val="40"/>
          <w:szCs w:val="40"/>
          <w:u w:val="single"/>
        </w:rPr>
        <w:t>Ammonium-Stickstoff Bestimmung</w:t>
      </w:r>
    </w:p>
    <w:p w:rsidR="008F4EF5" w:rsidRPr="008F4EF5" w:rsidRDefault="00172F3B" w:rsidP="008F4EF5">
      <w:pPr>
        <w:jc w:val="center"/>
        <w:rPr>
          <w:b/>
          <w:sz w:val="40"/>
          <w:szCs w:val="40"/>
          <w:u w:val="single"/>
        </w:rPr>
      </w:pPr>
      <w:r w:rsidRPr="00E577A2">
        <w:rPr>
          <w:b/>
          <w:sz w:val="40"/>
          <w:szCs w:val="40"/>
          <w:u w:val="single"/>
        </w:rPr>
        <w:t>nach DIN 38 406-E-</w:t>
      </w:r>
      <w:r w:rsidR="008F4EF5">
        <w:rPr>
          <w:b/>
          <w:sz w:val="40"/>
          <w:szCs w:val="40"/>
          <w:u w:val="single"/>
        </w:rPr>
        <w:t>5</w:t>
      </w:r>
      <w:bookmarkStart w:id="0" w:name="_GoBack"/>
      <w:bookmarkEnd w:id="0"/>
    </w:p>
    <w:p w:rsidR="00551705" w:rsidRDefault="00551705">
      <w:pPr>
        <w:rPr>
          <w:rFonts w:eastAsia="Times New Roman" w:cs="Times New Roman"/>
          <w:bCs/>
          <w:sz w:val="24"/>
          <w:szCs w:val="24"/>
          <w:u w:val="single"/>
          <w:lang w:eastAsia="de-DE"/>
        </w:rPr>
      </w:pPr>
    </w:p>
    <w:p w:rsidR="00551705" w:rsidRDefault="00172F3B">
      <w:r>
        <w:rPr>
          <w:b/>
          <w:sz w:val="32"/>
          <w:szCs w:val="32"/>
        </w:rPr>
        <w:t>Geräte/Materialien:</w:t>
      </w:r>
      <w:r>
        <w:rPr>
          <w:sz w:val="24"/>
          <w:szCs w:val="24"/>
        </w:rPr>
        <w:t xml:space="preserve"> Vakuumfiltrationseinheit, 0,45µm Membranfilter, 25 ml Messkolben, Pipetten 5 ml und 10 ml, Photometer.</w:t>
      </w:r>
    </w:p>
    <w:p w:rsidR="00551705" w:rsidRDefault="00172F3B">
      <w:pPr>
        <w:pStyle w:val="berschrift1"/>
        <w:spacing w:before="240" w:after="8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32"/>
          <w:szCs w:val="32"/>
        </w:rPr>
        <w:t xml:space="preserve">Messprinzip: </w:t>
      </w:r>
      <w:r>
        <w:rPr>
          <w:rFonts w:asciiTheme="minorHAnsi" w:hAnsiTheme="minorHAnsi"/>
          <w:b w:val="0"/>
          <w:sz w:val="24"/>
        </w:rPr>
        <w:t xml:space="preserve">Ammonium-Ionen reagieren bei einem pH-Wert von etwa pH 12,6 mit Hypochlorit-Ionen und Salicylat-Ionen in Gegenwart von </w:t>
      </w:r>
      <w:proofErr w:type="spellStart"/>
      <w:r>
        <w:rPr>
          <w:rFonts w:asciiTheme="minorHAnsi" w:hAnsiTheme="minorHAnsi"/>
          <w:b w:val="0"/>
          <w:sz w:val="24"/>
        </w:rPr>
        <w:t>Nitroprussid</w:t>
      </w:r>
      <w:proofErr w:type="spellEnd"/>
      <w:r>
        <w:rPr>
          <w:rFonts w:asciiTheme="minorHAnsi" w:hAnsiTheme="minorHAnsi"/>
          <w:b w:val="0"/>
          <w:sz w:val="24"/>
        </w:rPr>
        <w:t xml:space="preserve">-Natrium-Dihydrat als Katalysator zu einem blauen Farbstoff. Die Hypochlorit-Ionen entstehen im alkalischen Medium durch Hydrolyse der </w:t>
      </w:r>
      <w:proofErr w:type="spellStart"/>
      <w:r>
        <w:rPr>
          <w:rFonts w:asciiTheme="minorHAnsi" w:hAnsiTheme="minorHAnsi"/>
          <w:b w:val="0"/>
          <w:sz w:val="24"/>
        </w:rPr>
        <w:t>Dichlorisocyanursäure</w:t>
      </w:r>
      <w:proofErr w:type="spellEnd"/>
      <w:r>
        <w:rPr>
          <w:rFonts w:asciiTheme="minorHAnsi" w:hAnsiTheme="minorHAnsi"/>
          <w:b w:val="0"/>
          <w:sz w:val="24"/>
        </w:rPr>
        <w:t>. Das Verfahren ist anwendbar auf Wässer mit einem Gehalt an NH</w:t>
      </w:r>
      <w:r>
        <w:rPr>
          <w:rFonts w:asciiTheme="minorHAnsi" w:hAnsiTheme="minorHAnsi"/>
          <w:b w:val="0"/>
          <w:sz w:val="24"/>
          <w:vertAlign w:val="subscript"/>
        </w:rPr>
        <w:t>4</w:t>
      </w:r>
      <w:r>
        <w:rPr>
          <w:rFonts w:asciiTheme="minorHAnsi" w:hAnsiTheme="minorHAnsi"/>
          <w:b w:val="0"/>
          <w:sz w:val="24"/>
        </w:rPr>
        <w:t xml:space="preserve">-N von etwa 0,03 – </w:t>
      </w:r>
      <w:proofErr w:type="gramStart"/>
      <w:r>
        <w:rPr>
          <w:rFonts w:asciiTheme="minorHAnsi" w:hAnsiTheme="minorHAnsi"/>
          <w:b w:val="0"/>
          <w:sz w:val="24"/>
        </w:rPr>
        <w:t>1  mg</w:t>
      </w:r>
      <w:proofErr w:type="gramEnd"/>
      <w:r>
        <w:rPr>
          <w:rFonts w:asciiTheme="minorHAnsi" w:hAnsiTheme="minorHAnsi"/>
          <w:b w:val="0"/>
          <w:sz w:val="24"/>
        </w:rPr>
        <w:t xml:space="preserve"> NH</w:t>
      </w:r>
      <w:r>
        <w:rPr>
          <w:rFonts w:asciiTheme="minorHAnsi" w:hAnsiTheme="minorHAnsi"/>
          <w:b w:val="0"/>
          <w:sz w:val="24"/>
          <w:vertAlign w:val="subscript"/>
        </w:rPr>
        <w:t>4</w:t>
      </w:r>
      <w:r>
        <w:rPr>
          <w:rFonts w:asciiTheme="minorHAnsi" w:hAnsiTheme="minorHAnsi"/>
          <w:b w:val="0"/>
          <w:sz w:val="24"/>
        </w:rPr>
        <w:t>-N L</w:t>
      </w:r>
      <w:r>
        <w:rPr>
          <w:rFonts w:asciiTheme="minorHAnsi" w:hAnsiTheme="minorHAnsi"/>
          <w:b w:val="0"/>
          <w:sz w:val="24"/>
          <w:vertAlign w:val="superscript"/>
        </w:rPr>
        <w:t>-1</w:t>
      </w:r>
    </w:p>
    <w:p w:rsidR="00551705" w:rsidRDefault="00551705">
      <w:pPr>
        <w:rPr>
          <w:b/>
          <w:sz w:val="24"/>
          <w:szCs w:val="24"/>
        </w:rPr>
      </w:pPr>
    </w:p>
    <w:p w:rsidR="00551705" w:rsidRDefault="00172F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Reagenzien:</w:t>
      </w:r>
    </w:p>
    <w:p w:rsidR="00551705" w:rsidRDefault="00172F3B">
      <w:pPr>
        <w:rPr>
          <w:b/>
          <w:sz w:val="24"/>
          <w:szCs w:val="24"/>
        </w:rPr>
      </w:pPr>
      <w:r>
        <w:rPr>
          <w:b/>
          <w:sz w:val="24"/>
          <w:szCs w:val="24"/>
        </w:rPr>
        <w:t>Lösung 1</w:t>
      </w:r>
      <w:r>
        <w:rPr>
          <w:b/>
          <w:sz w:val="24"/>
          <w:szCs w:val="24"/>
        </w:rPr>
        <w:tab/>
        <w:t>Salicylat-Citrat-Lösung</w:t>
      </w:r>
    </w:p>
    <w:p w:rsidR="00551705" w:rsidRDefault="00172F3B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 g Natriumsalicylat (C7H5O3Na) und 65 g Natriumcitrat – 2-hydrat (C6H5O7Na3xH2O), werden in etwa 400ml H2O </w:t>
      </w:r>
      <w:proofErr w:type="spellStart"/>
      <w:r>
        <w:rPr>
          <w:sz w:val="24"/>
          <w:szCs w:val="24"/>
        </w:rPr>
        <w:t>reinst</w:t>
      </w:r>
      <w:proofErr w:type="spellEnd"/>
      <w:r>
        <w:rPr>
          <w:sz w:val="24"/>
          <w:szCs w:val="24"/>
        </w:rPr>
        <w:t xml:space="preserve">. gelöst. Dazu gibt man 0,485 g </w:t>
      </w:r>
      <w:proofErr w:type="spellStart"/>
      <w:r>
        <w:rPr>
          <w:sz w:val="24"/>
          <w:szCs w:val="24"/>
        </w:rPr>
        <w:t>Nitroprussid</w:t>
      </w:r>
      <w:proofErr w:type="spellEnd"/>
      <w:r>
        <w:rPr>
          <w:sz w:val="24"/>
          <w:szCs w:val="24"/>
        </w:rPr>
        <w:t xml:space="preserve">-Natrium-Dihydrat (Na2Fe(CN)5NOx2H2O). Die Lösung wird nach gründlichem Umschütteln in einen 500ml Messkolben überführt und bis zur Marke mit H2O </w:t>
      </w:r>
      <w:proofErr w:type="spellStart"/>
      <w:r>
        <w:rPr>
          <w:sz w:val="24"/>
          <w:szCs w:val="24"/>
        </w:rPr>
        <w:t>reinst</w:t>
      </w:r>
      <w:proofErr w:type="spellEnd"/>
      <w:r>
        <w:rPr>
          <w:sz w:val="24"/>
          <w:szCs w:val="24"/>
        </w:rPr>
        <w:t>. aufgefüllt. Im Dunkeln ist die Lösung mindestens 2 Wochen haltbar.</w:t>
      </w:r>
    </w:p>
    <w:p w:rsidR="00551705" w:rsidRDefault="00172F3B">
      <w:pPr>
        <w:rPr>
          <w:b/>
          <w:sz w:val="24"/>
          <w:szCs w:val="24"/>
        </w:rPr>
      </w:pPr>
      <w:r>
        <w:rPr>
          <w:b/>
          <w:sz w:val="24"/>
          <w:szCs w:val="24"/>
        </w:rPr>
        <w:t>Lösung 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Reagenzlösung (</w:t>
      </w:r>
      <w:r>
        <w:rPr>
          <w:b/>
          <w:i/>
          <w:sz w:val="24"/>
          <w:szCs w:val="24"/>
        </w:rPr>
        <w:t>Die Lösung muss jeden Tag frisch angesetzt werden</w:t>
      </w:r>
      <w:r>
        <w:rPr>
          <w:b/>
          <w:sz w:val="24"/>
          <w:szCs w:val="24"/>
        </w:rPr>
        <w:t>)</w:t>
      </w:r>
    </w:p>
    <w:p w:rsidR="00551705" w:rsidRPr="00017B31" w:rsidRDefault="00172F3B" w:rsidP="00017B31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3,2 g Natriumhydroxid (</w:t>
      </w:r>
      <w:proofErr w:type="spellStart"/>
      <w:r>
        <w:rPr>
          <w:sz w:val="24"/>
          <w:szCs w:val="24"/>
        </w:rPr>
        <w:t>NaOH</w:t>
      </w:r>
      <w:proofErr w:type="spellEnd"/>
      <w:r>
        <w:rPr>
          <w:sz w:val="24"/>
          <w:szCs w:val="24"/>
        </w:rPr>
        <w:t xml:space="preserve">) werden in 50 ml H2O </w:t>
      </w:r>
      <w:proofErr w:type="spellStart"/>
      <w:r>
        <w:rPr>
          <w:sz w:val="24"/>
          <w:szCs w:val="24"/>
        </w:rPr>
        <w:t>reinst</w:t>
      </w:r>
      <w:proofErr w:type="spellEnd"/>
      <w:r>
        <w:rPr>
          <w:sz w:val="24"/>
          <w:szCs w:val="24"/>
        </w:rPr>
        <w:t xml:space="preserve">. gelöst. Danach abkühlen lassen und 0,2g </w:t>
      </w:r>
      <w:proofErr w:type="spellStart"/>
      <w:r>
        <w:rPr>
          <w:sz w:val="24"/>
          <w:szCs w:val="24"/>
        </w:rPr>
        <w:t>Natriumdichlorisocyanurat</w:t>
      </w:r>
      <w:proofErr w:type="spellEnd"/>
      <w:r>
        <w:rPr>
          <w:sz w:val="24"/>
          <w:szCs w:val="24"/>
        </w:rPr>
        <w:t xml:space="preserve"> (C3N3Cl2O3Na) hinzugefügt. Nach vollständiger Auflösung der Chemikalien wird die Lösung in einem 100 ml Messkolben gegeben und bis zur Marke mit H2O </w:t>
      </w:r>
      <w:proofErr w:type="spellStart"/>
      <w:r>
        <w:rPr>
          <w:sz w:val="24"/>
          <w:szCs w:val="24"/>
        </w:rPr>
        <w:t>reinst</w:t>
      </w:r>
      <w:proofErr w:type="spellEnd"/>
      <w:r>
        <w:rPr>
          <w:sz w:val="24"/>
          <w:szCs w:val="24"/>
        </w:rPr>
        <w:t xml:space="preserve">. </w:t>
      </w:r>
      <w:r w:rsidRPr="00017B31">
        <w:rPr>
          <w:sz w:val="24"/>
          <w:szCs w:val="24"/>
        </w:rPr>
        <w:t xml:space="preserve">aufgefüllt. </w:t>
      </w:r>
    </w:p>
    <w:p w:rsidR="00017B31" w:rsidRPr="00017B31" w:rsidRDefault="00017B31" w:rsidP="00017B31">
      <w:pPr>
        <w:jc w:val="both"/>
        <w:rPr>
          <w:sz w:val="24"/>
          <w:szCs w:val="24"/>
        </w:rPr>
      </w:pPr>
      <w:r w:rsidRPr="00017B31">
        <w:rPr>
          <w:b/>
          <w:sz w:val="24"/>
          <w:szCs w:val="24"/>
        </w:rPr>
        <w:t>Kontrollstandard: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5 ml Stammlösung (100 mg/l) werden auf 1 L verdünnt </w:t>
      </w:r>
      <w:r w:rsidRPr="00017B31">
        <w:rPr>
          <w:b/>
          <w:sz w:val="24"/>
          <w:szCs w:val="24"/>
        </w:rPr>
        <w:t>(0,5 mg/l)</w:t>
      </w:r>
    </w:p>
    <w:p w:rsidR="00551705" w:rsidRDefault="00551705">
      <w:pPr>
        <w:jc w:val="both"/>
        <w:rPr>
          <w:sz w:val="24"/>
          <w:szCs w:val="24"/>
        </w:rPr>
      </w:pPr>
    </w:p>
    <w:p w:rsidR="00551705" w:rsidRDefault="00172F3B">
      <w:r>
        <w:rPr>
          <w:b/>
          <w:sz w:val="32"/>
          <w:szCs w:val="32"/>
        </w:rPr>
        <w:t>Durchführung</w:t>
      </w:r>
      <w:r>
        <w:rPr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551705" w:rsidRDefault="00172F3B">
      <w:pPr>
        <w:jc w:val="both"/>
        <w:rPr>
          <w:sz w:val="24"/>
          <w:szCs w:val="24"/>
        </w:rPr>
      </w:pPr>
      <w:r>
        <w:rPr>
          <w:sz w:val="24"/>
          <w:szCs w:val="24"/>
        </w:rPr>
        <w:t>Die Wasserproben werden über ein 0,45 µm Membranfilter filtriert.</w:t>
      </w:r>
    </w:p>
    <w:p w:rsidR="00551705" w:rsidRDefault="00172F3B">
      <w:pPr>
        <w:jc w:val="both"/>
        <w:rPr>
          <w:sz w:val="24"/>
          <w:szCs w:val="24"/>
        </w:rPr>
      </w:pPr>
      <w:r>
        <w:rPr>
          <w:sz w:val="24"/>
          <w:szCs w:val="24"/>
        </w:rPr>
        <w:t>Der pH-Wert sollte zwischen 5 und 8 liegen, andernfalls wird er auf diesen Bereich eingestellt. Nach der Zugabe der Reagenzien sollte der pH-Wert der Lösung 12,6 betragen. Bei vorher neutralen Wässern ist dies im Allgemeinen der Fall.</w:t>
      </w:r>
    </w:p>
    <w:p w:rsidR="00551705" w:rsidRDefault="00172F3B">
      <w:pPr>
        <w:rPr>
          <w:sz w:val="24"/>
          <w:szCs w:val="24"/>
        </w:rPr>
      </w:pPr>
      <w:r>
        <w:rPr>
          <w:b/>
          <w:sz w:val="24"/>
          <w:szCs w:val="24"/>
        </w:rPr>
        <w:t>Bis zu 20 ml</w:t>
      </w:r>
      <w:r>
        <w:rPr>
          <w:sz w:val="24"/>
          <w:szCs w:val="24"/>
        </w:rPr>
        <w:t xml:space="preserve"> der Wasserprobe (je nach Ammoniumgehalt) in einen 25 ml Messkolben pipettieren. Wird weniger verwendet, muss ein ergänzendes Volumen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  <w:vertAlign w:val="subscript"/>
        </w:rPr>
        <w:t>reinst</w:t>
      </w:r>
      <w:proofErr w:type="spellEnd"/>
      <w:r>
        <w:rPr>
          <w:sz w:val="24"/>
          <w:szCs w:val="24"/>
          <w:vertAlign w:val="subscript"/>
        </w:rPr>
        <w:t>.</w:t>
      </w:r>
      <w:r>
        <w:rPr>
          <w:sz w:val="24"/>
          <w:szCs w:val="24"/>
        </w:rPr>
        <w:t xml:space="preserve"> zugesetzt werden. </w:t>
      </w:r>
    </w:p>
    <w:p w:rsidR="00551705" w:rsidRDefault="00172F3B">
      <w:pPr>
        <w:rPr>
          <w:sz w:val="24"/>
          <w:szCs w:val="24"/>
        </w:rPr>
      </w:pPr>
      <w:r>
        <w:rPr>
          <w:b/>
          <w:sz w:val="24"/>
          <w:szCs w:val="24"/>
        </w:rPr>
        <w:t>2 ml Lösung 1</w:t>
      </w:r>
      <w:r>
        <w:rPr>
          <w:sz w:val="24"/>
          <w:szCs w:val="24"/>
        </w:rPr>
        <w:t xml:space="preserve"> zugeben</w:t>
      </w:r>
      <w:r w:rsidR="00F06E47">
        <w:rPr>
          <w:sz w:val="24"/>
          <w:szCs w:val="24"/>
        </w:rPr>
        <w:t>, Schütteln</w:t>
      </w:r>
    </w:p>
    <w:p w:rsidR="00551705" w:rsidRDefault="00172F3B">
      <w:pPr>
        <w:rPr>
          <w:sz w:val="24"/>
          <w:szCs w:val="24"/>
        </w:rPr>
      </w:pPr>
      <w:r>
        <w:rPr>
          <w:b/>
          <w:sz w:val="24"/>
          <w:szCs w:val="24"/>
        </w:rPr>
        <w:t>2 ml Lösung 2</w:t>
      </w:r>
      <w:r w:rsidR="00F06E47">
        <w:rPr>
          <w:sz w:val="24"/>
          <w:szCs w:val="24"/>
        </w:rPr>
        <w:t xml:space="preserve"> </w:t>
      </w:r>
      <w:r>
        <w:rPr>
          <w:sz w:val="24"/>
          <w:szCs w:val="24"/>
        </w:rPr>
        <w:t>zugeben</w:t>
      </w:r>
      <w:r w:rsidR="00F06E47">
        <w:rPr>
          <w:sz w:val="24"/>
          <w:szCs w:val="24"/>
        </w:rPr>
        <w:t>, Schütteln</w:t>
      </w:r>
    </w:p>
    <w:p w:rsidR="00551705" w:rsidRDefault="00172F3B">
      <w:r>
        <w:rPr>
          <w:sz w:val="24"/>
          <w:szCs w:val="24"/>
        </w:rPr>
        <w:t>Kolben mit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reinst</w:t>
      </w:r>
      <w:proofErr w:type="spellEnd"/>
      <w:r>
        <w:rPr>
          <w:sz w:val="24"/>
          <w:szCs w:val="24"/>
        </w:rPr>
        <w:t xml:space="preserve">. bis zur Markierung auffüllen. Mit einem Stopfen verschließen und </w:t>
      </w:r>
      <w:r w:rsidR="00F06E47">
        <w:rPr>
          <w:sz w:val="24"/>
          <w:szCs w:val="24"/>
        </w:rPr>
        <w:t xml:space="preserve">über Kopf </w:t>
      </w:r>
      <w:r>
        <w:rPr>
          <w:sz w:val="24"/>
          <w:szCs w:val="24"/>
        </w:rPr>
        <w:t>mehrmals schütteln.</w:t>
      </w:r>
    </w:p>
    <w:p w:rsidR="00551705" w:rsidRDefault="00551705">
      <w:pPr>
        <w:rPr>
          <w:sz w:val="24"/>
          <w:szCs w:val="24"/>
        </w:rPr>
      </w:pPr>
    </w:p>
    <w:p w:rsidR="00551705" w:rsidRDefault="00172F3B">
      <w:pPr>
        <w:jc w:val="both"/>
      </w:pPr>
      <w:r>
        <w:rPr>
          <w:b/>
          <w:sz w:val="24"/>
          <w:szCs w:val="24"/>
        </w:rPr>
        <w:lastRenderedPageBreak/>
        <w:t>Nach einer Stunde</w:t>
      </w:r>
      <w:r>
        <w:rPr>
          <w:sz w:val="24"/>
          <w:szCs w:val="24"/>
        </w:rPr>
        <w:t xml:space="preserve"> kann die Wasserprobe </w:t>
      </w:r>
      <w:r w:rsidR="00017B31">
        <w:rPr>
          <w:sz w:val="24"/>
          <w:szCs w:val="24"/>
        </w:rPr>
        <w:t xml:space="preserve">bei </w:t>
      </w:r>
      <w:r>
        <w:rPr>
          <w:sz w:val="24"/>
          <w:szCs w:val="24"/>
        </w:rPr>
        <w:t>einer Wellenlänge von 665 </w:t>
      </w:r>
      <w:proofErr w:type="spellStart"/>
      <w:r>
        <w:rPr>
          <w:sz w:val="24"/>
          <w:szCs w:val="24"/>
        </w:rPr>
        <w:t>nm</w:t>
      </w:r>
      <w:proofErr w:type="spellEnd"/>
      <w:r>
        <w:rPr>
          <w:sz w:val="24"/>
          <w:szCs w:val="24"/>
        </w:rPr>
        <w:t xml:space="preserve"> photometrisch, </w:t>
      </w:r>
      <w:r w:rsidR="00336A96">
        <w:rPr>
          <w:sz w:val="24"/>
          <w:szCs w:val="24"/>
        </w:rPr>
        <w:t>(</w:t>
      </w:r>
      <w:r>
        <w:rPr>
          <w:sz w:val="24"/>
          <w:szCs w:val="24"/>
        </w:rPr>
        <w:t>Methode 5</w:t>
      </w:r>
      <w:r w:rsidR="00336A96">
        <w:rPr>
          <w:sz w:val="24"/>
          <w:szCs w:val="24"/>
        </w:rPr>
        <w:t xml:space="preserve"> altes Photometer)</w:t>
      </w:r>
      <w:r>
        <w:rPr>
          <w:sz w:val="24"/>
          <w:szCs w:val="24"/>
        </w:rPr>
        <w:t xml:space="preserve"> auf ihre Ammoniumkonzentration untersucht werden.</w:t>
      </w:r>
    </w:p>
    <w:p w:rsidR="00551705" w:rsidRDefault="00551705">
      <w:pPr>
        <w:jc w:val="both"/>
        <w:rPr>
          <w:sz w:val="24"/>
          <w:szCs w:val="24"/>
        </w:rPr>
      </w:pPr>
    </w:p>
    <w:p w:rsidR="00551705" w:rsidRDefault="00172F3B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Zur Kontrolle der Reagenzien werden zwei Blindproben und ein Standard mit analysiert.</w:t>
      </w:r>
    </w:p>
    <w:p w:rsidR="00551705" w:rsidRDefault="00172F3B">
      <w:r>
        <w:rPr>
          <w:b/>
          <w:sz w:val="24"/>
          <w:szCs w:val="24"/>
        </w:rPr>
        <w:t xml:space="preserve">Blindproben: </w:t>
      </w:r>
      <w:r>
        <w:rPr>
          <w:sz w:val="24"/>
          <w:szCs w:val="24"/>
        </w:rPr>
        <w:t>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werden </w:t>
      </w:r>
      <w:r>
        <w:rPr>
          <w:b/>
          <w:sz w:val="24"/>
          <w:szCs w:val="24"/>
        </w:rPr>
        <w:t>20 ml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  <w:vertAlign w:val="subscript"/>
        </w:rPr>
        <w:t>reinst</w:t>
      </w:r>
      <w:r>
        <w:rPr>
          <w:sz w:val="24"/>
          <w:szCs w:val="24"/>
        </w:rPr>
        <w:t xml:space="preserve"> pipettiert und im Weiteren wie eine Probe behandelt. </w:t>
      </w:r>
    </w:p>
    <w:p w:rsidR="00551705" w:rsidRDefault="00017B31">
      <w:pPr>
        <w:rPr>
          <w:sz w:val="24"/>
          <w:szCs w:val="24"/>
        </w:rPr>
      </w:pPr>
      <w:r>
        <w:rPr>
          <w:b/>
          <w:sz w:val="24"/>
          <w:szCs w:val="24"/>
        </w:rPr>
        <w:t>Kontrolls</w:t>
      </w:r>
      <w:r w:rsidR="00172F3B">
        <w:rPr>
          <w:b/>
          <w:sz w:val="24"/>
          <w:szCs w:val="24"/>
        </w:rPr>
        <w:t xml:space="preserve">tandard: </w:t>
      </w:r>
      <w:r w:rsidR="00172F3B">
        <w:rPr>
          <w:sz w:val="24"/>
          <w:szCs w:val="24"/>
        </w:rPr>
        <w:t xml:space="preserve">Es werden </w:t>
      </w:r>
      <w:r w:rsidR="00E0320E">
        <w:rPr>
          <w:b/>
          <w:bCs/>
          <w:sz w:val="24"/>
          <w:szCs w:val="24"/>
        </w:rPr>
        <w:t>2</w:t>
      </w:r>
      <w:r w:rsidR="00172F3B">
        <w:rPr>
          <w:b/>
          <w:bCs/>
          <w:sz w:val="24"/>
          <w:szCs w:val="24"/>
        </w:rPr>
        <w:t xml:space="preserve">0ml Standardlösung </w:t>
      </w:r>
      <w:r w:rsidR="00172F3B">
        <w:rPr>
          <w:sz w:val="24"/>
          <w:szCs w:val="24"/>
        </w:rPr>
        <w:t>abpipettie</w:t>
      </w:r>
      <w:r w:rsidR="00336A96">
        <w:rPr>
          <w:sz w:val="24"/>
          <w:szCs w:val="24"/>
        </w:rPr>
        <w:t>rt</w:t>
      </w:r>
      <w:r w:rsidR="00172F3B">
        <w:rPr>
          <w:sz w:val="24"/>
          <w:szCs w:val="24"/>
        </w:rPr>
        <w:t xml:space="preserve"> und im Weiteren wie eine Probe behandelt. </w:t>
      </w:r>
    </w:p>
    <w:p w:rsidR="00336A96" w:rsidRPr="00336A96" w:rsidRDefault="00336A96">
      <w:pPr>
        <w:rPr>
          <w:sz w:val="24"/>
          <w:szCs w:val="24"/>
        </w:rPr>
      </w:pPr>
      <w:r w:rsidRPr="00336A96">
        <w:rPr>
          <w:sz w:val="24"/>
          <w:szCs w:val="24"/>
        </w:rPr>
        <w:t>Bei der Messung</w:t>
      </w:r>
      <w:r>
        <w:rPr>
          <w:sz w:val="24"/>
          <w:szCs w:val="24"/>
        </w:rPr>
        <w:t xml:space="preserve"> sollte ein Gehalt von 0,5mg N/l erreicht werden.</w:t>
      </w:r>
    </w:p>
    <w:p w:rsidR="00551705" w:rsidRDefault="00551705">
      <w:pPr>
        <w:rPr>
          <w:sz w:val="24"/>
          <w:szCs w:val="24"/>
        </w:rPr>
      </w:pPr>
    </w:p>
    <w:p w:rsidR="00551705" w:rsidRDefault="00172F3B">
      <w:pPr>
        <w:rPr>
          <w:b/>
          <w:bCs/>
        </w:rPr>
      </w:pPr>
      <w:r>
        <w:rPr>
          <w:b/>
          <w:bCs/>
          <w:sz w:val="24"/>
          <w:szCs w:val="24"/>
        </w:rPr>
        <w:t xml:space="preserve">Verdünnungen: </w:t>
      </w:r>
      <w:r>
        <w:rPr>
          <w:sz w:val="24"/>
          <w:szCs w:val="24"/>
        </w:rPr>
        <w:t>Zeigen die Wasserproben eine deutliche stärkere Färbung (dunkelgrün-blau) als der Standard auf, muss nach Rücksprache mit dem Laborpersonal eine Verdünnung erstellt werden.</w:t>
      </w:r>
    </w:p>
    <w:p w:rsidR="00551705" w:rsidRDefault="00172F3B">
      <w:r>
        <w:rPr>
          <w:b/>
          <w:sz w:val="32"/>
          <w:szCs w:val="32"/>
        </w:rPr>
        <w:t>Berechnung:</w:t>
      </w:r>
    </w:p>
    <w:p w:rsidR="00551705" w:rsidRDefault="00172F3B">
      <w:pPr>
        <w:jc w:val="both"/>
        <w:rPr>
          <w:sz w:val="24"/>
          <w:szCs w:val="24"/>
        </w:rPr>
      </w:pPr>
      <w:r>
        <w:rPr>
          <w:sz w:val="24"/>
          <w:szCs w:val="24"/>
        </w:rPr>
        <w:t>Die Analysenergebnisse sind als Ammonium-Stickstoff-Konzentration mit zwei Nachkommastellen in der Einheit mg/l anzugeben. Verdünnungen müssen bei der Berechnung berücksichtigt werden.</w:t>
      </w:r>
    </w:p>
    <w:p w:rsidR="00551705" w:rsidRDefault="00172F3B">
      <w:pPr>
        <w:keepNext/>
        <w:spacing w:before="120" w:after="0"/>
        <w:jc w:val="both"/>
        <w:outlineLvl w:val="0"/>
        <w:rPr>
          <w:rFonts w:eastAsia="Times New Roman" w:cs="Times New Roman"/>
          <w:b/>
          <w:sz w:val="32"/>
          <w:szCs w:val="32"/>
          <w:lang w:eastAsia="de-DE"/>
        </w:rPr>
      </w:pPr>
      <w:r>
        <w:rPr>
          <w:rFonts w:eastAsia="Times New Roman" w:cs="Times New Roman"/>
          <w:b/>
          <w:sz w:val="32"/>
          <w:szCs w:val="32"/>
          <w:lang w:eastAsia="de-DE"/>
        </w:rPr>
        <w:t>Kalibrierung</w:t>
      </w:r>
    </w:p>
    <w:p w:rsidR="00551705" w:rsidRDefault="00172F3B">
      <w:pPr>
        <w:keepNext/>
        <w:spacing w:before="120" w:after="0"/>
        <w:jc w:val="both"/>
        <w:outlineLvl w:val="0"/>
        <w:rPr>
          <w:rFonts w:eastAsia="Times New Roman" w:cs="Times New Roman"/>
          <w:b/>
          <w:sz w:val="24"/>
          <w:szCs w:val="20"/>
          <w:u w:val="single"/>
          <w:lang w:eastAsia="de-DE"/>
        </w:rPr>
      </w:pPr>
      <w:r>
        <w:rPr>
          <w:rFonts w:eastAsia="Times New Roman" w:cs="Times New Roman"/>
          <w:b/>
          <w:sz w:val="24"/>
          <w:szCs w:val="20"/>
          <w:u w:val="single"/>
          <w:lang w:eastAsia="de-DE"/>
        </w:rPr>
        <w:t>Kalibrationslösung</w:t>
      </w:r>
    </w:p>
    <w:p w:rsidR="00551705" w:rsidRDefault="00172F3B">
      <w:pPr>
        <w:spacing w:after="0"/>
        <w:jc w:val="both"/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>Zur Herstellung der Kalibrationslösung wird Ammoniumsulfat verwendet. Dieses wird bei 105 °C für 1 Stunde im Trockenschrank getrocknet. Zuerst wird eine Stammlösung hergestellt. Es werden 0,4717 des getrockneten Ammoniumsulfates zu 1 Liter mit H</w:t>
      </w:r>
      <w:r>
        <w:rPr>
          <w:rFonts w:eastAsia="Times New Roman" w:cs="Times New Roman"/>
          <w:sz w:val="24"/>
          <w:szCs w:val="20"/>
          <w:vertAlign w:val="subscript"/>
          <w:lang w:eastAsia="de-DE"/>
        </w:rPr>
        <w:t>2</w:t>
      </w:r>
      <w:r>
        <w:rPr>
          <w:rFonts w:eastAsia="Times New Roman" w:cs="Times New Roman"/>
          <w:sz w:val="24"/>
          <w:szCs w:val="20"/>
          <w:lang w:eastAsia="de-DE"/>
        </w:rPr>
        <w:t>O</w:t>
      </w:r>
      <w:r>
        <w:rPr>
          <w:rFonts w:eastAsia="Times New Roman" w:cs="Times New Roman"/>
          <w:sz w:val="24"/>
          <w:szCs w:val="20"/>
          <w:vertAlign w:val="subscript"/>
          <w:lang w:eastAsia="de-DE"/>
        </w:rPr>
        <w:t>reinst</w:t>
      </w:r>
      <w:r>
        <w:rPr>
          <w:rFonts w:eastAsia="Times New Roman" w:cs="Times New Roman"/>
          <w:sz w:val="24"/>
          <w:szCs w:val="20"/>
          <w:lang w:eastAsia="de-DE"/>
        </w:rPr>
        <w:t xml:space="preserve"> gelöst. Diese Lösung enthält 0,1 g N/Liter.</w:t>
      </w:r>
    </w:p>
    <w:p w:rsidR="00551705" w:rsidRDefault="00172F3B" w:rsidP="00DF3E6C">
      <w:pPr>
        <w:spacing w:after="0"/>
        <w:jc w:val="both"/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>Dann wird die Kalibrationslösung hergestellt. 10mL der Stammlösung werden mit H</w:t>
      </w:r>
      <w:r>
        <w:rPr>
          <w:rFonts w:eastAsia="Times New Roman" w:cs="Times New Roman"/>
          <w:sz w:val="24"/>
          <w:szCs w:val="20"/>
          <w:vertAlign w:val="subscript"/>
          <w:lang w:eastAsia="de-DE"/>
        </w:rPr>
        <w:t>2</w:t>
      </w:r>
      <w:r>
        <w:rPr>
          <w:rFonts w:eastAsia="Times New Roman" w:cs="Times New Roman"/>
          <w:sz w:val="24"/>
          <w:szCs w:val="20"/>
          <w:lang w:eastAsia="de-DE"/>
        </w:rPr>
        <w:t>O</w:t>
      </w:r>
      <w:r>
        <w:rPr>
          <w:rFonts w:eastAsia="Times New Roman" w:cs="Times New Roman"/>
          <w:sz w:val="24"/>
          <w:szCs w:val="20"/>
          <w:vertAlign w:val="subscript"/>
          <w:lang w:eastAsia="de-DE"/>
        </w:rPr>
        <w:t>reinst</w:t>
      </w:r>
      <w:r>
        <w:rPr>
          <w:rFonts w:eastAsia="Times New Roman" w:cs="Times New Roman"/>
          <w:sz w:val="24"/>
          <w:szCs w:val="20"/>
          <w:lang w:eastAsia="de-DE"/>
        </w:rPr>
        <w:t xml:space="preserve"> zu 1 Liter verdünnt. Die Kalibrationslösung (Standardlösung) enthält 1 mg N/Liter.</w:t>
      </w:r>
    </w:p>
    <w:p w:rsidR="00551705" w:rsidRDefault="00172F3B">
      <w:pPr>
        <w:keepNext/>
        <w:spacing w:before="240" w:after="0"/>
        <w:jc w:val="both"/>
        <w:outlineLvl w:val="1"/>
        <w:rPr>
          <w:rFonts w:eastAsia="Times New Roman" w:cs="Times New Roman"/>
          <w:b/>
          <w:sz w:val="24"/>
          <w:szCs w:val="20"/>
          <w:u w:val="single"/>
          <w:lang w:eastAsia="de-DE"/>
        </w:rPr>
      </w:pPr>
      <w:proofErr w:type="spellStart"/>
      <w:r>
        <w:rPr>
          <w:rFonts w:eastAsia="Times New Roman" w:cs="Times New Roman"/>
          <w:b/>
          <w:sz w:val="24"/>
          <w:szCs w:val="20"/>
          <w:u w:val="single"/>
          <w:lang w:eastAsia="de-DE"/>
        </w:rPr>
        <w:t>Kalibrationskurve</w:t>
      </w:r>
      <w:proofErr w:type="spellEnd"/>
    </w:p>
    <w:p w:rsidR="00551705" w:rsidRDefault="00172F3B">
      <w:pPr>
        <w:spacing w:after="0"/>
        <w:jc w:val="both"/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 xml:space="preserve">Zur Aufnahme der </w:t>
      </w:r>
      <w:proofErr w:type="spellStart"/>
      <w:r>
        <w:rPr>
          <w:rFonts w:eastAsia="Times New Roman" w:cs="Times New Roman"/>
          <w:sz w:val="24"/>
          <w:szCs w:val="20"/>
          <w:lang w:eastAsia="de-DE"/>
        </w:rPr>
        <w:t>Kalibrationskurve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 xml:space="preserve"> werden in einen 25 m</w:t>
      </w:r>
      <w:r w:rsidR="00DF3E6C">
        <w:rPr>
          <w:rFonts w:eastAsia="Times New Roman" w:cs="Times New Roman"/>
          <w:sz w:val="24"/>
          <w:szCs w:val="20"/>
          <w:lang w:eastAsia="de-DE"/>
        </w:rPr>
        <w:t>l</w:t>
      </w:r>
      <w:r>
        <w:rPr>
          <w:rFonts w:eastAsia="Times New Roman" w:cs="Times New Roman"/>
          <w:sz w:val="24"/>
          <w:szCs w:val="20"/>
          <w:lang w:eastAsia="de-DE"/>
        </w:rPr>
        <w:noBreakHyphen/>
        <w:t>Messkolben die folgenden Verdünnungen angesetzt. Der in der Tabelle angegebenen Volumina der Kalibrationslösung werden mit H</w:t>
      </w:r>
      <w:r>
        <w:rPr>
          <w:rFonts w:eastAsia="Times New Roman" w:cs="Times New Roman"/>
          <w:sz w:val="24"/>
          <w:szCs w:val="20"/>
          <w:vertAlign w:val="subscript"/>
          <w:lang w:eastAsia="de-DE"/>
        </w:rPr>
        <w:t>2</w:t>
      </w:r>
      <w:r>
        <w:rPr>
          <w:rFonts w:eastAsia="Times New Roman" w:cs="Times New Roman"/>
          <w:sz w:val="24"/>
          <w:szCs w:val="20"/>
          <w:lang w:eastAsia="de-DE"/>
        </w:rPr>
        <w:t>O</w:t>
      </w:r>
      <w:r>
        <w:rPr>
          <w:rFonts w:eastAsia="Times New Roman" w:cs="Times New Roman"/>
          <w:sz w:val="24"/>
          <w:szCs w:val="20"/>
          <w:vertAlign w:val="subscript"/>
          <w:lang w:eastAsia="de-DE"/>
        </w:rPr>
        <w:t>reisnt</w:t>
      </w:r>
      <w:r>
        <w:rPr>
          <w:rFonts w:eastAsia="Times New Roman" w:cs="Times New Roman"/>
          <w:sz w:val="24"/>
          <w:szCs w:val="20"/>
          <w:lang w:eastAsia="de-DE"/>
        </w:rPr>
        <w:t xml:space="preserve"> zu 20 m</w:t>
      </w:r>
      <w:r w:rsidR="00DF3E6C">
        <w:rPr>
          <w:rFonts w:eastAsia="Times New Roman" w:cs="Times New Roman"/>
          <w:sz w:val="24"/>
          <w:szCs w:val="20"/>
          <w:lang w:eastAsia="de-DE"/>
        </w:rPr>
        <w:t>l</w:t>
      </w:r>
      <w:r>
        <w:rPr>
          <w:rFonts w:eastAsia="Times New Roman" w:cs="Times New Roman"/>
          <w:sz w:val="24"/>
          <w:szCs w:val="20"/>
          <w:lang w:eastAsia="de-DE"/>
        </w:rPr>
        <w:t xml:space="preserve"> ergänzt und im Weiteren wie die Proben behandelt.</w:t>
      </w:r>
    </w:p>
    <w:p w:rsidR="00551705" w:rsidRDefault="00551705">
      <w:pPr>
        <w:spacing w:after="0"/>
        <w:jc w:val="both"/>
        <w:rPr>
          <w:rFonts w:eastAsia="Times New Roman" w:cs="Times New Roman"/>
          <w:sz w:val="24"/>
          <w:szCs w:val="20"/>
          <w:lang w:eastAsia="de-DE"/>
        </w:rPr>
      </w:pPr>
    </w:p>
    <w:tbl>
      <w:tblPr>
        <w:tblW w:w="4979" w:type="dxa"/>
        <w:jc w:val="center"/>
        <w:tblBorders>
          <w:top w:val="single" w:sz="12" w:space="0" w:color="00000A"/>
          <w:left w:val="single" w:sz="12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2204"/>
      </w:tblGrid>
      <w:tr w:rsidR="00551705">
        <w:trPr>
          <w:trHeight w:val="465"/>
          <w:jc w:val="center"/>
        </w:trPr>
        <w:tc>
          <w:tcPr>
            <w:tcW w:w="2774" w:type="dxa"/>
            <w:tcBorders>
              <w:top w:val="single" w:sz="12" w:space="0" w:color="00000A"/>
              <w:left w:val="single" w:sz="12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Kalibrationslösung [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mL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]</w:t>
            </w:r>
          </w:p>
        </w:tc>
        <w:tc>
          <w:tcPr>
            <w:tcW w:w="2204" w:type="dxa"/>
            <w:tcBorders>
              <w:top w:val="single" w:sz="12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N [mg/L]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0,0 (Blindwert)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0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0,01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0,6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0,03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0,05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1,4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0,07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0,10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6,0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0,40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10,0 (Standard)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0,50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14,0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0,70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18,0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0,90</w:t>
            </w:r>
          </w:p>
        </w:tc>
      </w:tr>
      <w:tr w:rsidR="00551705">
        <w:trPr>
          <w:trHeight w:val="340"/>
          <w:jc w:val="center"/>
        </w:trPr>
        <w:tc>
          <w:tcPr>
            <w:tcW w:w="277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20,0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1705" w:rsidRDefault="00172F3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eastAsia="de-DE"/>
              </w:rPr>
              <w:t>1,00</w:t>
            </w:r>
          </w:p>
        </w:tc>
      </w:tr>
    </w:tbl>
    <w:p w:rsidR="00E17BF8" w:rsidRDefault="00E17BF8" w:rsidP="00DF3E6C"/>
    <w:sectPr w:rsidR="00E17BF8" w:rsidSect="00DF3E6C">
      <w:footerReference w:type="default" r:id="rId7"/>
      <w:pgSz w:w="11906" w:h="16838"/>
      <w:pgMar w:top="1134" w:right="1418" w:bottom="567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E6C" w:rsidRDefault="00DF3E6C" w:rsidP="00DF3E6C">
      <w:pPr>
        <w:spacing w:after="0"/>
      </w:pPr>
      <w:r>
        <w:separator/>
      </w:r>
    </w:p>
  </w:endnote>
  <w:endnote w:type="continuationSeparator" w:id="0">
    <w:p w:rsidR="00DF3E6C" w:rsidRDefault="00DF3E6C" w:rsidP="00DF3E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E6C" w:rsidRDefault="00DF3E6C">
    <w:pPr>
      <w:pStyle w:val="Fuzeile"/>
    </w:pPr>
    <w:r>
      <w:t>Letzte Änderung 18.04.2023</w:t>
    </w:r>
  </w:p>
  <w:p w:rsidR="00DF3E6C" w:rsidRDefault="00DF3E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E6C" w:rsidRDefault="00DF3E6C" w:rsidP="00DF3E6C">
      <w:pPr>
        <w:spacing w:after="0"/>
      </w:pPr>
      <w:r>
        <w:separator/>
      </w:r>
    </w:p>
  </w:footnote>
  <w:footnote w:type="continuationSeparator" w:id="0">
    <w:p w:rsidR="00DF3E6C" w:rsidRDefault="00DF3E6C" w:rsidP="00DF3E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705"/>
    <w:rsid w:val="00017B31"/>
    <w:rsid w:val="00172F3B"/>
    <w:rsid w:val="00336A96"/>
    <w:rsid w:val="00551705"/>
    <w:rsid w:val="008F4EF5"/>
    <w:rsid w:val="00DF3E6C"/>
    <w:rsid w:val="00E0320E"/>
    <w:rsid w:val="00E17BF8"/>
    <w:rsid w:val="00E577A2"/>
    <w:rsid w:val="00F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B97C"/>
  <w15:docId w15:val="{63966197-457A-4F7D-8343-4A33A05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80"/>
    </w:pPr>
    <w:rPr>
      <w:color w:val="00000A"/>
      <w:sz w:val="22"/>
    </w:rPr>
  </w:style>
  <w:style w:type="paragraph" w:styleId="berschrift1">
    <w:name w:val="heading 1"/>
    <w:basedOn w:val="Standard"/>
    <w:next w:val="Standard"/>
    <w:qFormat/>
    <w:rsid w:val="000B5A6D"/>
    <w:pPr>
      <w:keepNext/>
      <w:spacing w:after="0"/>
      <w:outlineLvl w:val="0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052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0B5A6D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B5A6D"/>
  </w:style>
  <w:style w:type="character" w:customStyle="1" w:styleId="FuzeileZchn">
    <w:name w:val="Fußzeile Zchn"/>
    <w:basedOn w:val="Absatz-Standardschriftart"/>
    <w:link w:val="Fuzeile"/>
    <w:uiPriority w:val="99"/>
    <w:qFormat/>
    <w:rsid w:val="000B5A6D"/>
  </w:style>
  <w:style w:type="character" w:customStyle="1" w:styleId="berschrift2Zchn">
    <w:name w:val="Überschrift 2 Zchn"/>
    <w:basedOn w:val="Absatz-Standardschriftart"/>
    <w:uiPriority w:val="9"/>
    <w:semiHidden/>
    <w:qFormat/>
    <w:rsid w:val="00052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A25A2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34"/>
    <w:qFormat/>
    <w:rsid w:val="008920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5A6D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0B5A6D"/>
    <w:pPr>
      <w:tabs>
        <w:tab w:val="center" w:pos="4536"/>
        <w:tab w:val="right" w:pos="9072"/>
      </w:tabs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A25A2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F376-1426-4004-9E64-609F16A4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Ruhr-Universitaet Bochum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</dc:creator>
  <dc:description/>
  <cp:lastModifiedBy>Sabine Froelich</cp:lastModifiedBy>
  <cp:revision>10</cp:revision>
  <cp:lastPrinted>2020-05-05T09:29:00Z</cp:lastPrinted>
  <dcterms:created xsi:type="dcterms:W3CDTF">2014-04-03T11:15:00Z</dcterms:created>
  <dcterms:modified xsi:type="dcterms:W3CDTF">2023-07-18T07:14:00Z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Ruhr-Universitaet Bochum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