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C619" w14:textId="77777777" w:rsidR="00231A86" w:rsidRDefault="00670AD6">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4 – Gefälligkeitsverhältnisse</w:t>
      </w:r>
    </w:p>
    <w:p w14:paraId="7B6A4EB9" w14:textId="77777777" w:rsidR="00231A86" w:rsidRDefault="00231A86">
      <w:pPr>
        <w:tabs>
          <w:tab w:val="left" w:pos="851"/>
        </w:tabs>
        <w:spacing w:line="276" w:lineRule="auto"/>
        <w:jc w:val="both"/>
        <w:rPr>
          <w:rFonts w:ascii="Arial" w:hAnsi="Arial" w:cs="Arial"/>
          <w:color w:val="002060"/>
          <w:sz w:val="28"/>
          <w:szCs w:val="28"/>
        </w:rPr>
      </w:pPr>
    </w:p>
    <w:p w14:paraId="385AFE67" w14:textId="77777777" w:rsidR="00231A86" w:rsidRDefault="00670AD6">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Beim Mittagessen fragt die Mutter (M) ihren 23-jährigen Sohn (S), ob dieser diesmal das monatliche Putzen der Fenster bei den Großeltern übernehmen könne, da diese ja dazu aufgrund ihres Alters nicht mehr in der Lage seien. S erklärt sich dazu bereit.</w:t>
      </w:r>
    </w:p>
    <w:p w14:paraId="15DE7E2D" w14:textId="77777777" w:rsidR="00231A86" w:rsidRDefault="00670AD6">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Später kommt es zu einem Streit zwischen M und S. Der S weigert sich deswegen, seinem Versprechen nachzukommen.</w:t>
      </w:r>
    </w:p>
    <w:p w14:paraId="139B4623" w14:textId="77777777" w:rsidR="00231A86" w:rsidRDefault="00231A86">
      <w:pPr>
        <w:tabs>
          <w:tab w:val="left" w:pos="851"/>
        </w:tabs>
        <w:spacing w:line="276" w:lineRule="auto"/>
        <w:jc w:val="both"/>
        <w:rPr>
          <w:rFonts w:ascii="Arial" w:hAnsi="Arial" w:cs="Arial"/>
          <w:color w:val="002060"/>
          <w:sz w:val="28"/>
          <w:szCs w:val="28"/>
        </w:rPr>
      </w:pPr>
    </w:p>
    <w:p w14:paraId="46DE729F" w14:textId="77777777" w:rsidR="00231A86" w:rsidRDefault="00670AD6">
      <w:pPr>
        <w:tabs>
          <w:tab w:val="left" w:pos="851"/>
        </w:tabs>
        <w:spacing w:line="276" w:lineRule="auto"/>
        <w:jc w:val="both"/>
        <w:rPr>
          <w:rFonts w:ascii="Arial" w:hAnsi="Arial" w:cs="Arial"/>
          <w:b/>
          <w:bCs/>
          <w:color w:val="002060"/>
          <w:sz w:val="28"/>
          <w:szCs w:val="28"/>
        </w:rPr>
      </w:pPr>
      <w:r>
        <w:rPr>
          <w:rFonts w:ascii="Arial" w:hAnsi="Arial" w:cs="Arial"/>
          <w:b/>
          <w:color w:val="002060"/>
          <w:sz w:val="28"/>
          <w:szCs w:val="28"/>
        </w:rPr>
        <w:t>1.</w:t>
      </w:r>
      <w:r>
        <w:rPr>
          <w:rFonts w:ascii="Arial" w:hAnsi="Arial" w:cs="Arial"/>
          <w:color w:val="002060"/>
          <w:sz w:val="28"/>
          <w:szCs w:val="28"/>
        </w:rPr>
        <w:t xml:space="preserve"> </w:t>
      </w:r>
      <w:r>
        <w:rPr>
          <w:rFonts w:ascii="Arial" w:hAnsi="Arial" w:cs="Arial"/>
          <w:b/>
          <w:bCs/>
          <w:color w:val="002060"/>
          <w:sz w:val="28"/>
          <w:szCs w:val="28"/>
        </w:rPr>
        <w:t>M wendet sich daraufhin an die Jurastudentin X mit der Frage, ob sie einen rechtlichen Anspruch gegenüber ihrem Sohn habe.</w:t>
      </w:r>
    </w:p>
    <w:p w14:paraId="5EE029A8" w14:textId="77777777" w:rsidR="00231A86" w:rsidRDefault="00231A86">
      <w:pPr>
        <w:tabs>
          <w:tab w:val="left" w:pos="851"/>
        </w:tabs>
        <w:spacing w:line="276" w:lineRule="auto"/>
        <w:jc w:val="both"/>
        <w:rPr>
          <w:rFonts w:ascii="Arial" w:hAnsi="Arial" w:cs="Arial"/>
          <w:color w:val="002060"/>
          <w:sz w:val="28"/>
          <w:szCs w:val="28"/>
        </w:rPr>
      </w:pPr>
    </w:p>
    <w:p w14:paraId="58AB0173" w14:textId="77777777" w:rsidR="00231A86" w:rsidRDefault="00670AD6">
      <w:pPr>
        <w:tabs>
          <w:tab w:val="left" w:pos="851"/>
        </w:tabs>
        <w:spacing w:line="276" w:lineRule="auto"/>
        <w:jc w:val="both"/>
        <w:rPr>
          <w:rFonts w:ascii="Arial" w:hAnsi="Arial" w:cs="Arial"/>
          <w:color w:val="002060"/>
          <w:sz w:val="28"/>
          <w:szCs w:val="28"/>
        </w:rPr>
      </w:pPr>
      <w:r>
        <w:rPr>
          <w:rFonts w:ascii="Arial" w:hAnsi="Arial" w:cs="Arial"/>
          <w:b/>
          <w:color w:val="002060"/>
          <w:sz w:val="28"/>
          <w:szCs w:val="28"/>
        </w:rPr>
        <w:t>2.</w:t>
      </w:r>
      <w:r>
        <w:rPr>
          <w:rFonts w:ascii="Arial" w:hAnsi="Arial" w:cs="Arial"/>
          <w:color w:val="002060"/>
          <w:sz w:val="28"/>
          <w:szCs w:val="28"/>
        </w:rPr>
        <w:t xml:space="preserve"> Als der S die Arbeit später doch übernimmt, kommt es zu einem unangenehmen Zwischenfall:</w:t>
      </w:r>
    </w:p>
    <w:p w14:paraId="33637670" w14:textId="77777777" w:rsidR="00231A86" w:rsidRDefault="00670AD6">
      <w:pPr>
        <w:tabs>
          <w:tab w:val="left" w:pos="851"/>
        </w:tabs>
        <w:spacing w:line="276" w:lineRule="auto"/>
        <w:jc w:val="both"/>
        <w:rPr>
          <w:rFonts w:ascii="Arial" w:hAnsi="Arial" w:cs="Arial"/>
          <w:b/>
          <w:bCs/>
          <w:color w:val="002060"/>
          <w:sz w:val="28"/>
          <w:szCs w:val="28"/>
        </w:rPr>
      </w:pPr>
      <w:r>
        <w:rPr>
          <w:rFonts w:ascii="Arial" w:hAnsi="Arial" w:cs="Arial"/>
          <w:color w:val="002060"/>
          <w:sz w:val="28"/>
          <w:szCs w:val="28"/>
        </w:rPr>
        <w:t xml:space="preserve">Beim Putzen der Fenster bekommt S Ausschlag vom Putzmittel, das die M bereitgestellt hatte, obwohl sie eigentlich wusste, dass S dagegen allergisch ist. Solche Fehler passieren M eigentlich nicht. S muss sich eine Salbe zur Linderung der Symptome kaufen, die 200 € kostet. </w:t>
      </w:r>
      <w:r>
        <w:rPr>
          <w:rFonts w:ascii="Arial" w:hAnsi="Arial" w:cs="Arial"/>
          <w:b/>
          <w:bCs/>
          <w:color w:val="002060"/>
          <w:sz w:val="28"/>
          <w:szCs w:val="28"/>
        </w:rPr>
        <w:t>Er fragt ebenfalls X, ob er die 200 € von M ersetzt bekommen kann.</w:t>
      </w:r>
    </w:p>
    <w:p w14:paraId="09C3827A" w14:textId="77777777" w:rsidR="00231A86" w:rsidRDefault="00670AD6">
      <w:pPr>
        <w:spacing w:line="276" w:lineRule="auto"/>
        <w:ind w:right="0"/>
        <w:rPr>
          <w:rFonts w:ascii="Arial" w:hAnsi="Arial" w:cs="Arial"/>
          <w:color w:val="002060"/>
          <w:sz w:val="28"/>
        </w:rPr>
      </w:pPr>
      <w:r>
        <w:rPr>
          <w:rFonts w:ascii="Arial" w:hAnsi="Arial" w:cs="Arial"/>
          <w:color w:val="002060"/>
          <w:sz w:val="28"/>
        </w:rPr>
        <w:br w:type="page" w:clear="all"/>
      </w:r>
    </w:p>
    <w:p w14:paraId="2C71495B" w14:textId="77777777" w:rsidR="00231A86" w:rsidRDefault="00670AD6">
      <w:pPr>
        <w:pBdr>
          <w:top w:val="single" w:sz="4" w:space="1" w:color="000000"/>
          <w:left w:val="single" w:sz="4" w:space="4" w:color="000000"/>
          <w:bottom w:val="single" w:sz="4" w:space="1" w:color="000000"/>
          <w:right w:val="single" w:sz="4" w:space="4" w:color="000000"/>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1117E308" w14:textId="77777777" w:rsidR="00231A86" w:rsidRDefault="00231A86">
      <w:pPr>
        <w:spacing w:line="276" w:lineRule="auto"/>
        <w:ind w:right="850"/>
        <w:rPr>
          <w:rFonts w:ascii="Arial" w:hAnsi="Arial" w:cs="Arial"/>
          <w:b/>
          <w:color w:val="002060"/>
          <w:sz w:val="28"/>
          <w:szCs w:val="28"/>
          <w:u w:val="single"/>
        </w:rPr>
      </w:pPr>
    </w:p>
    <w:p w14:paraId="5C6D5B82" w14:textId="77777777" w:rsidR="00231A86" w:rsidRDefault="00670AD6">
      <w:pPr>
        <w:spacing w:line="276" w:lineRule="auto"/>
        <w:ind w:right="850"/>
        <w:rPr>
          <w:rFonts w:ascii="Arial" w:hAnsi="Arial" w:cs="Arial"/>
          <w:b/>
          <w:color w:val="002060"/>
          <w:sz w:val="28"/>
          <w:szCs w:val="28"/>
        </w:rPr>
      </w:pPr>
      <w:r>
        <w:rPr>
          <w:rFonts w:ascii="Arial" w:hAnsi="Arial" w:cs="Arial"/>
          <w:b/>
          <w:color w:val="002060"/>
          <w:sz w:val="28"/>
          <w:szCs w:val="28"/>
        </w:rPr>
        <w:t>Frage 1:</w:t>
      </w:r>
    </w:p>
    <w:p w14:paraId="6A5C6D81" w14:textId="77777777" w:rsidR="00231A86" w:rsidRDefault="00670AD6">
      <w:pPr>
        <w:spacing w:line="276" w:lineRule="auto"/>
        <w:ind w:right="850"/>
        <w:jc w:val="both"/>
        <w:rPr>
          <w:rFonts w:ascii="Arial" w:hAnsi="Arial" w:cs="Arial"/>
          <w:b/>
          <w:color w:val="002060"/>
          <w:sz w:val="28"/>
          <w:szCs w:val="28"/>
        </w:rPr>
      </w:pPr>
      <w:r>
        <w:rPr>
          <w:rFonts w:ascii="Arial" w:hAnsi="Arial" w:cs="Arial"/>
          <w:b/>
          <w:color w:val="002060"/>
          <w:sz w:val="28"/>
          <w:szCs w:val="28"/>
        </w:rPr>
        <w:t>M könnte gegen S einen Anspruch auf Durchführung des monatlichen Putzens bei den Großeltern haben.</w:t>
      </w:r>
    </w:p>
    <w:p w14:paraId="76E1E18D" w14:textId="77777777" w:rsidR="00231A86" w:rsidRDefault="00231A86">
      <w:pPr>
        <w:spacing w:line="276" w:lineRule="auto"/>
        <w:ind w:right="850"/>
        <w:jc w:val="both"/>
        <w:rPr>
          <w:rFonts w:ascii="Arial" w:hAnsi="Arial" w:cs="Arial"/>
          <w:color w:val="002060"/>
          <w:sz w:val="28"/>
          <w:szCs w:val="28"/>
        </w:rPr>
      </w:pPr>
    </w:p>
    <w:p w14:paraId="5296C972" w14:textId="77777777" w:rsidR="00231A86" w:rsidRDefault="00670AD6">
      <w:pPr>
        <w:spacing w:line="276" w:lineRule="auto"/>
        <w:ind w:right="850"/>
        <w:jc w:val="both"/>
        <w:rPr>
          <w:rFonts w:ascii="Arial" w:hAnsi="Arial" w:cs="Arial"/>
          <w:b/>
          <w:color w:val="002060"/>
          <w:sz w:val="28"/>
          <w:szCs w:val="28"/>
        </w:rPr>
      </w:pPr>
      <w:r>
        <w:rPr>
          <w:rFonts w:ascii="Arial" w:hAnsi="Arial" w:cs="Arial"/>
          <w:b/>
          <w:color w:val="002060"/>
          <w:sz w:val="28"/>
          <w:szCs w:val="28"/>
        </w:rPr>
        <w:t>A. Bestehen eines Schuldverhältnisses zwischen M und S</w:t>
      </w:r>
    </w:p>
    <w:p w14:paraId="7DBAF18D" w14:textId="77777777" w:rsidR="00231A86" w:rsidRDefault="00670AD6">
      <w:pPr>
        <w:spacing w:line="276" w:lineRule="auto"/>
        <w:ind w:right="850"/>
        <w:jc w:val="both"/>
        <w:rPr>
          <w:rFonts w:ascii="Arial" w:hAnsi="Arial" w:cs="Arial"/>
          <w:color w:val="002060"/>
          <w:sz w:val="28"/>
          <w:szCs w:val="28"/>
        </w:rPr>
      </w:pPr>
      <w:r>
        <w:rPr>
          <w:rFonts w:ascii="Arial" w:hAnsi="Arial" w:cs="Arial"/>
          <w:color w:val="002060"/>
          <w:sz w:val="28"/>
          <w:szCs w:val="28"/>
        </w:rPr>
        <w:t>Dafür müsste zwischen M und S ein Schuldverhältnis bestehen. Zwischen M und S könnte ein rechtsgeschäftliches Schuldverhältnis begründet worden sein, § 311 Abs. 1 BGB.</w:t>
      </w:r>
    </w:p>
    <w:p w14:paraId="07D1B7F2" w14:textId="77777777" w:rsidR="00231A86" w:rsidRDefault="00231A86">
      <w:pPr>
        <w:spacing w:line="276" w:lineRule="auto"/>
        <w:ind w:right="850"/>
        <w:jc w:val="both"/>
        <w:rPr>
          <w:rFonts w:ascii="Arial" w:hAnsi="Arial" w:cs="Arial"/>
          <w:b/>
          <w:color w:val="002060"/>
          <w:sz w:val="28"/>
          <w:szCs w:val="28"/>
        </w:rPr>
      </w:pPr>
    </w:p>
    <w:p w14:paraId="138A6CFF"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1. Dienstvertrag, § 611 BGB</w:t>
      </w:r>
    </w:p>
    <w:p w14:paraId="40844150"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Ein Dienstvertrag nach § 611 BGB kommt mangels Entgeltlichkeit nicht in Betracht. </w:t>
      </w:r>
    </w:p>
    <w:p w14:paraId="2CCA6943"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6C3508F4"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2. Werkvertrag, § 631 BGB</w:t>
      </w:r>
    </w:p>
    <w:p w14:paraId="49A55BC5"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Ein Werkvertrag nach § 631 BGB kommt ebenfalls mangels Entgeltlichkeit nicht in Betracht.</w:t>
      </w:r>
    </w:p>
    <w:p w14:paraId="67BE7A64"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116A48C4" w14:textId="77777777" w:rsidR="00231A86" w:rsidRDefault="00670AD6">
      <w:pPr>
        <w:tabs>
          <w:tab w:val="left" w:pos="993"/>
        </w:tabs>
        <w:spacing w:line="276" w:lineRule="auto"/>
        <w:ind w:left="993" w:right="850"/>
        <w:jc w:val="both"/>
        <w:rPr>
          <w:rFonts w:ascii="Arial" w:eastAsia="Calibri" w:hAnsi="Arial" w:cs="Arial"/>
          <w:i/>
          <w:color w:val="002060"/>
          <w:sz w:val="28"/>
          <w:szCs w:val="28"/>
        </w:rPr>
      </w:pPr>
      <w:r>
        <w:rPr>
          <w:rFonts w:ascii="Arial" w:eastAsia="Calibri" w:hAnsi="Arial" w:cs="Arial"/>
          <w:i/>
          <w:color w:val="002060"/>
          <w:sz w:val="28"/>
          <w:szCs w:val="28"/>
          <w:lang w:eastAsia="en-US"/>
        </w:rPr>
        <w:t>Hinweis: Die Prüfungspunkte 1. und 2. erfolgten zu didaktischen Zwecken und können in einer Klausur mangels Fallrelevanz auch weggelassen werden.</w:t>
      </w:r>
    </w:p>
    <w:p w14:paraId="3576330A"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1290C414"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3. Auftrag, § 662 BGB</w:t>
      </w:r>
    </w:p>
    <w:p w14:paraId="56BEE4A4" w14:textId="0BD53879" w:rsidR="00231A86" w:rsidRDefault="00670AD6">
      <w:pPr>
        <w:tabs>
          <w:tab w:val="left" w:pos="993"/>
        </w:tabs>
        <w:spacing w:line="276" w:lineRule="auto"/>
        <w:ind w:right="850"/>
        <w:jc w:val="both"/>
        <w:rPr>
          <w:rFonts w:ascii="Arial" w:eastAsia="Calibri" w:hAnsi="Arial" w:cs="Arial"/>
          <w:color w:val="002060"/>
          <w:sz w:val="28"/>
          <w:szCs w:val="28"/>
          <w:lang w:eastAsia="en-US"/>
        </w:rPr>
      </w:pPr>
      <w:r>
        <w:rPr>
          <w:rFonts w:ascii="Arial" w:eastAsia="Calibri" w:hAnsi="Arial" w:cs="Arial"/>
          <w:color w:val="002060"/>
          <w:sz w:val="28"/>
          <w:szCs w:val="28"/>
          <w:lang w:eastAsia="en-US"/>
        </w:rPr>
        <w:t>Zwischen M und S könnte ein unentgeltliches Auftragsverhältnis nach §</w:t>
      </w:r>
      <w:r w:rsidR="00F34532">
        <w:rPr>
          <w:rFonts w:ascii="Arial" w:eastAsia="Calibri" w:hAnsi="Arial" w:cs="Arial"/>
          <w:color w:val="002060"/>
          <w:sz w:val="28"/>
          <w:szCs w:val="28"/>
          <w:lang w:eastAsia="en-US"/>
        </w:rPr>
        <w:t> </w:t>
      </w:r>
      <w:r>
        <w:rPr>
          <w:rFonts w:ascii="Arial" w:eastAsia="Calibri" w:hAnsi="Arial" w:cs="Arial"/>
          <w:color w:val="002060"/>
          <w:sz w:val="28"/>
          <w:szCs w:val="28"/>
          <w:lang w:eastAsia="en-US"/>
        </w:rPr>
        <w:t>662 vorliegen. Dafür müssten sich M und S über das Zustandekommen eines solchen Vertrags i. S. d. §§ 145 ff. BGB geeinigt haben.</w:t>
      </w:r>
    </w:p>
    <w:p w14:paraId="74565C50"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3020691E"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a. Antrag der M</w:t>
      </w:r>
    </w:p>
    <w:p w14:paraId="666D67B5"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Seitens M liegt ein Antrag gegenüber S zum Abschluss eines unentgeltlichen Auftrags vor, mit dem Inhalt die Fenster bei den Großeltern zu putzen.</w:t>
      </w:r>
    </w:p>
    <w:p w14:paraId="0E30735B"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2E0769B4" w14:textId="4F951447" w:rsidR="00F34532" w:rsidRPr="00111153" w:rsidRDefault="00F34532" w:rsidP="00F34532">
      <w:pPr>
        <w:tabs>
          <w:tab w:val="left" w:pos="993"/>
        </w:tabs>
        <w:spacing w:line="276" w:lineRule="auto"/>
        <w:ind w:left="993" w:right="850"/>
        <w:jc w:val="both"/>
        <w:rPr>
          <w:rFonts w:ascii="Arial" w:eastAsia="Calibri" w:hAnsi="Arial" w:cs="Arial"/>
          <w:i/>
          <w:color w:val="002060"/>
          <w:sz w:val="28"/>
          <w:szCs w:val="28"/>
        </w:rPr>
      </w:pPr>
      <w:r w:rsidRPr="00111153">
        <w:rPr>
          <w:rFonts w:ascii="Arial" w:eastAsia="Calibri" w:hAnsi="Arial" w:cs="Arial"/>
          <w:i/>
          <w:color w:val="002060"/>
          <w:sz w:val="28"/>
          <w:szCs w:val="28"/>
        </w:rPr>
        <w:t>Hinweis</w:t>
      </w:r>
      <w:r w:rsidR="00111153" w:rsidRPr="00111153">
        <w:rPr>
          <w:rFonts w:ascii="Arial" w:eastAsia="Calibri" w:hAnsi="Arial" w:cs="Arial"/>
          <w:i/>
          <w:color w:val="002060"/>
          <w:sz w:val="28"/>
          <w:szCs w:val="28"/>
        </w:rPr>
        <w:t xml:space="preserve">: </w:t>
      </w:r>
      <w:r w:rsidRPr="00111153">
        <w:rPr>
          <w:rFonts w:ascii="Arial" w:eastAsia="Calibri" w:hAnsi="Arial" w:cs="Arial"/>
          <w:i/>
          <w:color w:val="002060"/>
          <w:sz w:val="28"/>
          <w:szCs w:val="28"/>
        </w:rPr>
        <w:t xml:space="preserve">Das </w:t>
      </w:r>
      <w:r w:rsidR="00111153" w:rsidRPr="00111153">
        <w:rPr>
          <w:rFonts w:ascii="Arial" w:eastAsia="Calibri" w:hAnsi="Arial" w:cs="Arial"/>
          <w:i/>
          <w:color w:val="002060"/>
          <w:sz w:val="28"/>
          <w:szCs w:val="28"/>
        </w:rPr>
        <w:t>kann man auch anders sehen</w:t>
      </w:r>
      <w:r w:rsidRPr="00111153">
        <w:rPr>
          <w:rFonts w:ascii="Arial" w:eastAsia="Calibri" w:hAnsi="Arial" w:cs="Arial"/>
          <w:i/>
          <w:color w:val="002060"/>
          <w:sz w:val="28"/>
          <w:szCs w:val="28"/>
        </w:rPr>
        <w:t>. Naheliegend erscheint es</w:t>
      </w:r>
      <w:r w:rsidR="00111153" w:rsidRPr="00111153">
        <w:rPr>
          <w:rFonts w:ascii="Arial" w:eastAsia="Calibri" w:hAnsi="Arial" w:cs="Arial"/>
          <w:i/>
          <w:color w:val="002060"/>
          <w:sz w:val="28"/>
          <w:szCs w:val="28"/>
        </w:rPr>
        <w:t xml:space="preserve"> etwa</w:t>
      </w:r>
      <w:r w:rsidRPr="00111153">
        <w:rPr>
          <w:rFonts w:ascii="Arial" w:eastAsia="Calibri" w:hAnsi="Arial" w:cs="Arial"/>
          <w:i/>
          <w:color w:val="002060"/>
          <w:sz w:val="28"/>
          <w:szCs w:val="28"/>
        </w:rPr>
        <w:t>, bereits hier mit den Kriterien „Kontext“, „wirtschaftlichliches Interesse“ und/oder „Haftungsrisiken“ das Vorliegen einer Willenserklärung mangels Rechtsbindungswillen zu verneinen.</w:t>
      </w:r>
    </w:p>
    <w:p w14:paraId="41B93EDF" w14:textId="77777777" w:rsidR="00F34532" w:rsidRPr="00F34532" w:rsidRDefault="00F34532" w:rsidP="00F34532">
      <w:pPr>
        <w:tabs>
          <w:tab w:val="left" w:pos="993"/>
        </w:tabs>
        <w:spacing w:line="276" w:lineRule="auto"/>
        <w:ind w:left="993" w:right="850"/>
        <w:jc w:val="both"/>
        <w:rPr>
          <w:rFonts w:ascii="Arial" w:eastAsia="Calibri" w:hAnsi="Arial" w:cs="Arial"/>
          <w:i/>
          <w:color w:val="002060"/>
          <w:sz w:val="28"/>
          <w:szCs w:val="28"/>
        </w:rPr>
      </w:pPr>
    </w:p>
    <w:p w14:paraId="73C63369"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lastRenderedPageBreak/>
        <w:t>b. Annahme des S?</w:t>
      </w:r>
    </w:p>
    <w:p w14:paraId="15AF3CAE"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S müsste den Antrag angenommen haben. Die Annahme ist eine empfangsbedürftige Willenserklärung mit dem Inhalt der uneingeschränkten Zustimmung des Antrags. Eine Willenserklärung seitens S liegt vor, wenn er bei der Zusage zum Putzen mit Rechtsbindungswillen, d. h. dem Willen, sich rechtlich zu binden, gehandelt hätte. Ob S eine rechtlich verbindliche Erklärung oder nur eine unverbindliche Gefälligkeitszusage abgegeben hat, ist vorliegend durch Auslegung zu ermitteln, §§ 133, 157. Dass S dem Putzen zusagt, ohne Entgelt zu erhalten, spricht allein nicht für einen fehlenden Rechtsbindungswillen. Es besteht auch die Möglichkeit eines unentgeltlichen Vertrages, vgl. § 662. S möchte mit der Zusage zum Fensterputzen bei den Großeltern seine Familie unterstützen. Maßgeblich für die Zusage ist allein die familiäre Beziehung und nicht die Verfolgung von eigenen wirtschaftlichen oder rechtlichen Interessen. Legt man nach dem objektiven Empfängerhorizont aus, will S sich mit der Zusage also nicht rechtlich binden, sondern lediglich seiner Familie einen Gefallen tun. Es fehlt am Rechtsbindungswillen. Zwischen S und M ist kein Vertrag zustande gekommen. Es liegt ein Gefälligkeitsverhältnis vor.</w:t>
      </w:r>
    </w:p>
    <w:p w14:paraId="7EB7AAA9" w14:textId="77777777" w:rsidR="00231A86" w:rsidRDefault="00231A86">
      <w:pPr>
        <w:spacing w:line="276" w:lineRule="auto"/>
        <w:ind w:right="850"/>
        <w:rPr>
          <w:rFonts w:ascii="Arial" w:hAnsi="Arial" w:cs="Arial"/>
          <w:b/>
          <w:color w:val="002060"/>
          <w:sz w:val="28"/>
          <w:szCs w:val="28"/>
        </w:rPr>
      </w:pPr>
    </w:p>
    <w:p w14:paraId="671B1239" w14:textId="77777777" w:rsidR="00231A86" w:rsidRDefault="00231A86">
      <w:pPr>
        <w:spacing w:line="276" w:lineRule="auto"/>
        <w:ind w:right="850"/>
        <w:rPr>
          <w:rFonts w:ascii="Arial" w:hAnsi="Arial" w:cs="Arial"/>
          <w:b/>
          <w:color w:val="002060"/>
          <w:sz w:val="28"/>
          <w:szCs w:val="28"/>
        </w:rPr>
      </w:pPr>
    </w:p>
    <w:p w14:paraId="1497063A" w14:textId="77777777" w:rsidR="00231A86" w:rsidRDefault="00670AD6">
      <w:pPr>
        <w:tabs>
          <w:tab w:val="left" w:pos="993"/>
        </w:tabs>
        <w:spacing w:line="276" w:lineRule="auto"/>
        <w:ind w:right="850"/>
        <w:rPr>
          <w:rFonts w:ascii="Arial" w:eastAsia="Calibri" w:hAnsi="Arial" w:cs="Arial"/>
          <w:b/>
          <w:color w:val="002060"/>
          <w:sz w:val="28"/>
          <w:szCs w:val="28"/>
        </w:rPr>
      </w:pPr>
      <w:r>
        <w:rPr>
          <w:rFonts w:ascii="Arial" w:eastAsia="Calibri" w:hAnsi="Arial" w:cs="Arial"/>
          <w:b/>
          <w:color w:val="002060"/>
          <w:sz w:val="28"/>
          <w:szCs w:val="28"/>
          <w:lang w:eastAsia="en-US"/>
        </w:rPr>
        <w:t>B. Ergebnis</w:t>
      </w:r>
    </w:p>
    <w:p w14:paraId="00D699AB"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hAnsi="Arial" w:cs="Arial"/>
          <w:color w:val="002060"/>
          <w:sz w:val="28"/>
          <w:szCs w:val="28"/>
        </w:rPr>
        <w:t>M hat gegen S keinen Anspruch auf Durchführung des monatlichen Putzens bei den Großeltern, da im</w:t>
      </w:r>
      <w:r>
        <w:rPr>
          <w:rFonts w:ascii="Arial" w:hAnsi="Arial" w:cs="Arial"/>
          <w:b/>
          <w:color w:val="002060"/>
          <w:sz w:val="28"/>
          <w:szCs w:val="28"/>
        </w:rPr>
        <w:t xml:space="preserve"> </w:t>
      </w:r>
      <w:r>
        <w:rPr>
          <w:rFonts w:ascii="Arial" w:eastAsia="Calibri" w:hAnsi="Arial" w:cs="Arial"/>
          <w:color w:val="002060"/>
          <w:sz w:val="28"/>
          <w:szCs w:val="28"/>
          <w:lang w:eastAsia="en-US"/>
        </w:rPr>
        <w:t>Gefälligkeitsverhältnis kein Erfüllungsanspruch gewährt wird.</w:t>
      </w:r>
    </w:p>
    <w:p w14:paraId="43D1EA3F" w14:textId="77777777" w:rsidR="00231A86" w:rsidRDefault="00231A86">
      <w:pPr>
        <w:tabs>
          <w:tab w:val="left" w:pos="993"/>
        </w:tabs>
        <w:spacing w:line="276" w:lineRule="auto"/>
        <w:ind w:right="850"/>
        <w:rPr>
          <w:rFonts w:ascii="Arial" w:eastAsia="Calibri" w:hAnsi="Arial" w:cs="Arial"/>
          <w:b/>
          <w:color w:val="002060"/>
          <w:sz w:val="28"/>
          <w:szCs w:val="28"/>
        </w:rPr>
      </w:pPr>
    </w:p>
    <w:p w14:paraId="67144468" w14:textId="77777777" w:rsidR="00231A86" w:rsidRDefault="00231A86">
      <w:pPr>
        <w:tabs>
          <w:tab w:val="left" w:pos="993"/>
        </w:tabs>
        <w:spacing w:line="276" w:lineRule="auto"/>
        <w:ind w:right="850"/>
        <w:rPr>
          <w:rFonts w:ascii="Arial" w:eastAsia="Calibri" w:hAnsi="Arial" w:cs="Arial"/>
          <w:b/>
          <w:color w:val="002060"/>
          <w:sz w:val="28"/>
          <w:szCs w:val="28"/>
        </w:rPr>
      </w:pPr>
    </w:p>
    <w:p w14:paraId="0F914711" w14:textId="77777777" w:rsidR="00231A86" w:rsidRDefault="00670AD6">
      <w:pPr>
        <w:tabs>
          <w:tab w:val="left" w:pos="993"/>
        </w:tabs>
        <w:spacing w:line="276" w:lineRule="auto"/>
        <w:ind w:right="850"/>
        <w:rPr>
          <w:rFonts w:ascii="Arial" w:eastAsia="Calibri" w:hAnsi="Arial" w:cs="Arial"/>
          <w:b/>
          <w:color w:val="002060"/>
          <w:sz w:val="28"/>
          <w:szCs w:val="28"/>
        </w:rPr>
      </w:pPr>
      <w:r>
        <w:rPr>
          <w:rFonts w:ascii="Arial" w:eastAsia="Calibri" w:hAnsi="Arial" w:cs="Arial"/>
          <w:b/>
          <w:color w:val="002060"/>
          <w:sz w:val="28"/>
          <w:szCs w:val="28"/>
          <w:lang w:eastAsia="en-US"/>
        </w:rPr>
        <w:t>Frage 2:</w:t>
      </w:r>
    </w:p>
    <w:p w14:paraId="535FFF43" w14:textId="77777777" w:rsidR="00231A86" w:rsidRDefault="00670AD6">
      <w:pPr>
        <w:tabs>
          <w:tab w:val="left" w:pos="993"/>
        </w:tabs>
        <w:spacing w:line="276" w:lineRule="auto"/>
        <w:ind w:right="850"/>
        <w:rPr>
          <w:rFonts w:ascii="Arial" w:eastAsia="Calibri" w:hAnsi="Arial" w:cs="Arial"/>
          <w:b/>
          <w:color w:val="002060"/>
          <w:sz w:val="28"/>
          <w:szCs w:val="28"/>
          <w:lang w:eastAsia="en-US"/>
        </w:rPr>
      </w:pPr>
      <w:r>
        <w:rPr>
          <w:rFonts w:ascii="Arial" w:eastAsia="Calibri" w:hAnsi="Arial" w:cs="Arial"/>
          <w:b/>
          <w:color w:val="002060"/>
          <w:sz w:val="28"/>
          <w:szCs w:val="28"/>
          <w:lang w:eastAsia="en-US"/>
        </w:rPr>
        <w:t xml:space="preserve">A. Anspruch des S gegen M auf Ersatz der 200 € aus §§ 280 Abs. 1, 241 Abs. 2 BGB </w:t>
      </w:r>
    </w:p>
    <w:p w14:paraId="24D08E00" w14:textId="77777777" w:rsidR="00231A86" w:rsidRDefault="00231A86">
      <w:pPr>
        <w:tabs>
          <w:tab w:val="left" w:pos="993"/>
        </w:tabs>
        <w:spacing w:line="276" w:lineRule="auto"/>
        <w:ind w:right="850"/>
        <w:rPr>
          <w:rFonts w:ascii="Arial" w:eastAsia="Calibri" w:hAnsi="Arial" w:cs="Arial"/>
          <w:b/>
          <w:color w:val="002060"/>
          <w:sz w:val="28"/>
          <w:szCs w:val="28"/>
        </w:rPr>
      </w:pPr>
    </w:p>
    <w:p w14:paraId="6FE4559D" w14:textId="77777777" w:rsidR="00231A86" w:rsidRDefault="00670AD6">
      <w:pPr>
        <w:tabs>
          <w:tab w:val="left" w:pos="993"/>
        </w:tabs>
        <w:spacing w:line="276" w:lineRule="auto"/>
        <w:ind w:right="850"/>
        <w:rPr>
          <w:rFonts w:ascii="Arial" w:eastAsia="Calibri" w:hAnsi="Arial" w:cs="Arial"/>
          <w:b/>
          <w:color w:val="002060"/>
          <w:sz w:val="28"/>
          <w:szCs w:val="28"/>
        </w:rPr>
      </w:pPr>
      <w:r>
        <w:rPr>
          <w:rFonts w:ascii="Arial" w:eastAsia="Calibri" w:hAnsi="Arial" w:cs="Arial"/>
          <w:b/>
          <w:color w:val="002060"/>
          <w:sz w:val="28"/>
          <w:szCs w:val="28"/>
          <w:lang w:eastAsia="en-US"/>
        </w:rPr>
        <w:t>I. Schuldverhältnis</w:t>
      </w:r>
    </w:p>
    <w:p w14:paraId="19510705" w14:textId="494805BF" w:rsidR="00F34532" w:rsidRPr="00F34532" w:rsidRDefault="00670AD6">
      <w:pPr>
        <w:tabs>
          <w:tab w:val="left" w:pos="993"/>
        </w:tabs>
        <w:spacing w:line="276" w:lineRule="auto"/>
        <w:ind w:right="850"/>
        <w:jc w:val="both"/>
        <w:rPr>
          <w:rFonts w:ascii="Arial" w:eastAsia="Calibri" w:hAnsi="Arial" w:cs="Arial"/>
          <w:color w:val="002060"/>
          <w:sz w:val="28"/>
          <w:szCs w:val="28"/>
          <w:lang w:eastAsia="en-US"/>
        </w:rPr>
      </w:pPr>
      <w:r>
        <w:rPr>
          <w:rFonts w:ascii="Arial" w:eastAsia="Calibri" w:hAnsi="Arial" w:cs="Arial"/>
          <w:color w:val="002060"/>
          <w:sz w:val="28"/>
          <w:szCs w:val="28"/>
          <w:lang w:eastAsia="en-US"/>
        </w:rPr>
        <w:t>Wie zuvor geprüft, liegt zwischen S und M kein Vertrag, sondern lediglich ein Gefälligkeitsverhältnis vor. Grundsätzlich bestehen bei Kontakten im rein sozialen Bereich keine Schutzpflichten. Allerdings könnte hier ein Gefälligkeitsverhältnis mit rechtsgeschäftlichem Einschlag, § 311 Abs. 2 BGB, vorliegen, welches dann zwar weiterhin keine Leistungspflicht, dafür aber Schutzpflichten nach § 241 Abs. 2 BGB begründet.</w:t>
      </w:r>
    </w:p>
    <w:p w14:paraId="36E651F4" w14:textId="77777777" w:rsidR="00231A86" w:rsidRDefault="00231A86">
      <w:pPr>
        <w:tabs>
          <w:tab w:val="left" w:pos="993"/>
        </w:tabs>
        <w:spacing w:line="276" w:lineRule="auto"/>
        <w:ind w:left="360" w:right="850"/>
        <w:jc w:val="both"/>
        <w:rPr>
          <w:rFonts w:ascii="Arial" w:eastAsia="Calibri" w:hAnsi="Arial" w:cs="Arial"/>
          <w:color w:val="002060"/>
          <w:sz w:val="28"/>
          <w:szCs w:val="28"/>
        </w:rPr>
      </w:pPr>
    </w:p>
    <w:p w14:paraId="3CE2BBD5" w14:textId="77777777" w:rsidR="00231A86" w:rsidRDefault="00670AD6">
      <w:pPr>
        <w:pStyle w:val="Listenabsatz"/>
        <w:numPr>
          <w:ilvl w:val="0"/>
          <w:numId w:val="6"/>
        </w:num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lastRenderedPageBreak/>
        <w:t>Bestehen von Schutzpflichten im Gefälligkeitsverhältnis</w:t>
      </w:r>
    </w:p>
    <w:p w14:paraId="614CAB13"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 Gibt es im Gefälligkeitsverhältnis Schutzpflichten?</w:t>
      </w:r>
    </w:p>
    <w:p w14:paraId="554BE9CB"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Die Anerkennung von Schutzpflichten im Gefälligkeitsverhältnis ist jedoch umstritten. </w:t>
      </w:r>
    </w:p>
    <w:p w14:paraId="5C54EE2E"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414247F5" w14:textId="77777777" w:rsidR="00231A86" w:rsidRDefault="00670AD6">
      <w:pPr>
        <w:pStyle w:val="Listenabsatz"/>
        <w:numPr>
          <w:ilvl w:val="0"/>
          <w:numId w:val="7"/>
        </w:num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Erste Ansicht: Keine Schutzpflichten</w:t>
      </w:r>
    </w:p>
    <w:p w14:paraId="26CF5567"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Zum einen wird die Ansicht vertreten, dass im Gefälligkeitsverhältnis keine Schutzpflichten bestehen können. Dies ergebe sich aus dem Wortlaut des § 280 Abs. 1 BGB, wonach für einen Schadensersatzanspruch ein Schuldverhältnis erforderlich sei. Ein Gefälligkeitsverhältnis erfülle diese Anforderung gerade nicht. Nach dieser Ansicht richtet sich die Haftung allein nach §§ 823 ff. BGB, sodass ein Anspruch aus §§ 280 Abs. 1, 241 Abs. 2 BGB nicht in Betracht kommt.</w:t>
      </w:r>
    </w:p>
    <w:p w14:paraId="7B0C0A42"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17F28EE0" w14:textId="77777777" w:rsidR="00231A86" w:rsidRDefault="00670AD6">
      <w:pPr>
        <w:pStyle w:val="Listenabsatz"/>
        <w:numPr>
          <w:ilvl w:val="0"/>
          <w:numId w:val="7"/>
        </w:num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Zweite Ansicht: Schutzpflichten</w:t>
      </w:r>
    </w:p>
    <w:p w14:paraId="4F5FD575"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Eine andere Ansicht erkennt das Bestehen von Schutzpflichten im Gefälligkeitsverhältnis an und begründet dies – auch unter Heranziehung des § 311 Abs. 2 BGB – mit dem engeren Verhältnis, welches zwischen den Parteien bestehe. Nach dieser Ansicht wäre ein Anspruch aus §§ 280 Abs. 1, 241 Abs. 2 BGB nicht von vornherein ausgeschlossen.</w:t>
      </w:r>
    </w:p>
    <w:p w14:paraId="2A8CB82E"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73828BE8" w14:textId="77777777" w:rsidR="00231A86" w:rsidRDefault="00670AD6">
      <w:pPr>
        <w:pStyle w:val="Listenabsatz"/>
        <w:numPr>
          <w:ilvl w:val="0"/>
          <w:numId w:val="7"/>
        </w:num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 xml:space="preserve">Streitentscheid </w:t>
      </w:r>
    </w:p>
    <w:p w14:paraId="723E4342" w14:textId="77777777" w:rsidR="00231A86" w:rsidRDefault="00670AD6">
      <w:pPr>
        <w:tabs>
          <w:tab w:val="left" w:pos="993"/>
        </w:tabs>
        <w:spacing w:line="276" w:lineRule="auto"/>
        <w:ind w:right="850"/>
        <w:jc w:val="both"/>
        <w:rPr>
          <w:rFonts w:ascii="Arial" w:eastAsia="Calibri" w:hAnsi="Arial" w:cs="Arial"/>
          <w:color w:val="002060"/>
          <w:sz w:val="28"/>
          <w:szCs w:val="28"/>
          <w:lang w:eastAsia="en-US"/>
        </w:rPr>
      </w:pPr>
      <w:r>
        <w:rPr>
          <w:rFonts w:ascii="Arial" w:eastAsia="Calibri" w:hAnsi="Arial" w:cs="Arial"/>
          <w:color w:val="002060"/>
          <w:sz w:val="28"/>
          <w:szCs w:val="28"/>
          <w:lang w:eastAsia="en-US"/>
        </w:rPr>
        <w:t xml:space="preserve">Gegen die zweitgenannte Ansicht lässt sich anführen, dass in § 311 Abs. 2 Nr. 3 BGB ein „(…) </w:t>
      </w:r>
      <w:r>
        <w:rPr>
          <w:rFonts w:ascii="Arial" w:eastAsia="Calibri" w:hAnsi="Arial" w:cs="Arial"/>
          <w:i/>
          <w:color w:val="002060"/>
          <w:sz w:val="28"/>
          <w:szCs w:val="28"/>
          <w:lang w:eastAsia="en-US"/>
        </w:rPr>
        <w:t>geschäftlicher</w:t>
      </w:r>
      <w:r>
        <w:rPr>
          <w:rFonts w:ascii="Arial" w:eastAsia="Calibri" w:hAnsi="Arial" w:cs="Arial"/>
          <w:color w:val="002060"/>
          <w:sz w:val="28"/>
          <w:szCs w:val="28"/>
          <w:lang w:eastAsia="en-US"/>
        </w:rPr>
        <w:t xml:space="preserve"> Kontakt“ bezeichnet wird, woraus geschlussfolgert werden könnte, dass irgendein Bezug zu einem Rechtsgeschäft bestehen müsste. Jedoch bliebe dann unbeachtet, dass § 311 Abs. 2 Nr. 3 BGB mit seiner Formulierung „</w:t>
      </w:r>
      <w:r>
        <w:rPr>
          <w:rFonts w:ascii="Arial" w:eastAsia="Calibri" w:hAnsi="Arial" w:cs="Arial"/>
          <w:i/>
          <w:color w:val="002060"/>
          <w:sz w:val="28"/>
          <w:szCs w:val="28"/>
          <w:lang w:eastAsia="en-US"/>
        </w:rPr>
        <w:t>ähnlicher</w:t>
      </w:r>
      <w:r>
        <w:rPr>
          <w:rFonts w:ascii="Arial" w:eastAsia="Calibri" w:hAnsi="Arial" w:cs="Arial"/>
          <w:color w:val="002060"/>
          <w:sz w:val="28"/>
          <w:szCs w:val="28"/>
          <w:lang w:eastAsia="en-US"/>
        </w:rPr>
        <w:t xml:space="preserve"> (…) Kontakt“ auch vertragsähnliche Sonderbeziehungen erfasst, um dem engeren Verhältnis zwischen den Parteien außerhalb eines Schuldverhältnisses hinreichend Rechnung zu tragen. Dies vermag eine Haftung allein anhand von §§ 823 ff. BGB nicht sicherzustellen, weshalb ein weitergehender Schutz gewährleistet werden muss. Aufgrund dessen ist der zweiten Ansicht zu folgen, mit dem Ergebnis, dass Schutzpflichten im Gefälligkeitsverhältnis bestehen können (</w:t>
      </w:r>
      <w:r>
        <w:rPr>
          <w:rFonts w:ascii="Arial" w:eastAsia="Calibri" w:hAnsi="Arial" w:cs="Arial"/>
          <w:i/>
          <w:color w:val="002060"/>
          <w:sz w:val="28"/>
          <w:szCs w:val="28"/>
          <w:lang w:eastAsia="en-US"/>
        </w:rPr>
        <w:t>a.A. vertretbar)</w:t>
      </w:r>
      <w:r>
        <w:rPr>
          <w:rFonts w:ascii="Arial" w:eastAsia="Calibri" w:hAnsi="Arial" w:cs="Arial"/>
          <w:color w:val="002060"/>
          <w:sz w:val="28"/>
          <w:szCs w:val="28"/>
          <w:lang w:eastAsia="en-US"/>
        </w:rPr>
        <w:t>.</w:t>
      </w:r>
    </w:p>
    <w:p w14:paraId="59A71E1B" w14:textId="77777777" w:rsidR="00231A86" w:rsidRDefault="00231A86" w:rsidP="00111153">
      <w:pPr>
        <w:tabs>
          <w:tab w:val="left" w:pos="993"/>
        </w:tabs>
        <w:spacing w:line="276" w:lineRule="auto"/>
        <w:ind w:right="850"/>
        <w:jc w:val="both"/>
        <w:rPr>
          <w:rFonts w:ascii="Arial" w:eastAsia="Calibri" w:hAnsi="Arial" w:cs="Arial"/>
          <w:i/>
          <w:color w:val="002060"/>
          <w:sz w:val="28"/>
          <w:szCs w:val="28"/>
        </w:rPr>
      </w:pPr>
    </w:p>
    <w:p w14:paraId="7B3AD7A2" w14:textId="77777777" w:rsidR="00231A86" w:rsidRDefault="00670AD6">
      <w:pPr>
        <w:pStyle w:val="Listenabsatz"/>
        <w:numPr>
          <w:ilvl w:val="0"/>
          <w:numId w:val="6"/>
        </w:num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Abgrenzung reine Gefälligkeit von Gefälligkeitsverhältnis</w:t>
      </w:r>
    </w:p>
    <w:p w14:paraId="1B6F5C49" w14:textId="785A8A25" w:rsidR="00231A86" w:rsidRDefault="00670AD6">
      <w:pPr>
        <w:tabs>
          <w:tab w:val="left" w:pos="993"/>
        </w:tabs>
        <w:spacing w:line="276" w:lineRule="auto"/>
        <w:ind w:right="850"/>
        <w:jc w:val="both"/>
        <w:rPr>
          <w:rFonts w:ascii="Arial" w:eastAsia="Calibri" w:hAnsi="Arial" w:cs="Arial"/>
          <w:color w:val="002060"/>
          <w:sz w:val="28"/>
          <w:szCs w:val="28"/>
          <w:lang w:eastAsia="en-US"/>
        </w:rPr>
      </w:pPr>
      <w:r>
        <w:rPr>
          <w:rFonts w:ascii="Arial" w:eastAsia="Calibri" w:hAnsi="Arial" w:cs="Arial"/>
          <w:color w:val="002060"/>
          <w:sz w:val="28"/>
          <w:szCs w:val="28"/>
          <w:lang w:eastAsia="en-US"/>
        </w:rPr>
        <w:t xml:space="preserve">Es müsste ein Gefälligkeitsverhältnis mit rechtsgeschäftlichem Einschlag nach § 311 Abs. 2 Nr. 3 BGB vorliegen. Dies ist der Fall, wenn es sich nicht nur um rein soziale Kontakte handelt, sondern ein gesteigerter </w:t>
      </w:r>
      <w:r>
        <w:rPr>
          <w:rFonts w:ascii="Arial" w:eastAsia="Calibri" w:hAnsi="Arial" w:cs="Arial"/>
          <w:color w:val="002060"/>
          <w:sz w:val="28"/>
          <w:szCs w:val="28"/>
          <w:lang w:eastAsia="en-US"/>
        </w:rPr>
        <w:lastRenderedPageBreak/>
        <w:t>sozialer Kontakt vorliegt. S möchte mit dem monatlichen Fensterputzen seiner Familie unter die Arme greifen und die Beziehung zu dieser pflegen. Insoweit könnte es sich vorliegend um einen rein sozialen Kontakt handeln. Jedoch gehen mit dem Putzen der Fenster auch Risiken einher, die bei der Beurteilung zu beachten sind. So besteht eine Verletzungsgefahr für die putzende Person, die sowohl aus der Tätigkeit selbst als auch aus den zu verwendenden Putzmitteln resultieren kann.  Mit Blick auf diese Haftungsrisiken kann hier ein Gefälligkeitsverhältnis mit rechtsgeschäftlichem Einschlag angenommen werden (</w:t>
      </w:r>
      <w:r>
        <w:rPr>
          <w:rFonts w:ascii="Arial" w:eastAsia="Calibri" w:hAnsi="Arial" w:cs="Arial"/>
          <w:i/>
          <w:color w:val="002060"/>
          <w:sz w:val="28"/>
          <w:szCs w:val="28"/>
          <w:lang w:eastAsia="en-US"/>
        </w:rPr>
        <w:t xml:space="preserve">a.A. </w:t>
      </w:r>
      <w:r w:rsidR="00111153">
        <w:rPr>
          <w:rFonts w:ascii="Arial" w:eastAsia="Calibri" w:hAnsi="Arial" w:cs="Arial"/>
          <w:i/>
          <w:color w:val="002060"/>
          <w:sz w:val="28"/>
          <w:szCs w:val="28"/>
          <w:lang w:eastAsia="en-US"/>
        </w:rPr>
        <w:t xml:space="preserve">gut </w:t>
      </w:r>
      <w:r>
        <w:rPr>
          <w:rFonts w:ascii="Arial" w:eastAsia="Calibri" w:hAnsi="Arial" w:cs="Arial"/>
          <w:i/>
          <w:color w:val="002060"/>
          <w:sz w:val="28"/>
          <w:szCs w:val="28"/>
          <w:lang w:eastAsia="en-US"/>
        </w:rPr>
        <w:t>vertretbar)</w:t>
      </w:r>
      <w:r>
        <w:rPr>
          <w:rFonts w:ascii="Arial" w:eastAsia="Calibri" w:hAnsi="Arial" w:cs="Arial"/>
          <w:color w:val="002060"/>
          <w:sz w:val="28"/>
          <w:szCs w:val="28"/>
          <w:lang w:eastAsia="en-US"/>
        </w:rPr>
        <w:t>.</w:t>
      </w:r>
    </w:p>
    <w:p w14:paraId="1A342EDE" w14:textId="77777777" w:rsidR="00231A86" w:rsidRDefault="00231A86" w:rsidP="00111153">
      <w:pPr>
        <w:pStyle w:val="Listenabsatz"/>
        <w:tabs>
          <w:tab w:val="left" w:pos="993"/>
        </w:tabs>
        <w:spacing w:line="276" w:lineRule="auto"/>
        <w:ind w:left="0" w:right="850"/>
        <w:jc w:val="both"/>
        <w:rPr>
          <w:rFonts w:ascii="Arial" w:eastAsia="Calibri" w:hAnsi="Arial" w:cs="Arial"/>
          <w:color w:val="002060"/>
          <w:sz w:val="28"/>
          <w:szCs w:val="28"/>
        </w:rPr>
      </w:pPr>
    </w:p>
    <w:p w14:paraId="5EF6C606"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II. Pflichtverletzung</w:t>
      </w:r>
    </w:p>
    <w:p w14:paraId="3C17CA0B"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M müsste Rücksichtnahme- und/oder Schutzpflichten nach § 241 Abs. 2 BGB verletzt haben. Die Parteien sind verpflichtet, sich so zu verhalten, dass Körper, Leben, Eigentum, Vermögen und sonstige Rechtsgüter resp. Rechte des anderen Teils nicht verletzt werden. M möchte, dass S bei den Großeltern die Fenster putzt. Bei der Bereitstellung der dafür notwendigen Putzmittel hätte M dafür sorgen müssen, dass S durch diese nicht in seinen Rechtsgütern verletzt wird. Allerdings lösten die Putzmittel bei S eine behandlungsbedürftige allergische Reaktion aus, welche eine Gesundheitsverletzung darstellt. Eine Pflichtverletzung der M liegt vor.</w:t>
      </w:r>
    </w:p>
    <w:p w14:paraId="77AED71E"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097F92E9"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III. Keine Entlastung bzgl. des Vertretenmüssens</w:t>
      </w:r>
    </w:p>
    <w:p w14:paraId="7E33B59B"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M müsste die Pflichtverletzung zu vertreten haben. Gemäß § 276 Abs. 1 hat der Schuldner Vorsatz und Fahrlässigkeit zu vertreten. Nach § 280 Abs. 1 S. 2 wird das Vertretenmüssen grundsätzlich vermutet (</w:t>
      </w:r>
      <w:r>
        <w:rPr>
          <w:rFonts w:ascii="Arial" w:eastAsia="Calibri" w:hAnsi="Arial" w:cs="Arial"/>
          <w:b/>
          <w:color w:val="002060"/>
          <w:sz w:val="28"/>
          <w:szCs w:val="28"/>
          <w:lang w:eastAsia="en-US"/>
        </w:rPr>
        <w:t>Beweislastumkehr</w:t>
      </w:r>
      <w:r>
        <w:rPr>
          <w:rFonts w:ascii="Arial" w:eastAsia="Calibri" w:hAnsi="Arial" w:cs="Arial"/>
          <w:color w:val="002060"/>
          <w:sz w:val="28"/>
          <w:szCs w:val="28"/>
          <w:lang w:eastAsia="en-US"/>
        </w:rPr>
        <w:t xml:space="preserve"> – </w:t>
      </w:r>
      <w:r>
        <w:rPr>
          <w:rFonts w:ascii="Arial" w:eastAsia="Calibri" w:hAnsi="Arial" w:cs="Arial"/>
          <w:i/>
          <w:color w:val="002060"/>
          <w:sz w:val="28"/>
          <w:szCs w:val="28"/>
          <w:lang w:eastAsia="en-US"/>
        </w:rPr>
        <w:t>diese greift aber nur, wenn der Sachverhalt gar keine Angaben zum Verschulden enthält oder die Verschuldensfrage nicht mehr aufklärbar ist</w:t>
      </w:r>
      <w:r>
        <w:rPr>
          <w:rFonts w:ascii="Arial" w:eastAsia="Calibri" w:hAnsi="Arial" w:cs="Arial"/>
          <w:color w:val="002060"/>
          <w:sz w:val="28"/>
          <w:szCs w:val="28"/>
          <w:lang w:eastAsia="en-US"/>
        </w:rPr>
        <w:t xml:space="preserve">). Vorliegend könnte M fahrlässig gehandelt haben. Fahrlässig handelt, wer die im Verkehr erforderliche Sorgfalt außer Acht lässt, § 276 Abs. 2. Dies ist der Fall, wenn die Rechtsgrundverletzung vorhersehbar und vermeidbar gewesen wäre. M wusste um die Allergie des S und hätte bei Zurverfügungstellung anderer Putzmittel die allergische Reaktion verhindern können, sodass ihr Verhalten mindestens fahrlässig war. Folglich hat M die Pflichtverletzung zu vertreten. </w:t>
      </w:r>
    </w:p>
    <w:p w14:paraId="20CAE7A8"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2325E4AF" w14:textId="77777777" w:rsidR="00231A86" w:rsidRDefault="00670AD6">
      <w:pPr>
        <w:tabs>
          <w:tab w:val="left" w:pos="993"/>
        </w:tabs>
        <w:spacing w:line="276" w:lineRule="auto"/>
        <w:ind w:right="850"/>
        <w:jc w:val="both"/>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lang w:eastAsia="en-US"/>
        </w:rPr>
        <w:t xml:space="preserve">Beachte: Gemäß § 1664 BGB bestehen in familiären Beziehungen unter Umständen andere Sorgfaltsmaßstäbe (sog. diligentia quam in suis, § 277 BGB). Ob dies angesichts des Alters des S und des im Übrigen spärlichen </w:t>
      </w:r>
      <w:r>
        <w:rPr>
          <w:rFonts w:ascii="Arial" w:eastAsia="Calibri" w:hAnsi="Arial" w:cs="Arial"/>
          <w:color w:val="548DD4" w:themeColor="text2" w:themeTint="99"/>
          <w:sz w:val="28"/>
          <w:szCs w:val="28"/>
          <w:lang w:eastAsia="en-US"/>
        </w:rPr>
        <w:lastRenderedPageBreak/>
        <w:t xml:space="preserve">Sachverhalts hier tatbestandlich greift, ist sehr zweifelhaft. Jedenfalls hätte M aber </w:t>
      </w:r>
      <w:r>
        <w:rPr>
          <w:rFonts w:ascii="Arial" w:eastAsia="Calibri" w:hAnsi="Arial" w:cs="Arial"/>
          <w:color w:val="548DD4" w:themeColor="text2" w:themeTint="99"/>
          <w:sz w:val="28"/>
          <w:szCs w:val="28"/>
          <w:u w:val="single"/>
          <w:lang w:eastAsia="en-US"/>
        </w:rPr>
        <w:t>auch</w:t>
      </w:r>
      <w:r>
        <w:rPr>
          <w:rFonts w:ascii="Arial" w:eastAsia="Calibri" w:hAnsi="Arial" w:cs="Arial"/>
          <w:color w:val="548DD4" w:themeColor="text2" w:themeTint="99"/>
          <w:sz w:val="28"/>
          <w:szCs w:val="28"/>
          <w:lang w:eastAsia="en-US"/>
        </w:rPr>
        <w:t xml:space="preserve"> die ihr eigenübliche Sorgfalt außer Acht gelassen, weswegen sich im Ergebnis auch bei verändertem Haftungsmaßstab nichts anderes ergeben würde.</w:t>
      </w:r>
    </w:p>
    <w:p w14:paraId="7FC2E071"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72294B34"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IV. Ersatzfähiger Schaden</w:t>
      </w:r>
    </w:p>
    <w:p w14:paraId="35370958"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Schließlich müsste S ein Schaden entstanden sein. Ein Schaden ist jede unfreiwillige Einbuße, die der Geschädigte an seinen Rechten oder Rechtsgütern erfährt. Dessen Ersatzfähigkeit bestimmt sich nach den §§ 249 ff. BGB. S entwickelt eine allergische Reaktion durch die Nutzung des pflichtwidrig bereitgestellten Putzmittels und wird dadurch in seiner Gesundheit geschädigt. Gem. § 249 Abs. 2 S. 1 BGB kann S den für die Wiederherstellung seiner Gesundheit erforderlichen Geldbetrag verlangen. Folglich stellen die von S gezahlten 200 € für die Salbe einen ersatzfähigen Schaden dar.</w:t>
      </w:r>
    </w:p>
    <w:p w14:paraId="1B6E4DC3"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71A9EEAE"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V. Ergebnis</w:t>
      </w:r>
    </w:p>
    <w:p w14:paraId="1F3675EF"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T hat gegen M einen Anspruch auf Ersatz der 200 € nach §§ 280 Abs. 1, 241 Abs. 2 BGB.</w:t>
      </w:r>
    </w:p>
    <w:p w14:paraId="07571AE2"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33AF0766"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5CBBAFD7"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B. Anspruch des S gegen die M auf Ersatz der 200 € aus § 823 Abs. 1 BGB</w:t>
      </w:r>
    </w:p>
    <w:p w14:paraId="2755B881"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b/>
          <w:color w:val="002060"/>
          <w:sz w:val="28"/>
          <w:szCs w:val="28"/>
          <w:lang w:eastAsia="en-US"/>
        </w:rPr>
        <w:t>I. Verletzung eines geschützten Rechtsguts</w:t>
      </w:r>
      <w:r>
        <w:rPr>
          <w:rFonts w:ascii="Arial" w:eastAsia="Calibri" w:hAnsi="Arial" w:cs="Arial"/>
          <w:color w:val="002060"/>
          <w:sz w:val="28"/>
          <w:szCs w:val="28"/>
          <w:lang w:eastAsia="en-US"/>
        </w:rPr>
        <w:t xml:space="preserve"> </w:t>
      </w:r>
    </w:p>
    <w:p w14:paraId="1E93E7D6"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Durch die allergische Reaktion des S auf die Putzmittel und den daraus resultierenden Ausschlag erlitt S eine medizinisch-behandlungsbedürftige Störung seines körperlichen Wohlbefindens. Eine Gesundheitsverletzung des S liegt vor.</w:t>
      </w:r>
    </w:p>
    <w:p w14:paraId="2B31AE59"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2BFA4940"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II. Verletzungshandlung</w:t>
      </w:r>
    </w:p>
    <w:p w14:paraId="3BD8E994"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Die Verletzungshandlung besteht vorliegend im Bereitstellen des Putzmittels.</w:t>
      </w:r>
    </w:p>
    <w:p w14:paraId="0B8597A1"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1F16AC32"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III. Haftungsbegründende Kausalität</w:t>
      </w:r>
    </w:p>
    <w:p w14:paraId="43D8B030"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Hätte M das Putzmittel nicht bereitsgestellt, hätte S dieses Mittel nicht zur Reinigung der Fenster verwendet und im Ergebnis auch nicht die konkrete Gesundheitsverletzung erlitten. Dass S hier den unmittelbar letzten Akt zur Rechtsgutsverletzung getätigt hat (Verwendung des Putzmittels) ändert insofern nichts an der Ursächlichkeit der Handlung der M für die </w:t>
      </w:r>
      <w:r>
        <w:rPr>
          <w:rFonts w:ascii="Arial" w:eastAsia="Calibri" w:hAnsi="Arial" w:cs="Arial"/>
          <w:color w:val="002060"/>
          <w:sz w:val="28"/>
          <w:szCs w:val="28"/>
          <w:lang w:eastAsia="en-US"/>
        </w:rPr>
        <w:lastRenderedPageBreak/>
        <w:t xml:space="preserve">Gesundheitsverletzung des S (naturwissenschaftlich verstandene Kausalität; Äquivalenzformel). </w:t>
      </w:r>
    </w:p>
    <w:p w14:paraId="6AEBF9DA"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79DD06EB"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 xml:space="preserve">IV. Rechtswidrigkeit </w:t>
      </w:r>
    </w:p>
    <w:p w14:paraId="2F5F66C6"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Die Rechtswidrigkeit ist bei aktiver Verletzung der in § 823 Abs. 1 BGB genannten Rechtsgüter indiziert. Es bestehen keine Rechtfertigungsgründe.</w:t>
      </w:r>
    </w:p>
    <w:p w14:paraId="79F68814"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01CF526B"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 xml:space="preserve">V. Verschulden </w:t>
      </w:r>
    </w:p>
    <w:p w14:paraId="09997CC2"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Mangels vorsätzlichen Handelns der M, kommt hier allenfalls Fahrlässigkeit i. S. d. § 276 Abs. 2 BGB in Betracht. Fahrlässig handelt, wer die im Verkehr erforderliche Sorgfalt außer Acht lässt (§ 276 Abs. 2 BGB). Als Angehörige des Verkehrskreises Mutter musste M in der konkreten Situation wissen, dass sie dem S das Putzmittel nicht zur Verwendung bereitstellen durfte. M handelt damit fahrlässig.</w:t>
      </w:r>
    </w:p>
    <w:p w14:paraId="6053E68F"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 xml:space="preserve">VI. Schaden </w:t>
      </w:r>
    </w:p>
    <w:p w14:paraId="0DC0E2BF"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Die Gesundheitsverletzung des S, die dieser durch den Kauf der Salbe kompensiert hat, stellt einen Schaden dar, der gem. § 249 Abs. 2 S. 1 BGB ersatzfähig ist.</w:t>
      </w:r>
    </w:p>
    <w:p w14:paraId="3BC765AC"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6B94385F"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VII. Haftungsausfüllende Kausalität</w:t>
      </w:r>
    </w:p>
    <w:p w14:paraId="304379E4"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Die Rechtsgutverletzung müsste für den Schaden kausal gewesen sein. S musste die Salbe </w:t>
      </w:r>
      <w:r>
        <w:rPr>
          <w:rFonts w:ascii="Arial" w:hAnsi="Arial" w:cs="Arial"/>
          <w:color w:val="002060"/>
          <w:sz w:val="28"/>
          <w:szCs w:val="28"/>
        </w:rPr>
        <w:t>zur Linderung der Symptome, welche durch die allergische Reaktion aufgrund der bereitgestellten Putzmittel hervorgerufen wurden, kaufen. Die Rechtsgutverletzung ist für den Schaden kausal.</w:t>
      </w:r>
    </w:p>
    <w:p w14:paraId="27A7F087"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70C33691" w14:textId="77777777" w:rsidR="00231A86" w:rsidRDefault="00670AD6">
      <w:pPr>
        <w:tabs>
          <w:tab w:val="left" w:pos="993"/>
        </w:tabs>
        <w:spacing w:line="276" w:lineRule="auto"/>
        <w:ind w:right="850"/>
        <w:jc w:val="both"/>
        <w:rPr>
          <w:rFonts w:ascii="Arial" w:eastAsia="Calibri" w:hAnsi="Arial" w:cs="Arial"/>
          <w:b/>
          <w:color w:val="002060"/>
          <w:sz w:val="28"/>
          <w:szCs w:val="28"/>
        </w:rPr>
      </w:pPr>
      <w:r>
        <w:rPr>
          <w:rFonts w:ascii="Arial" w:eastAsia="Calibri" w:hAnsi="Arial" w:cs="Arial"/>
          <w:b/>
          <w:color w:val="002060"/>
          <w:sz w:val="28"/>
          <w:szCs w:val="28"/>
          <w:lang w:eastAsia="en-US"/>
        </w:rPr>
        <w:t>VIII. Ergebnis</w:t>
      </w:r>
    </w:p>
    <w:p w14:paraId="0C115C7A" w14:textId="77777777" w:rsidR="00231A86" w:rsidRDefault="00670AD6">
      <w:p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S hat gegen M einen Anspruch auf Zahlung der 200 € gemäß § 823 Abs. 1 BGB. </w:t>
      </w:r>
    </w:p>
    <w:p w14:paraId="11157B48" w14:textId="77777777" w:rsidR="00231A86" w:rsidRDefault="00231A86">
      <w:pPr>
        <w:tabs>
          <w:tab w:val="left" w:pos="993"/>
        </w:tabs>
        <w:spacing w:line="276" w:lineRule="auto"/>
        <w:ind w:right="850"/>
        <w:jc w:val="both"/>
        <w:rPr>
          <w:rFonts w:ascii="Arial" w:eastAsia="Calibri" w:hAnsi="Arial" w:cs="Arial"/>
          <w:color w:val="002060"/>
          <w:sz w:val="28"/>
          <w:szCs w:val="28"/>
        </w:rPr>
      </w:pPr>
    </w:p>
    <w:p w14:paraId="00272D29" w14:textId="77777777" w:rsidR="00231A86" w:rsidRDefault="00231A86">
      <w:pPr>
        <w:tabs>
          <w:tab w:val="left" w:pos="993"/>
        </w:tabs>
        <w:spacing w:line="276" w:lineRule="auto"/>
        <w:ind w:right="850"/>
        <w:jc w:val="both"/>
        <w:rPr>
          <w:rFonts w:ascii="Arial" w:eastAsia="Calibri" w:hAnsi="Arial" w:cs="Arial"/>
          <w:b/>
          <w:color w:val="002060"/>
          <w:sz w:val="28"/>
          <w:szCs w:val="28"/>
        </w:rPr>
      </w:pPr>
    </w:p>
    <w:p w14:paraId="6A45C0A5" w14:textId="77777777" w:rsidR="00670AD6" w:rsidRDefault="00670AD6">
      <w:pPr>
        <w:spacing w:line="276" w:lineRule="auto"/>
        <w:ind w:right="850"/>
        <w:jc w:val="both"/>
        <w:rPr>
          <w:rFonts w:ascii="Arial" w:eastAsia="SimSun" w:hAnsi="Arial" w:cs="Arial"/>
          <w:b/>
          <w:color w:val="002060"/>
          <w:sz w:val="28"/>
          <w:szCs w:val="28"/>
          <w:lang w:val="it-IT" w:eastAsia="zh-CN"/>
        </w:rPr>
      </w:pPr>
      <w:r>
        <w:rPr>
          <w:rFonts w:ascii="Arial" w:eastAsia="Calibri" w:hAnsi="Arial" w:cs="Arial"/>
          <w:b/>
          <w:color w:val="002060"/>
          <w:sz w:val="28"/>
          <w:szCs w:val="28"/>
          <w:lang w:eastAsia="en-US"/>
        </w:rPr>
        <w:t>B. Anspruch des S gegen die M auf Ersatz der 200 € aus § 823 Abs. 2 BGB</w:t>
      </w:r>
      <w:r>
        <w:rPr>
          <w:rFonts w:ascii="Arial" w:hAnsi="Arial" w:cs="Arial"/>
          <w:b/>
          <w:color w:val="002060"/>
          <w:sz w:val="28"/>
          <w:szCs w:val="28"/>
        </w:rPr>
        <w:t xml:space="preserve"> i. V. m. § 229 StGB</w:t>
      </w:r>
      <w:r>
        <w:rPr>
          <w:rFonts w:ascii="Arial" w:eastAsia="SimSun" w:hAnsi="Arial" w:cs="Arial"/>
          <w:b/>
          <w:color w:val="002060"/>
          <w:sz w:val="28"/>
          <w:szCs w:val="28"/>
          <w:lang w:val="it-IT" w:eastAsia="zh-CN"/>
        </w:rPr>
        <w:t xml:space="preserve"> (+)</w:t>
      </w:r>
    </w:p>
    <w:p w14:paraId="3CF5BC82" w14:textId="77777777" w:rsidR="00670AD6" w:rsidRDefault="00670AD6">
      <w:pPr>
        <w:spacing w:line="276" w:lineRule="auto"/>
        <w:ind w:right="850"/>
        <w:jc w:val="both"/>
        <w:rPr>
          <w:rFonts w:ascii="Arial" w:eastAsia="SimSun" w:hAnsi="Arial" w:cs="Arial"/>
          <w:b/>
          <w:color w:val="002060"/>
          <w:sz w:val="28"/>
          <w:szCs w:val="28"/>
          <w:lang w:val="it-IT" w:eastAsia="zh-CN"/>
        </w:rPr>
      </w:pPr>
    </w:p>
    <w:p w14:paraId="79FC339D" w14:textId="447293CB" w:rsidR="00231A86" w:rsidRDefault="00670AD6" w:rsidP="00111153">
      <w:pPr>
        <w:spacing w:line="276" w:lineRule="auto"/>
        <w:ind w:right="850"/>
        <w:jc w:val="both"/>
        <w:rPr>
          <w:rFonts w:ascii="Arial" w:eastAsia="SimSun" w:hAnsi="Arial" w:cs="Arial"/>
          <w:b/>
          <w:color w:val="002060"/>
          <w:sz w:val="28"/>
          <w:szCs w:val="28"/>
        </w:rPr>
      </w:pPr>
      <w:r>
        <w:rPr>
          <w:rFonts w:ascii="Arial" w:eastAsia="SimSun" w:hAnsi="Arial" w:cs="Arial"/>
          <w:b/>
          <w:color w:val="002060"/>
          <w:sz w:val="28"/>
          <w:szCs w:val="28"/>
          <w:lang w:val="it-IT" w:eastAsia="zh-CN"/>
        </w:rPr>
        <w:br w:type="page" w:clear="all"/>
      </w:r>
    </w:p>
    <w:p w14:paraId="5B55174E" w14:textId="77777777" w:rsidR="00231A86" w:rsidRDefault="00670AD6">
      <w:pPr>
        <w:pBdr>
          <w:top w:val="single" w:sz="4" w:space="1" w:color="000000"/>
          <w:left w:val="single" w:sz="4" w:space="4" w:color="000000"/>
          <w:bottom w:val="single" w:sz="4" w:space="1" w:color="000000"/>
          <w:right w:val="single" w:sz="4" w:space="4" w:color="000000"/>
          <w:between w:val="single" w:sz="4" w:space="1" w:color="000000"/>
        </w:pBdr>
        <w:spacing w:line="276" w:lineRule="auto"/>
        <w:ind w:right="0"/>
        <w:jc w:val="center"/>
        <w:rPr>
          <w:rFonts w:ascii="Arial" w:eastAsia="SimSun" w:hAnsi="Arial" w:cs="Arial"/>
          <w:b/>
          <w:color w:val="002060"/>
          <w:sz w:val="28"/>
          <w:szCs w:val="28"/>
        </w:rPr>
      </w:pPr>
      <w:r>
        <w:rPr>
          <w:rFonts w:ascii="Arial" w:eastAsia="SimSun" w:hAnsi="Arial" w:cs="Arial"/>
          <w:b/>
          <w:color w:val="002060"/>
          <w:sz w:val="28"/>
          <w:szCs w:val="28"/>
          <w:lang w:val="it-IT" w:eastAsia="zh-CN"/>
        </w:rPr>
        <w:lastRenderedPageBreak/>
        <w:t>Gliederungsübersicht</w:t>
      </w:r>
    </w:p>
    <w:p w14:paraId="6A6BEA91" w14:textId="77777777" w:rsidR="00231A86" w:rsidRDefault="00231A86">
      <w:pPr>
        <w:tabs>
          <w:tab w:val="left" w:pos="851"/>
        </w:tabs>
        <w:spacing w:line="276" w:lineRule="auto"/>
        <w:jc w:val="both"/>
        <w:rPr>
          <w:rFonts w:ascii="Arial" w:hAnsi="Arial" w:cs="Arial"/>
          <w:color w:val="002060"/>
          <w:sz w:val="28"/>
          <w:szCs w:val="28"/>
        </w:rPr>
      </w:pPr>
    </w:p>
    <w:p w14:paraId="4912B7B5" w14:textId="77777777" w:rsidR="00231A86" w:rsidRDefault="00670AD6">
      <w:pPr>
        <w:spacing w:line="276" w:lineRule="auto"/>
        <w:ind w:right="0"/>
        <w:rPr>
          <w:rFonts w:ascii="Arial" w:hAnsi="Arial" w:cs="Arial"/>
          <w:b/>
          <w:color w:val="002060"/>
          <w:sz w:val="28"/>
          <w:szCs w:val="28"/>
        </w:rPr>
      </w:pPr>
      <w:r>
        <w:rPr>
          <w:rFonts w:ascii="Arial" w:hAnsi="Arial" w:cs="Arial"/>
          <w:b/>
          <w:color w:val="002060"/>
          <w:sz w:val="28"/>
          <w:szCs w:val="28"/>
        </w:rPr>
        <w:t>Frage 1: Erfüllungsanspruch der M gegen den S?</w:t>
      </w:r>
    </w:p>
    <w:p w14:paraId="6E1E7E55" w14:textId="77777777" w:rsidR="00231A86" w:rsidRDefault="00670AD6">
      <w:pPr>
        <w:pStyle w:val="Listenabsatz"/>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A.</w:t>
      </w:r>
      <w:r>
        <w:rPr>
          <w:rFonts w:ascii="Arial" w:hAnsi="Arial" w:cs="Arial"/>
          <w:b/>
          <w:color w:val="002060"/>
          <w:sz w:val="28"/>
          <w:szCs w:val="28"/>
        </w:rPr>
        <w:tab/>
        <w:t>Bestehen eines Schuldverhältnisses zwischen M und S</w:t>
      </w:r>
    </w:p>
    <w:p w14:paraId="22E16C15" w14:textId="77777777" w:rsidR="00231A86" w:rsidRDefault="00670AD6">
      <w:pPr>
        <w:pStyle w:val="Listenabsatz"/>
        <w:numPr>
          <w:ilvl w:val="0"/>
          <w:numId w:val="1"/>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Durch Gesetz</w:t>
      </w:r>
    </w:p>
    <w:p w14:paraId="3CFC1601" w14:textId="77777777" w:rsidR="00231A86" w:rsidRDefault="00670AD6">
      <w:pPr>
        <w:pStyle w:val="Listenabsatz"/>
        <w:numPr>
          <w:ilvl w:val="0"/>
          <w:numId w:val="1"/>
        </w:numPr>
        <w:tabs>
          <w:tab w:val="left" w:pos="1276"/>
        </w:tabs>
        <w:spacing w:line="276" w:lineRule="auto"/>
        <w:ind w:left="851" w:hanging="218"/>
        <w:jc w:val="both"/>
        <w:rPr>
          <w:rFonts w:ascii="Arial" w:hAnsi="Arial" w:cs="Arial"/>
          <w:color w:val="002060"/>
          <w:sz w:val="28"/>
          <w:szCs w:val="28"/>
        </w:rPr>
      </w:pPr>
      <w:r>
        <w:rPr>
          <w:rFonts w:ascii="Arial" w:hAnsi="Arial" w:cs="Arial"/>
          <w:color w:val="002060"/>
          <w:sz w:val="28"/>
          <w:szCs w:val="28"/>
        </w:rPr>
        <w:t>Durch Vertrag, s. § 311 Abs. 1 BGB</w:t>
      </w:r>
    </w:p>
    <w:p w14:paraId="2DE4FCEE" w14:textId="77777777" w:rsidR="00231A86" w:rsidRDefault="00670AD6">
      <w:pPr>
        <w:pStyle w:val="Listenabsatz"/>
        <w:numPr>
          <w:ilvl w:val="1"/>
          <w:numId w:val="2"/>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Dienstvertrag, § 611 BGB</w:t>
      </w:r>
    </w:p>
    <w:p w14:paraId="44C804C3" w14:textId="77777777" w:rsidR="00231A86" w:rsidRDefault="00670AD6">
      <w:pPr>
        <w:pStyle w:val="Listenabsatz"/>
        <w:numPr>
          <w:ilvl w:val="1"/>
          <w:numId w:val="2"/>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Werkvertrag, § 631 BGB</w:t>
      </w:r>
    </w:p>
    <w:p w14:paraId="486B7F8F" w14:textId="77777777" w:rsidR="00231A86" w:rsidRDefault="00670AD6">
      <w:pPr>
        <w:pStyle w:val="Listenabsatz"/>
        <w:numPr>
          <w:ilvl w:val="1"/>
          <w:numId w:val="2"/>
        </w:numPr>
        <w:tabs>
          <w:tab w:val="left" w:pos="851"/>
        </w:tabs>
        <w:spacing w:line="276" w:lineRule="auto"/>
        <w:ind w:left="1276" w:hanging="425"/>
        <w:jc w:val="both"/>
        <w:rPr>
          <w:rFonts w:ascii="Arial" w:hAnsi="Arial" w:cs="Arial"/>
          <w:color w:val="002060"/>
          <w:sz w:val="28"/>
          <w:szCs w:val="28"/>
        </w:rPr>
      </w:pPr>
      <w:r>
        <w:rPr>
          <w:rFonts w:ascii="Arial" w:hAnsi="Arial" w:cs="Arial"/>
          <w:color w:val="002060"/>
          <w:sz w:val="28"/>
          <w:szCs w:val="28"/>
        </w:rPr>
        <w:t>Auftrag, § 662 BGB</w:t>
      </w:r>
    </w:p>
    <w:p w14:paraId="5F097F2B" w14:textId="77777777" w:rsidR="00231A86" w:rsidRDefault="00670AD6">
      <w:pPr>
        <w:pStyle w:val="Listenabsatz"/>
        <w:numPr>
          <w:ilvl w:val="3"/>
          <w:numId w:val="2"/>
        </w:numPr>
        <w:tabs>
          <w:tab w:val="left" w:pos="851"/>
        </w:tabs>
        <w:spacing w:line="276" w:lineRule="auto"/>
        <w:jc w:val="both"/>
        <w:rPr>
          <w:rFonts w:ascii="Arial" w:hAnsi="Arial" w:cs="Arial"/>
          <w:color w:val="002060"/>
          <w:sz w:val="28"/>
          <w:szCs w:val="28"/>
        </w:rPr>
      </w:pPr>
      <w:r>
        <w:rPr>
          <w:rFonts w:ascii="Arial" w:hAnsi="Arial" w:cs="Arial"/>
          <w:color w:val="002060"/>
          <w:sz w:val="28"/>
          <w:szCs w:val="28"/>
        </w:rPr>
        <w:t>Antrag der M</w:t>
      </w:r>
    </w:p>
    <w:p w14:paraId="0A6075E2" w14:textId="77777777" w:rsidR="00231A86" w:rsidRDefault="00670AD6">
      <w:pPr>
        <w:pStyle w:val="Listenabsatz"/>
        <w:numPr>
          <w:ilvl w:val="3"/>
          <w:numId w:val="2"/>
        </w:numPr>
        <w:tabs>
          <w:tab w:val="left" w:pos="851"/>
        </w:tabs>
        <w:spacing w:line="276" w:lineRule="auto"/>
        <w:jc w:val="both"/>
        <w:rPr>
          <w:rFonts w:ascii="Arial" w:hAnsi="Arial" w:cs="Arial"/>
          <w:color w:val="002060"/>
          <w:sz w:val="28"/>
          <w:szCs w:val="28"/>
        </w:rPr>
      </w:pPr>
      <w:r>
        <w:rPr>
          <w:rFonts w:ascii="Arial" w:hAnsi="Arial" w:cs="Arial"/>
          <w:color w:val="002060"/>
          <w:sz w:val="28"/>
          <w:szCs w:val="28"/>
        </w:rPr>
        <w:t>Annahme des S?</w:t>
      </w:r>
    </w:p>
    <w:p w14:paraId="319709BD" w14:textId="77777777" w:rsidR="00231A86" w:rsidRDefault="00670AD6">
      <w:pPr>
        <w:pStyle w:val="Listenabsatz"/>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B.</w:t>
      </w:r>
      <w:r>
        <w:rPr>
          <w:rFonts w:ascii="Arial" w:hAnsi="Arial" w:cs="Arial"/>
          <w:b/>
          <w:color w:val="002060"/>
          <w:sz w:val="28"/>
          <w:szCs w:val="28"/>
        </w:rPr>
        <w:tab/>
        <w:t>Ergebnis</w:t>
      </w:r>
    </w:p>
    <w:p w14:paraId="0A5D58B4" w14:textId="77777777" w:rsidR="00231A86" w:rsidRDefault="00231A86">
      <w:pPr>
        <w:tabs>
          <w:tab w:val="left" w:pos="993"/>
        </w:tabs>
        <w:spacing w:line="276" w:lineRule="auto"/>
        <w:ind w:right="0"/>
        <w:rPr>
          <w:rFonts w:ascii="Arial" w:eastAsia="Calibri" w:hAnsi="Arial" w:cs="Arial"/>
          <w:b/>
          <w:color w:val="002060"/>
          <w:sz w:val="28"/>
          <w:szCs w:val="28"/>
        </w:rPr>
      </w:pPr>
    </w:p>
    <w:p w14:paraId="3A2097FB" w14:textId="77777777" w:rsidR="00231A86" w:rsidRDefault="00231A86">
      <w:pPr>
        <w:tabs>
          <w:tab w:val="left" w:pos="993"/>
        </w:tabs>
        <w:spacing w:line="276" w:lineRule="auto"/>
        <w:ind w:right="0"/>
        <w:rPr>
          <w:rFonts w:ascii="Arial" w:eastAsia="Calibri" w:hAnsi="Arial" w:cs="Arial"/>
          <w:b/>
          <w:color w:val="002060"/>
          <w:sz w:val="28"/>
          <w:szCs w:val="28"/>
        </w:rPr>
      </w:pPr>
    </w:p>
    <w:p w14:paraId="0F734091" w14:textId="77777777" w:rsidR="00231A86" w:rsidRDefault="00670AD6">
      <w:pPr>
        <w:tabs>
          <w:tab w:val="left" w:pos="993"/>
        </w:tabs>
        <w:spacing w:line="276" w:lineRule="auto"/>
        <w:ind w:right="0"/>
        <w:rPr>
          <w:rFonts w:ascii="Arial" w:eastAsia="Calibri" w:hAnsi="Arial" w:cs="Arial"/>
          <w:b/>
          <w:color w:val="002060"/>
          <w:sz w:val="28"/>
          <w:szCs w:val="28"/>
        </w:rPr>
      </w:pPr>
      <w:r>
        <w:rPr>
          <w:rFonts w:ascii="Arial" w:eastAsia="Calibri" w:hAnsi="Arial" w:cs="Arial"/>
          <w:b/>
          <w:color w:val="002060"/>
          <w:sz w:val="28"/>
          <w:szCs w:val="28"/>
          <w:lang w:eastAsia="en-US"/>
        </w:rPr>
        <w:t>Frage 2:</w:t>
      </w:r>
    </w:p>
    <w:p w14:paraId="5380BFFC" w14:textId="77777777" w:rsidR="00231A86" w:rsidRDefault="00670AD6">
      <w:pPr>
        <w:pStyle w:val="Listenabsatz"/>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A.</w:t>
      </w:r>
      <w:r>
        <w:rPr>
          <w:rFonts w:ascii="Arial" w:hAnsi="Arial" w:cs="Arial"/>
          <w:b/>
          <w:color w:val="002060"/>
          <w:sz w:val="28"/>
          <w:szCs w:val="28"/>
        </w:rPr>
        <w:tab/>
        <w:t>S gegen M auf Ersatz der 200 € aus §§ 280 Abs. 1, 241 Abs. 2 BGB</w:t>
      </w:r>
    </w:p>
    <w:p w14:paraId="0D520110" w14:textId="77777777" w:rsidR="00231A86" w:rsidRDefault="00670AD6">
      <w:pPr>
        <w:pStyle w:val="Listenabsatz"/>
        <w:numPr>
          <w:ilvl w:val="0"/>
          <w:numId w:val="3"/>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 xml:space="preserve">Schuldverhältnis </w:t>
      </w:r>
    </w:p>
    <w:p w14:paraId="1DFF867A" w14:textId="77777777" w:rsidR="00231A86" w:rsidRDefault="00670AD6">
      <w:pPr>
        <w:pStyle w:val="Listenabsatz"/>
        <w:numPr>
          <w:ilvl w:val="0"/>
          <w:numId w:val="8"/>
        </w:numPr>
        <w:tabs>
          <w:tab w:val="left" w:pos="1276"/>
        </w:tabs>
        <w:spacing w:line="276" w:lineRule="auto"/>
        <w:ind w:left="1321" w:hanging="357"/>
        <w:jc w:val="both"/>
        <w:rPr>
          <w:rFonts w:ascii="Arial" w:hAnsi="Arial" w:cs="Arial"/>
          <w:color w:val="002060"/>
          <w:sz w:val="28"/>
          <w:szCs w:val="28"/>
        </w:rPr>
      </w:pPr>
      <w:r>
        <w:rPr>
          <w:rFonts w:ascii="Arial" w:hAnsi="Arial" w:cs="Arial"/>
          <w:color w:val="002060"/>
          <w:sz w:val="28"/>
          <w:szCs w:val="28"/>
        </w:rPr>
        <w:t>Bestehen von Schutzpflichten im Gefälligkeitsverhältnis</w:t>
      </w:r>
    </w:p>
    <w:p w14:paraId="6ED6AA9E" w14:textId="77777777" w:rsidR="00231A86" w:rsidRDefault="00670AD6">
      <w:pPr>
        <w:pStyle w:val="Listenabsatz"/>
        <w:numPr>
          <w:ilvl w:val="0"/>
          <w:numId w:val="9"/>
        </w:num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Erste Ansicht: Keine Schutzpflichten</w:t>
      </w:r>
    </w:p>
    <w:p w14:paraId="3C5C675C" w14:textId="77777777" w:rsidR="00231A86" w:rsidRDefault="00670AD6">
      <w:pPr>
        <w:pStyle w:val="Listenabsatz"/>
        <w:numPr>
          <w:ilvl w:val="0"/>
          <w:numId w:val="9"/>
        </w:num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Zweite Ansicht: Schutzpflichten</w:t>
      </w:r>
    </w:p>
    <w:p w14:paraId="3FF606EB" w14:textId="77777777" w:rsidR="00231A86" w:rsidRDefault="00670AD6">
      <w:pPr>
        <w:pStyle w:val="Listenabsatz"/>
        <w:numPr>
          <w:ilvl w:val="0"/>
          <w:numId w:val="9"/>
        </w:numPr>
        <w:tabs>
          <w:tab w:val="left" w:pos="993"/>
        </w:tabs>
        <w:spacing w:line="276" w:lineRule="auto"/>
        <w:ind w:right="850"/>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Streitentscheid </w:t>
      </w:r>
    </w:p>
    <w:p w14:paraId="5C743EAF" w14:textId="77777777" w:rsidR="00231A86" w:rsidRDefault="00670AD6">
      <w:pPr>
        <w:pStyle w:val="Listenabsatz"/>
        <w:numPr>
          <w:ilvl w:val="0"/>
          <w:numId w:val="8"/>
        </w:numPr>
        <w:tabs>
          <w:tab w:val="left" w:pos="1276"/>
        </w:tabs>
        <w:spacing w:line="276" w:lineRule="auto"/>
        <w:ind w:left="1321" w:hanging="357"/>
        <w:jc w:val="both"/>
        <w:rPr>
          <w:rFonts w:ascii="Arial" w:hAnsi="Arial" w:cs="Arial"/>
          <w:color w:val="002060"/>
          <w:sz w:val="28"/>
          <w:szCs w:val="28"/>
        </w:rPr>
      </w:pPr>
      <w:r>
        <w:rPr>
          <w:rFonts w:ascii="Arial" w:eastAsia="Calibri" w:hAnsi="Arial" w:cs="Arial"/>
          <w:color w:val="002060"/>
          <w:sz w:val="28"/>
          <w:szCs w:val="28"/>
          <w:lang w:eastAsia="en-US"/>
        </w:rPr>
        <w:t>Abgrenzung reine Gefälligkeit von Gefälligkeitsverhältnis</w:t>
      </w:r>
    </w:p>
    <w:p w14:paraId="7295AD31" w14:textId="77777777" w:rsidR="00231A86" w:rsidRDefault="00670AD6">
      <w:pPr>
        <w:pStyle w:val="Listenabsatz"/>
        <w:numPr>
          <w:ilvl w:val="0"/>
          <w:numId w:val="3"/>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Pflichtverletzung</w:t>
      </w:r>
    </w:p>
    <w:p w14:paraId="73222709" w14:textId="77777777" w:rsidR="00231A86" w:rsidRDefault="00670AD6">
      <w:pPr>
        <w:pStyle w:val="Listenabsatz"/>
        <w:numPr>
          <w:ilvl w:val="0"/>
          <w:numId w:val="3"/>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Keine Entlastung </w:t>
      </w:r>
      <w:r>
        <w:rPr>
          <w:rFonts w:ascii="Arial" w:hAnsi="Arial" w:cs="Arial"/>
          <w:color w:val="002060"/>
          <w:sz w:val="28"/>
          <w:szCs w:val="28"/>
        </w:rPr>
        <w:t>bzgl</w:t>
      </w:r>
      <w:r>
        <w:rPr>
          <w:rFonts w:ascii="Arial" w:eastAsia="Calibri" w:hAnsi="Arial" w:cs="Arial"/>
          <w:color w:val="002060"/>
          <w:sz w:val="28"/>
          <w:szCs w:val="28"/>
          <w:lang w:eastAsia="en-US"/>
        </w:rPr>
        <w:t>. des Vertretenmüssens</w:t>
      </w:r>
    </w:p>
    <w:p w14:paraId="00407664" w14:textId="77777777" w:rsidR="00231A86" w:rsidRDefault="00670AD6">
      <w:pPr>
        <w:pStyle w:val="Listenabsatz"/>
        <w:numPr>
          <w:ilvl w:val="0"/>
          <w:numId w:val="3"/>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Ersatzfähiger Schaden</w:t>
      </w:r>
    </w:p>
    <w:p w14:paraId="440A8004" w14:textId="77777777" w:rsidR="00231A86" w:rsidRDefault="00670AD6">
      <w:pPr>
        <w:pStyle w:val="Listenabsatz"/>
        <w:numPr>
          <w:ilvl w:val="0"/>
          <w:numId w:val="3"/>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Ergebnis</w:t>
      </w:r>
    </w:p>
    <w:p w14:paraId="61DE014E" w14:textId="77777777" w:rsidR="00231A86" w:rsidRDefault="00231A86">
      <w:pPr>
        <w:tabs>
          <w:tab w:val="left" w:pos="993"/>
        </w:tabs>
        <w:spacing w:line="276" w:lineRule="auto"/>
        <w:ind w:right="0"/>
        <w:rPr>
          <w:rFonts w:ascii="Arial" w:eastAsia="Calibri" w:hAnsi="Arial" w:cs="Arial"/>
          <w:b/>
          <w:color w:val="002060"/>
          <w:sz w:val="28"/>
          <w:szCs w:val="28"/>
        </w:rPr>
      </w:pPr>
    </w:p>
    <w:p w14:paraId="1CE4EC1F" w14:textId="77777777" w:rsidR="00231A86" w:rsidRDefault="00231A86">
      <w:pPr>
        <w:tabs>
          <w:tab w:val="left" w:pos="993"/>
        </w:tabs>
        <w:spacing w:line="276" w:lineRule="auto"/>
        <w:ind w:right="0"/>
        <w:rPr>
          <w:rFonts w:ascii="Arial" w:eastAsia="Calibri" w:hAnsi="Arial" w:cs="Arial"/>
          <w:b/>
          <w:color w:val="002060"/>
          <w:sz w:val="28"/>
          <w:szCs w:val="28"/>
        </w:rPr>
      </w:pPr>
    </w:p>
    <w:p w14:paraId="1543327D" w14:textId="77777777" w:rsidR="00231A86" w:rsidRDefault="00670AD6">
      <w:pPr>
        <w:pStyle w:val="Listenabsatz"/>
        <w:tabs>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szCs w:val="28"/>
        </w:rPr>
        <w:t>B.</w:t>
      </w:r>
      <w:r>
        <w:rPr>
          <w:rFonts w:ascii="Arial" w:hAnsi="Arial" w:cs="Arial"/>
          <w:b/>
          <w:color w:val="002060"/>
          <w:sz w:val="28"/>
          <w:szCs w:val="28"/>
        </w:rPr>
        <w:tab/>
        <w:t xml:space="preserve">S gegen die M auf Ersatz der 200 € aus § 823 Abs. 1 BGB </w:t>
      </w:r>
    </w:p>
    <w:p w14:paraId="4DF494FD"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Verletzung </w:t>
      </w:r>
      <w:r>
        <w:rPr>
          <w:rFonts w:ascii="Arial" w:hAnsi="Arial" w:cs="Arial"/>
          <w:color w:val="002060"/>
          <w:sz w:val="28"/>
          <w:szCs w:val="28"/>
        </w:rPr>
        <w:t>eines</w:t>
      </w:r>
      <w:r>
        <w:rPr>
          <w:rFonts w:ascii="Arial" w:eastAsia="Calibri" w:hAnsi="Arial" w:cs="Arial"/>
          <w:color w:val="002060"/>
          <w:sz w:val="28"/>
          <w:szCs w:val="28"/>
          <w:lang w:eastAsia="en-US"/>
        </w:rPr>
        <w:t xml:space="preserve"> geschützten Rechtsguts </w:t>
      </w:r>
    </w:p>
    <w:p w14:paraId="3B0494DD"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Verletzungshandlung</w:t>
      </w:r>
    </w:p>
    <w:p w14:paraId="39CFABCA"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Haftungsbegründende</w:t>
      </w:r>
      <w:r>
        <w:rPr>
          <w:rFonts w:ascii="Arial" w:eastAsia="Calibri" w:hAnsi="Arial" w:cs="Arial"/>
          <w:color w:val="002060"/>
          <w:sz w:val="28"/>
          <w:szCs w:val="28"/>
          <w:lang w:eastAsia="en-US"/>
        </w:rPr>
        <w:t xml:space="preserve"> Kausalität </w:t>
      </w:r>
    </w:p>
    <w:p w14:paraId="6EFE457D"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Rechtswidrigkeit</w:t>
      </w:r>
      <w:r>
        <w:rPr>
          <w:rFonts w:ascii="Arial" w:eastAsia="Calibri" w:hAnsi="Arial" w:cs="Arial"/>
          <w:color w:val="002060"/>
          <w:sz w:val="28"/>
          <w:szCs w:val="28"/>
          <w:lang w:eastAsia="en-US"/>
        </w:rPr>
        <w:t xml:space="preserve"> </w:t>
      </w:r>
    </w:p>
    <w:p w14:paraId="2BBCB5D6"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 xml:space="preserve">Verschulden </w:t>
      </w:r>
    </w:p>
    <w:p w14:paraId="01989C1A"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eastAsia="Calibri" w:hAnsi="Arial" w:cs="Arial"/>
          <w:color w:val="002060"/>
          <w:sz w:val="28"/>
          <w:szCs w:val="28"/>
          <w:lang w:eastAsia="en-US"/>
        </w:rPr>
        <w:t>Schaden</w:t>
      </w:r>
    </w:p>
    <w:p w14:paraId="56A93E40"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Haftungsausfüllende</w:t>
      </w:r>
      <w:r>
        <w:rPr>
          <w:rFonts w:ascii="Arial" w:eastAsia="Calibri" w:hAnsi="Arial" w:cs="Arial"/>
          <w:color w:val="002060"/>
          <w:sz w:val="28"/>
          <w:szCs w:val="28"/>
          <w:lang w:eastAsia="en-US"/>
        </w:rPr>
        <w:t xml:space="preserve"> Kausalität </w:t>
      </w:r>
    </w:p>
    <w:p w14:paraId="35C60EEB" w14:textId="77777777" w:rsidR="00231A86" w:rsidRDefault="00670AD6">
      <w:pPr>
        <w:pStyle w:val="Listenabsatz"/>
        <w:numPr>
          <w:ilvl w:val="0"/>
          <w:numId w:val="4"/>
        </w:numPr>
        <w:tabs>
          <w:tab w:val="left" w:pos="1276"/>
        </w:tabs>
        <w:spacing w:line="276" w:lineRule="auto"/>
        <w:ind w:left="851" w:hanging="218"/>
        <w:jc w:val="both"/>
        <w:rPr>
          <w:rFonts w:ascii="Arial" w:eastAsia="Calibri" w:hAnsi="Arial" w:cs="Arial"/>
          <w:color w:val="002060"/>
          <w:sz w:val="28"/>
          <w:szCs w:val="28"/>
        </w:rPr>
      </w:pPr>
      <w:r>
        <w:rPr>
          <w:rFonts w:ascii="Arial" w:hAnsi="Arial" w:cs="Arial"/>
          <w:color w:val="002060"/>
          <w:sz w:val="28"/>
          <w:szCs w:val="28"/>
        </w:rPr>
        <w:t>Ergebnis</w:t>
      </w:r>
    </w:p>
    <w:sectPr w:rsidR="00231A86">
      <w:footerReference w:type="default" r:id="rId9"/>
      <w:headerReference w:type="first" r:id="rId10"/>
      <w:footerReference w:type="first" r:id="rId11"/>
      <w:type w:val="continuous"/>
      <w:pgSz w:w="11907" w:h="16840"/>
      <w:pgMar w:top="-1560" w:right="567" w:bottom="567" w:left="1418" w:header="21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CDA0" w14:textId="77777777" w:rsidR="00231A86" w:rsidRDefault="00670AD6">
      <w:r>
        <w:separator/>
      </w:r>
    </w:p>
    <w:p w14:paraId="5CED6683" w14:textId="77777777" w:rsidR="00231A86" w:rsidRDefault="00231A86"/>
  </w:endnote>
  <w:endnote w:type="continuationSeparator" w:id="0">
    <w:p w14:paraId="210C6287" w14:textId="77777777" w:rsidR="00231A86" w:rsidRDefault="00670AD6">
      <w:r>
        <w:continuationSeparator/>
      </w:r>
    </w:p>
    <w:p w14:paraId="732C8991" w14:textId="77777777" w:rsidR="00231A86" w:rsidRDefault="0023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 Scala MZ">
    <w:panose1 w:val="02000504070000020003"/>
    <w:charset w:val="00"/>
    <w:family w:val="auto"/>
    <w:pitch w:val="variable"/>
    <w:sig w:usb0="A00000AF" w:usb1="4000E05B" w:usb2="00000000" w:usb3="00000000" w:csb0="00000093" w:csb1="00000000"/>
  </w:font>
  <w:font w:name="Tahoma">
    <w:panose1 w:val="020B0604030504040204"/>
    <w:charset w:val="00"/>
    <w:family w:val="swiss"/>
    <w:pitch w:val="variable"/>
    <w:sig w:usb0="E1002EFF" w:usb1="C000605B" w:usb2="00000029" w:usb3="00000000" w:csb0="000101FF" w:csb1="00000000"/>
  </w:font>
  <w:font w:name="scala-regular">
    <w:altName w:val="Calibri"/>
    <w:charset w:val="00"/>
    <w:family w:val="auto"/>
    <w:pitch w:val="default"/>
  </w:font>
  <w:font w:name="RubFlama">
    <w:panose1 w:val="02000000000000000000"/>
    <w:charset w:val="00"/>
    <w:family w:val="auto"/>
    <w:pitch w:val="variable"/>
    <w:sig w:usb0="A00000AF" w:usb1="4000207B" w:usb2="00000000" w:usb3="00000000" w:csb0="0000008B" w:csb1="00000000"/>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rubflama-medium">
    <w:altName w:val="RubFlama"/>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B8C5" w14:textId="77777777" w:rsidR="00231A86" w:rsidRDefault="00670AD6">
    <w:pPr>
      <w:pStyle w:val="Fuzeile"/>
      <w:jc w:val="right"/>
      <w:rPr>
        <w:rFonts w:ascii="rubflama-medium" w:hAnsi="rubflama-medium"/>
        <w:color w:val="003560"/>
      </w:rPr>
    </w:pPr>
    <w:r>
      <w:rPr>
        <w:b/>
        <w:color w:val="003560"/>
      </w:rPr>
      <w:t>SEITE</w:t>
    </w:r>
    <w:r>
      <w:rPr>
        <w:rFonts w:ascii="rubflama-medium" w:hAnsi="rubflama-medium"/>
        <w:color w:val="003560"/>
      </w:rPr>
      <w:t xml:space="preserve"> </w:t>
    </w:r>
    <w:r>
      <w:rPr>
        <w:color w:val="003560"/>
      </w:rPr>
      <w:fldChar w:fldCharType="begin"/>
    </w:r>
    <w:r>
      <w:rPr>
        <w:color w:val="003560"/>
      </w:rPr>
      <w:instrText>PAGE</w:instrText>
    </w:r>
    <w:r>
      <w:rPr>
        <w:color w:val="003560"/>
      </w:rPr>
      <w:fldChar w:fldCharType="separate"/>
    </w:r>
    <w:r>
      <w:rPr>
        <w:color w:val="003560"/>
      </w:rPr>
      <w:t>4</w:t>
    </w:r>
    <w:r>
      <w:rPr>
        <w:color w:val="003560"/>
      </w:rPr>
      <w:fldChar w:fldCharType="end"/>
    </w:r>
    <w:r>
      <w:rPr>
        <w:color w:val="003560"/>
      </w:rPr>
      <w:t xml:space="preserve"> </w:t>
    </w:r>
    <w:r>
      <w:rPr>
        <w:rFonts w:cs="Helvetica"/>
        <w:color w:val="003560"/>
        <w:szCs w:val="16"/>
      </w:rPr>
      <w:t>|</w:t>
    </w:r>
    <w:r>
      <w:rPr>
        <w:color w:val="003560"/>
      </w:rPr>
      <w:t xml:space="preserve"> </w:t>
    </w:r>
    <w:r>
      <w:rPr>
        <w:color w:val="003560"/>
      </w:rPr>
      <w:fldChar w:fldCharType="begin"/>
    </w:r>
    <w:r>
      <w:rPr>
        <w:color w:val="003560"/>
      </w:rPr>
      <w:instrText>NUMPAGES</w:instrText>
    </w:r>
    <w:r>
      <w:rPr>
        <w:color w:val="003560"/>
      </w:rPr>
      <w:fldChar w:fldCharType="separate"/>
    </w:r>
    <w:r>
      <w:rPr>
        <w:color w:val="003560"/>
      </w:rPr>
      <w:t>7</w:t>
    </w:r>
    <w:r>
      <w:rPr>
        <w:color w:val="0035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231A86" w14:paraId="568E693D" w14:textId="77777777">
      <w:trPr>
        <w:cantSplit/>
        <w:trHeight w:val="567"/>
      </w:trPr>
      <w:tc>
        <w:tcPr>
          <w:tcW w:w="6663" w:type="dxa"/>
        </w:tcPr>
        <w:p w14:paraId="3E53EF66" w14:textId="77777777" w:rsidR="00231A86" w:rsidRDefault="00231A86">
          <w:pPr>
            <w:pStyle w:val="Fuzeile"/>
          </w:pPr>
        </w:p>
      </w:tc>
      <w:tc>
        <w:tcPr>
          <w:tcW w:w="3259" w:type="dxa"/>
          <w:vAlign w:val="bottom"/>
        </w:tcPr>
        <w:p w14:paraId="3513E03E" w14:textId="77777777" w:rsidR="00231A86" w:rsidRDefault="00231A86">
          <w:pPr>
            <w:pStyle w:val="webadresse"/>
            <w:framePr w:vSpace="0" w:wrap="auto" w:vAnchor="margin" w:hAnchor="text" w:xAlign="left" w:yAlign="inline"/>
          </w:pPr>
        </w:p>
      </w:tc>
    </w:tr>
  </w:tbl>
  <w:p w14:paraId="30682446" w14:textId="77777777" w:rsidR="00231A86" w:rsidRDefault="00231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DE61" w14:textId="77777777" w:rsidR="00231A86" w:rsidRDefault="00670AD6">
      <w:r>
        <w:separator/>
      </w:r>
    </w:p>
    <w:p w14:paraId="48EAF0CD" w14:textId="77777777" w:rsidR="00231A86" w:rsidRDefault="00231A86"/>
  </w:footnote>
  <w:footnote w:type="continuationSeparator" w:id="0">
    <w:p w14:paraId="34E07AA4" w14:textId="77777777" w:rsidR="00231A86" w:rsidRDefault="00670AD6">
      <w:r>
        <w:continuationSeparator/>
      </w:r>
    </w:p>
    <w:p w14:paraId="22CDAFD6" w14:textId="77777777" w:rsidR="00231A86" w:rsidRDefault="00231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0D72" w14:textId="77777777" w:rsidR="00231A86" w:rsidRDefault="00670AD6">
    <w:pPr>
      <w:pStyle w:val="Kopfzeile"/>
    </w:pPr>
    <w:r>
      <w:rPr>
        <w:noProof/>
      </w:rPr>
      <mc:AlternateContent>
        <mc:Choice Requires="wpg">
          <w:drawing>
            <wp:anchor distT="0" distB="720090" distL="114300" distR="114300" simplePos="0" relativeHeight="251659264" behindDoc="0" locked="0" layoutInCell="1" allowOverlap="1" wp14:anchorId="349F3E0C" wp14:editId="5C1C2EF8">
              <wp:simplePos x="0" y="0"/>
              <wp:positionH relativeFrom="page">
                <wp:posOffset>5086350</wp:posOffset>
              </wp:positionH>
              <wp:positionV relativeFrom="page">
                <wp:posOffset>537210</wp:posOffset>
              </wp:positionV>
              <wp:extent cx="2052000" cy="413524"/>
              <wp:effectExtent l="0" t="0" r="5715" b="5715"/>
              <wp:wrapNone/>
              <wp:docPr id="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pic:cNvPicPr>
                    </pic:nvPicPr>
                    <pic:blipFill>
                      <a:blip r:embed="rId1"/>
                      <a:stretch/>
                    </pic:blipFill>
                    <pic:spPr bwMode="auto">
                      <a:xfrm>
                        <a:off x="0" y="0"/>
                        <a:ext cx="2052000" cy="413524"/>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page;margin-left:400.50pt;mso-position-horizontal:absolute;mso-position-vertical-relative:page;margin-top:42.30pt;mso-position-vertical:absolute;width:161.57pt;height:32.56pt;mso-wrap-distance-left:9.00pt;mso-wrap-distance-top:0.00pt;mso-wrap-distance-right:9.00pt;mso-wrap-distance-bottom:56.70pt;" stroked="f">
              <v:path textboxrect="0,0,0,0"/>
              <v:imagedata r:id="rId2" o:title=""/>
            </v:shape>
          </w:pict>
        </mc:Fallback>
      </mc:AlternateContent>
    </w:r>
    <w:r>
      <w:rPr>
        <w:i/>
        <w:noProof/>
        <w:color w:val="003560"/>
      </w:rPr>
      <mc:AlternateContent>
        <mc:Choice Requires="wpg">
          <w:drawing>
            <wp:anchor distT="0" distB="720090" distL="114300" distR="114300" simplePos="0" relativeHeight="251657216" behindDoc="0" locked="0" layoutInCell="1" allowOverlap="1" wp14:anchorId="4042CD6A" wp14:editId="5DCF35DF">
              <wp:simplePos x="0" y="0"/>
              <wp:positionH relativeFrom="page">
                <wp:posOffset>5090160</wp:posOffset>
              </wp:positionH>
              <wp:positionV relativeFrom="page">
                <wp:posOffset>540385</wp:posOffset>
              </wp:positionV>
              <wp:extent cx="2051685" cy="407670"/>
              <wp:effectExtent l="0" t="0" r="5715" b="0"/>
              <wp:wrapTopAndBottom/>
              <wp:docPr id="2"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3"/>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7216;o:allowoverlap:true;o:allowincell:true;mso-position-horizontal-relative:page;margin-left:400.80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11C"/>
    <w:multiLevelType w:val="hybridMultilevel"/>
    <w:tmpl w:val="129C32C0"/>
    <w:lvl w:ilvl="0" w:tplc="56FC8D5C">
      <w:start w:val="1"/>
      <w:numFmt w:val="lowerLetter"/>
      <w:lvlText w:val="%1."/>
      <w:lvlJc w:val="left"/>
      <w:pPr>
        <w:ind w:left="1571" w:hanging="360"/>
      </w:pPr>
      <w:rPr>
        <w:rFonts w:ascii="Arial" w:eastAsia="Calibri" w:hAnsi="Arial" w:cs="Arial"/>
      </w:rPr>
    </w:lvl>
    <w:lvl w:ilvl="1" w:tplc="90C2C73E">
      <w:start w:val="1"/>
      <w:numFmt w:val="lowerLetter"/>
      <w:lvlText w:val="%2."/>
      <w:lvlJc w:val="left"/>
      <w:pPr>
        <w:ind w:left="2291" w:hanging="360"/>
      </w:pPr>
    </w:lvl>
    <w:lvl w:ilvl="2" w:tplc="2588495A">
      <w:start w:val="1"/>
      <w:numFmt w:val="lowerRoman"/>
      <w:lvlText w:val="%3."/>
      <w:lvlJc w:val="right"/>
      <w:pPr>
        <w:ind w:left="3011" w:hanging="180"/>
      </w:pPr>
    </w:lvl>
    <w:lvl w:ilvl="3" w:tplc="90047ED8">
      <w:start w:val="1"/>
      <w:numFmt w:val="decimal"/>
      <w:lvlText w:val="%4."/>
      <w:lvlJc w:val="left"/>
      <w:pPr>
        <w:ind w:left="3731" w:hanging="360"/>
      </w:pPr>
    </w:lvl>
    <w:lvl w:ilvl="4" w:tplc="A998AEAC">
      <w:start w:val="1"/>
      <w:numFmt w:val="lowerLetter"/>
      <w:lvlText w:val="%5."/>
      <w:lvlJc w:val="left"/>
      <w:pPr>
        <w:ind w:left="4451" w:hanging="360"/>
      </w:pPr>
    </w:lvl>
    <w:lvl w:ilvl="5" w:tplc="687CE94E">
      <w:start w:val="1"/>
      <w:numFmt w:val="lowerRoman"/>
      <w:lvlText w:val="%6."/>
      <w:lvlJc w:val="right"/>
      <w:pPr>
        <w:ind w:left="5171" w:hanging="180"/>
      </w:pPr>
    </w:lvl>
    <w:lvl w:ilvl="6" w:tplc="DAAED5BE">
      <w:start w:val="1"/>
      <w:numFmt w:val="decimal"/>
      <w:lvlText w:val="%7."/>
      <w:lvlJc w:val="left"/>
      <w:pPr>
        <w:ind w:left="5891" w:hanging="360"/>
      </w:pPr>
    </w:lvl>
    <w:lvl w:ilvl="7" w:tplc="87AC4346">
      <w:start w:val="1"/>
      <w:numFmt w:val="lowerLetter"/>
      <w:lvlText w:val="%8."/>
      <w:lvlJc w:val="left"/>
      <w:pPr>
        <w:ind w:left="6611" w:hanging="360"/>
      </w:pPr>
    </w:lvl>
    <w:lvl w:ilvl="8" w:tplc="4AFACCF8">
      <w:start w:val="1"/>
      <w:numFmt w:val="lowerRoman"/>
      <w:lvlText w:val="%9."/>
      <w:lvlJc w:val="right"/>
      <w:pPr>
        <w:ind w:left="7331" w:hanging="180"/>
      </w:pPr>
    </w:lvl>
  </w:abstractNum>
  <w:abstractNum w:abstractNumId="1" w15:restartNumberingAfterBreak="0">
    <w:nsid w:val="1A7654BC"/>
    <w:multiLevelType w:val="hybridMultilevel"/>
    <w:tmpl w:val="FF0E7026"/>
    <w:lvl w:ilvl="0" w:tplc="CC5C9524">
      <w:start w:val="1"/>
      <w:numFmt w:val="upperRoman"/>
      <w:lvlText w:val="%1."/>
      <w:lvlJc w:val="right"/>
      <w:pPr>
        <w:ind w:left="1571" w:hanging="360"/>
      </w:pPr>
    </w:lvl>
    <w:lvl w:ilvl="1" w:tplc="0C4E5E8A">
      <w:start w:val="1"/>
      <w:numFmt w:val="decimal"/>
      <w:lvlText w:val="%2."/>
      <w:lvlJc w:val="left"/>
      <w:pPr>
        <w:ind w:left="2291" w:hanging="360"/>
      </w:pPr>
      <w:rPr>
        <w:rFonts w:hint="default"/>
      </w:rPr>
    </w:lvl>
    <w:lvl w:ilvl="2" w:tplc="2AAA0CF4">
      <w:start w:val="1"/>
      <w:numFmt w:val="lowerRoman"/>
      <w:lvlText w:val="%3."/>
      <w:lvlJc w:val="right"/>
      <w:pPr>
        <w:ind w:left="3011" w:hanging="180"/>
      </w:pPr>
    </w:lvl>
    <w:lvl w:ilvl="3" w:tplc="412EF548">
      <w:start w:val="1"/>
      <w:numFmt w:val="decimal"/>
      <w:lvlText w:val="%4."/>
      <w:lvlJc w:val="left"/>
      <w:pPr>
        <w:ind w:left="3731" w:hanging="360"/>
      </w:pPr>
    </w:lvl>
    <w:lvl w:ilvl="4" w:tplc="7480E994">
      <w:start w:val="1"/>
      <w:numFmt w:val="lowerLetter"/>
      <w:lvlText w:val="%5."/>
      <w:lvlJc w:val="left"/>
      <w:pPr>
        <w:ind w:left="4451" w:hanging="360"/>
      </w:pPr>
    </w:lvl>
    <w:lvl w:ilvl="5" w:tplc="91026AEE">
      <w:start w:val="1"/>
      <w:numFmt w:val="lowerRoman"/>
      <w:lvlText w:val="%6."/>
      <w:lvlJc w:val="right"/>
      <w:pPr>
        <w:ind w:left="5171" w:hanging="180"/>
      </w:pPr>
    </w:lvl>
    <w:lvl w:ilvl="6" w:tplc="9960659C">
      <w:start w:val="1"/>
      <w:numFmt w:val="decimal"/>
      <w:lvlText w:val="%7."/>
      <w:lvlJc w:val="left"/>
      <w:pPr>
        <w:ind w:left="5891" w:hanging="360"/>
      </w:pPr>
    </w:lvl>
    <w:lvl w:ilvl="7" w:tplc="8D0EFA9C">
      <w:start w:val="1"/>
      <w:numFmt w:val="lowerLetter"/>
      <w:lvlText w:val="%8."/>
      <w:lvlJc w:val="left"/>
      <w:pPr>
        <w:ind w:left="6611" w:hanging="360"/>
      </w:pPr>
    </w:lvl>
    <w:lvl w:ilvl="8" w:tplc="F1E21C08">
      <w:start w:val="1"/>
      <w:numFmt w:val="lowerRoman"/>
      <w:lvlText w:val="%9."/>
      <w:lvlJc w:val="right"/>
      <w:pPr>
        <w:ind w:left="7331" w:hanging="180"/>
      </w:pPr>
    </w:lvl>
  </w:abstractNum>
  <w:abstractNum w:abstractNumId="2" w15:restartNumberingAfterBreak="0">
    <w:nsid w:val="1EF72AA7"/>
    <w:multiLevelType w:val="hybridMultilevel"/>
    <w:tmpl w:val="0B04DD5C"/>
    <w:lvl w:ilvl="0" w:tplc="A24CD050">
      <w:start w:val="1"/>
      <w:numFmt w:val="upperRoman"/>
      <w:lvlText w:val="%1."/>
      <w:lvlJc w:val="right"/>
      <w:pPr>
        <w:ind w:left="1571" w:hanging="360"/>
      </w:pPr>
    </w:lvl>
    <w:lvl w:ilvl="1" w:tplc="3F46C470">
      <w:start w:val="1"/>
      <w:numFmt w:val="lowerLetter"/>
      <w:lvlText w:val="%2."/>
      <w:lvlJc w:val="left"/>
      <w:pPr>
        <w:ind w:left="2291" w:hanging="360"/>
      </w:pPr>
    </w:lvl>
    <w:lvl w:ilvl="2" w:tplc="82D8FDA0">
      <w:start w:val="1"/>
      <w:numFmt w:val="lowerRoman"/>
      <w:lvlText w:val="%3."/>
      <w:lvlJc w:val="right"/>
      <w:pPr>
        <w:ind w:left="3011" w:hanging="180"/>
      </w:pPr>
    </w:lvl>
    <w:lvl w:ilvl="3" w:tplc="9834B2B4">
      <w:start w:val="1"/>
      <w:numFmt w:val="decimal"/>
      <w:lvlText w:val="%4."/>
      <w:lvlJc w:val="left"/>
      <w:pPr>
        <w:ind w:left="3731" w:hanging="360"/>
      </w:pPr>
    </w:lvl>
    <w:lvl w:ilvl="4" w:tplc="44C82934">
      <w:start w:val="1"/>
      <w:numFmt w:val="lowerLetter"/>
      <w:lvlText w:val="%5."/>
      <w:lvlJc w:val="left"/>
      <w:pPr>
        <w:ind w:left="4451" w:hanging="360"/>
      </w:pPr>
    </w:lvl>
    <w:lvl w:ilvl="5" w:tplc="10EA1E98">
      <w:start w:val="1"/>
      <w:numFmt w:val="lowerRoman"/>
      <w:lvlText w:val="%6."/>
      <w:lvlJc w:val="right"/>
      <w:pPr>
        <w:ind w:left="5171" w:hanging="180"/>
      </w:pPr>
    </w:lvl>
    <w:lvl w:ilvl="6" w:tplc="F2C046AE">
      <w:start w:val="1"/>
      <w:numFmt w:val="decimal"/>
      <w:lvlText w:val="%7."/>
      <w:lvlJc w:val="left"/>
      <w:pPr>
        <w:ind w:left="5891" w:hanging="360"/>
      </w:pPr>
    </w:lvl>
    <w:lvl w:ilvl="7" w:tplc="EE748BCC">
      <w:start w:val="1"/>
      <w:numFmt w:val="lowerLetter"/>
      <w:lvlText w:val="%8."/>
      <w:lvlJc w:val="left"/>
      <w:pPr>
        <w:ind w:left="6611" w:hanging="360"/>
      </w:pPr>
    </w:lvl>
    <w:lvl w:ilvl="8" w:tplc="B77A457E">
      <w:start w:val="1"/>
      <w:numFmt w:val="lowerRoman"/>
      <w:lvlText w:val="%9."/>
      <w:lvlJc w:val="right"/>
      <w:pPr>
        <w:ind w:left="7331" w:hanging="180"/>
      </w:pPr>
    </w:lvl>
  </w:abstractNum>
  <w:abstractNum w:abstractNumId="3" w15:restartNumberingAfterBreak="0">
    <w:nsid w:val="26D5023C"/>
    <w:multiLevelType w:val="hybridMultilevel"/>
    <w:tmpl w:val="CBAE83FE"/>
    <w:lvl w:ilvl="0" w:tplc="2D44D6B6">
      <w:start w:val="1"/>
      <w:numFmt w:val="upperRoman"/>
      <w:lvlText w:val="%1."/>
      <w:lvlJc w:val="right"/>
      <w:pPr>
        <w:ind w:left="1571" w:hanging="360"/>
      </w:pPr>
    </w:lvl>
    <w:lvl w:ilvl="1" w:tplc="A906CE24">
      <w:start w:val="1"/>
      <w:numFmt w:val="lowerLetter"/>
      <w:lvlText w:val="%2."/>
      <w:lvlJc w:val="left"/>
      <w:pPr>
        <w:ind w:left="2291" w:hanging="360"/>
      </w:pPr>
    </w:lvl>
    <w:lvl w:ilvl="2" w:tplc="CE9A79C0">
      <w:start w:val="1"/>
      <w:numFmt w:val="lowerRoman"/>
      <w:lvlText w:val="%3."/>
      <w:lvlJc w:val="right"/>
      <w:pPr>
        <w:ind w:left="3011" w:hanging="180"/>
      </w:pPr>
    </w:lvl>
    <w:lvl w:ilvl="3" w:tplc="2BC24086">
      <w:start w:val="1"/>
      <w:numFmt w:val="decimal"/>
      <w:lvlText w:val="%4."/>
      <w:lvlJc w:val="left"/>
      <w:pPr>
        <w:ind w:left="3731" w:hanging="360"/>
      </w:pPr>
    </w:lvl>
    <w:lvl w:ilvl="4" w:tplc="D622562E">
      <w:start w:val="1"/>
      <w:numFmt w:val="lowerLetter"/>
      <w:lvlText w:val="%5."/>
      <w:lvlJc w:val="left"/>
      <w:pPr>
        <w:ind w:left="4451" w:hanging="360"/>
      </w:pPr>
    </w:lvl>
    <w:lvl w:ilvl="5" w:tplc="9A5C4B56">
      <w:start w:val="1"/>
      <w:numFmt w:val="lowerRoman"/>
      <w:lvlText w:val="%6."/>
      <w:lvlJc w:val="right"/>
      <w:pPr>
        <w:ind w:left="5171" w:hanging="180"/>
      </w:pPr>
    </w:lvl>
    <w:lvl w:ilvl="6" w:tplc="B79A02A2">
      <w:start w:val="1"/>
      <w:numFmt w:val="decimal"/>
      <w:lvlText w:val="%7."/>
      <w:lvlJc w:val="left"/>
      <w:pPr>
        <w:ind w:left="5891" w:hanging="360"/>
      </w:pPr>
    </w:lvl>
    <w:lvl w:ilvl="7" w:tplc="6A162F8E">
      <w:start w:val="1"/>
      <w:numFmt w:val="lowerLetter"/>
      <w:lvlText w:val="%8."/>
      <w:lvlJc w:val="left"/>
      <w:pPr>
        <w:ind w:left="6611" w:hanging="360"/>
      </w:pPr>
    </w:lvl>
    <w:lvl w:ilvl="8" w:tplc="A38A8662">
      <w:start w:val="1"/>
      <w:numFmt w:val="lowerRoman"/>
      <w:lvlText w:val="%9."/>
      <w:lvlJc w:val="right"/>
      <w:pPr>
        <w:ind w:left="7331" w:hanging="180"/>
      </w:pPr>
    </w:lvl>
  </w:abstractNum>
  <w:abstractNum w:abstractNumId="4" w15:restartNumberingAfterBreak="0">
    <w:nsid w:val="32495262"/>
    <w:multiLevelType w:val="hybridMultilevel"/>
    <w:tmpl w:val="67DA9084"/>
    <w:lvl w:ilvl="0" w:tplc="C1DEE3CE">
      <w:start w:val="1"/>
      <w:numFmt w:val="decimal"/>
      <w:lvlText w:val="%1."/>
      <w:lvlJc w:val="left"/>
      <w:pPr>
        <w:ind w:left="2138" w:hanging="360"/>
      </w:pPr>
    </w:lvl>
    <w:lvl w:ilvl="1" w:tplc="EBA0DD8A">
      <w:start w:val="1"/>
      <w:numFmt w:val="decimal"/>
      <w:lvlText w:val="%2."/>
      <w:lvlJc w:val="left"/>
      <w:pPr>
        <w:ind w:left="2858" w:hanging="360"/>
      </w:pPr>
    </w:lvl>
    <w:lvl w:ilvl="2" w:tplc="8272D788">
      <w:start w:val="1"/>
      <w:numFmt w:val="lowerLetter"/>
      <w:lvlText w:val="%3)"/>
      <w:lvlJc w:val="left"/>
      <w:pPr>
        <w:ind w:left="3758" w:hanging="360"/>
      </w:pPr>
      <w:rPr>
        <w:rFonts w:hint="default"/>
      </w:rPr>
    </w:lvl>
    <w:lvl w:ilvl="3" w:tplc="2C44B91A">
      <w:start w:val="1"/>
      <w:numFmt w:val="lowerLetter"/>
      <w:lvlText w:val="%4."/>
      <w:lvlJc w:val="left"/>
      <w:pPr>
        <w:ind w:left="1588" w:hanging="341"/>
      </w:pPr>
      <w:rPr>
        <w:rFonts w:hint="default"/>
      </w:rPr>
    </w:lvl>
    <w:lvl w:ilvl="4" w:tplc="BCACAF16">
      <w:start w:val="1"/>
      <w:numFmt w:val="lowerLetter"/>
      <w:lvlText w:val="%5."/>
      <w:lvlJc w:val="left"/>
      <w:pPr>
        <w:ind w:left="5018" w:hanging="360"/>
      </w:pPr>
    </w:lvl>
    <w:lvl w:ilvl="5" w:tplc="9432C0C2">
      <w:start w:val="1"/>
      <w:numFmt w:val="lowerRoman"/>
      <w:lvlText w:val="%6."/>
      <w:lvlJc w:val="right"/>
      <w:pPr>
        <w:ind w:left="5738" w:hanging="180"/>
      </w:pPr>
    </w:lvl>
    <w:lvl w:ilvl="6" w:tplc="8654DC4E">
      <w:start w:val="1"/>
      <w:numFmt w:val="decimal"/>
      <w:lvlText w:val="%7."/>
      <w:lvlJc w:val="left"/>
      <w:pPr>
        <w:ind w:left="6458" w:hanging="360"/>
      </w:pPr>
    </w:lvl>
    <w:lvl w:ilvl="7" w:tplc="3F589AF6">
      <w:start w:val="1"/>
      <w:numFmt w:val="lowerLetter"/>
      <w:lvlText w:val="%8."/>
      <w:lvlJc w:val="left"/>
      <w:pPr>
        <w:ind w:left="7178" w:hanging="360"/>
      </w:pPr>
    </w:lvl>
    <w:lvl w:ilvl="8" w:tplc="409C1BC8">
      <w:start w:val="1"/>
      <w:numFmt w:val="lowerRoman"/>
      <w:lvlText w:val="%9."/>
      <w:lvlJc w:val="right"/>
      <w:pPr>
        <w:ind w:left="7898" w:hanging="180"/>
      </w:pPr>
    </w:lvl>
  </w:abstractNum>
  <w:abstractNum w:abstractNumId="5" w15:restartNumberingAfterBreak="0">
    <w:nsid w:val="409714EA"/>
    <w:multiLevelType w:val="hybridMultilevel"/>
    <w:tmpl w:val="F1CE2990"/>
    <w:lvl w:ilvl="0" w:tplc="CEBE0BC2">
      <w:start w:val="1"/>
      <w:numFmt w:val="lowerLetter"/>
      <w:lvlText w:val="%1."/>
      <w:lvlJc w:val="left"/>
      <w:pPr>
        <w:ind w:left="341" w:hanging="341"/>
      </w:pPr>
      <w:rPr>
        <w:rFonts w:hint="default"/>
      </w:rPr>
    </w:lvl>
    <w:lvl w:ilvl="1" w:tplc="61E4C98C">
      <w:start w:val="1"/>
      <w:numFmt w:val="lowerLetter"/>
      <w:lvlText w:val="%2."/>
      <w:lvlJc w:val="left"/>
      <w:pPr>
        <w:ind w:left="1080" w:hanging="360"/>
      </w:pPr>
    </w:lvl>
    <w:lvl w:ilvl="2" w:tplc="9446A832">
      <w:start w:val="1"/>
      <w:numFmt w:val="lowerRoman"/>
      <w:lvlText w:val="%3."/>
      <w:lvlJc w:val="right"/>
      <w:pPr>
        <w:ind w:left="1800" w:hanging="180"/>
      </w:pPr>
    </w:lvl>
    <w:lvl w:ilvl="3" w:tplc="F9D61360">
      <w:start w:val="1"/>
      <w:numFmt w:val="decimal"/>
      <w:lvlText w:val="%4."/>
      <w:lvlJc w:val="left"/>
      <w:pPr>
        <w:ind w:left="2520" w:hanging="360"/>
      </w:pPr>
    </w:lvl>
    <w:lvl w:ilvl="4" w:tplc="9A9CC36C">
      <w:start w:val="1"/>
      <w:numFmt w:val="lowerLetter"/>
      <w:lvlText w:val="%5."/>
      <w:lvlJc w:val="left"/>
      <w:pPr>
        <w:ind w:left="3240" w:hanging="360"/>
      </w:pPr>
    </w:lvl>
    <w:lvl w:ilvl="5" w:tplc="A5DA1100">
      <w:start w:val="1"/>
      <w:numFmt w:val="lowerRoman"/>
      <w:lvlText w:val="%6."/>
      <w:lvlJc w:val="right"/>
      <w:pPr>
        <w:ind w:left="3960" w:hanging="180"/>
      </w:pPr>
    </w:lvl>
    <w:lvl w:ilvl="6" w:tplc="95B25158">
      <w:start w:val="1"/>
      <w:numFmt w:val="decimal"/>
      <w:lvlText w:val="%7."/>
      <w:lvlJc w:val="left"/>
      <w:pPr>
        <w:ind w:left="4680" w:hanging="360"/>
      </w:pPr>
    </w:lvl>
    <w:lvl w:ilvl="7" w:tplc="1222E6B2">
      <w:start w:val="1"/>
      <w:numFmt w:val="lowerLetter"/>
      <w:lvlText w:val="%8."/>
      <w:lvlJc w:val="left"/>
      <w:pPr>
        <w:ind w:left="5400" w:hanging="360"/>
      </w:pPr>
    </w:lvl>
    <w:lvl w:ilvl="8" w:tplc="D51E9B8C">
      <w:start w:val="1"/>
      <w:numFmt w:val="lowerRoman"/>
      <w:lvlText w:val="%9."/>
      <w:lvlJc w:val="right"/>
      <w:pPr>
        <w:ind w:left="6120" w:hanging="180"/>
      </w:pPr>
    </w:lvl>
  </w:abstractNum>
  <w:abstractNum w:abstractNumId="6" w15:restartNumberingAfterBreak="0">
    <w:nsid w:val="5CD811C4"/>
    <w:multiLevelType w:val="hybridMultilevel"/>
    <w:tmpl w:val="72E426A2"/>
    <w:lvl w:ilvl="0" w:tplc="94F60E52">
      <w:start w:val="1"/>
      <w:numFmt w:val="lowerLetter"/>
      <w:lvlText w:val="%1)"/>
      <w:lvlJc w:val="left"/>
      <w:pPr>
        <w:ind w:left="2421" w:hanging="360"/>
      </w:pPr>
    </w:lvl>
    <w:lvl w:ilvl="1" w:tplc="A16A0048">
      <w:start w:val="1"/>
      <w:numFmt w:val="lowerLetter"/>
      <w:lvlText w:val="%2."/>
      <w:lvlJc w:val="left"/>
      <w:pPr>
        <w:ind w:left="3141" w:hanging="360"/>
      </w:pPr>
    </w:lvl>
    <w:lvl w:ilvl="2" w:tplc="1310A56A">
      <w:start w:val="1"/>
      <w:numFmt w:val="lowerLetter"/>
      <w:lvlText w:val="%3)"/>
      <w:lvlJc w:val="left"/>
      <w:pPr>
        <w:ind w:left="3861" w:hanging="180"/>
      </w:pPr>
    </w:lvl>
    <w:lvl w:ilvl="3" w:tplc="55A294B0">
      <w:start w:val="1"/>
      <w:numFmt w:val="decimal"/>
      <w:lvlText w:val="%4."/>
      <w:lvlJc w:val="left"/>
      <w:pPr>
        <w:ind w:left="4581" w:hanging="360"/>
      </w:pPr>
    </w:lvl>
    <w:lvl w:ilvl="4" w:tplc="928C8916">
      <w:start w:val="1"/>
      <w:numFmt w:val="lowerLetter"/>
      <w:lvlText w:val="%5."/>
      <w:lvlJc w:val="left"/>
      <w:pPr>
        <w:ind w:left="5301" w:hanging="360"/>
      </w:pPr>
    </w:lvl>
    <w:lvl w:ilvl="5" w:tplc="AF22337A">
      <w:start w:val="1"/>
      <w:numFmt w:val="lowerRoman"/>
      <w:lvlText w:val="%6."/>
      <w:lvlJc w:val="right"/>
      <w:pPr>
        <w:ind w:left="6021" w:hanging="180"/>
      </w:pPr>
    </w:lvl>
    <w:lvl w:ilvl="6" w:tplc="56F8EF04">
      <w:start w:val="1"/>
      <w:numFmt w:val="decimal"/>
      <w:lvlText w:val="%7."/>
      <w:lvlJc w:val="left"/>
      <w:pPr>
        <w:ind w:left="6741" w:hanging="360"/>
      </w:pPr>
    </w:lvl>
    <w:lvl w:ilvl="7" w:tplc="EDC68138">
      <w:start w:val="1"/>
      <w:numFmt w:val="lowerLetter"/>
      <w:lvlText w:val="%8."/>
      <w:lvlJc w:val="left"/>
      <w:pPr>
        <w:ind w:left="7461" w:hanging="360"/>
      </w:pPr>
    </w:lvl>
    <w:lvl w:ilvl="8" w:tplc="A46C3ED2">
      <w:start w:val="1"/>
      <w:numFmt w:val="lowerRoman"/>
      <w:lvlText w:val="%9."/>
      <w:lvlJc w:val="right"/>
      <w:pPr>
        <w:ind w:left="8181" w:hanging="180"/>
      </w:pPr>
    </w:lvl>
  </w:abstractNum>
  <w:abstractNum w:abstractNumId="7" w15:restartNumberingAfterBreak="0">
    <w:nsid w:val="6496242D"/>
    <w:multiLevelType w:val="hybridMultilevel"/>
    <w:tmpl w:val="1902C996"/>
    <w:lvl w:ilvl="0" w:tplc="0D442B6C">
      <w:start w:val="1"/>
      <w:numFmt w:val="decimal"/>
      <w:lvlText w:val="%1."/>
      <w:lvlJc w:val="left"/>
      <w:pPr>
        <w:ind w:left="340" w:hanging="340"/>
      </w:pPr>
      <w:rPr>
        <w:rFonts w:hint="default"/>
      </w:rPr>
    </w:lvl>
    <w:lvl w:ilvl="1" w:tplc="3C7E2A6A">
      <w:start w:val="1"/>
      <w:numFmt w:val="lowerLetter"/>
      <w:lvlText w:val="%2."/>
      <w:lvlJc w:val="left"/>
      <w:pPr>
        <w:ind w:left="1080" w:hanging="360"/>
      </w:pPr>
    </w:lvl>
    <w:lvl w:ilvl="2" w:tplc="99A4AFDA">
      <w:start w:val="1"/>
      <w:numFmt w:val="lowerRoman"/>
      <w:lvlText w:val="%3."/>
      <w:lvlJc w:val="right"/>
      <w:pPr>
        <w:ind w:left="1800" w:hanging="180"/>
      </w:pPr>
    </w:lvl>
    <w:lvl w:ilvl="3" w:tplc="E408BA46">
      <w:start w:val="1"/>
      <w:numFmt w:val="decimal"/>
      <w:lvlText w:val="%4."/>
      <w:lvlJc w:val="left"/>
      <w:pPr>
        <w:ind w:left="2520" w:hanging="360"/>
      </w:pPr>
    </w:lvl>
    <w:lvl w:ilvl="4" w:tplc="ADDA097C">
      <w:start w:val="1"/>
      <w:numFmt w:val="lowerLetter"/>
      <w:lvlText w:val="%5."/>
      <w:lvlJc w:val="left"/>
      <w:pPr>
        <w:ind w:left="3240" w:hanging="360"/>
      </w:pPr>
    </w:lvl>
    <w:lvl w:ilvl="5" w:tplc="190C589A">
      <w:start w:val="1"/>
      <w:numFmt w:val="lowerRoman"/>
      <w:lvlText w:val="%6."/>
      <w:lvlJc w:val="right"/>
      <w:pPr>
        <w:ind w:left="3960" w:hanging="180"/>
      </w:pPr>
    </w:lvl>
    <w:lvl w:ilvl="6" w:tplc="678AB29C">
      <w:start w:val="1"/>
      <w:numFmt w:val="decimal"/>
      <w:lvlText w:val="%7."/>
      <w:lvlJc w:val="left"/>
      <w:pPr>
        <w:ind w:left="4680" w:hanging="360"/>
      </w:pPr>
    </w:lvl>
    <w:lvl w:ilvl="7" w:tplc="A67A2F58">
      <w:start w:val="1"/>
      <w:numFmt w:val="lowerLetter"/>
      <w:lvlText w:val="%8."/>
      <w:lvlJc w:val="left"/>
      <w:pPr>
        <w:ind w:left="5400" w:hanging="360"/>
      </w:pPr>
    </w:lvl>
    <w:lvl w:ilvl="8" w:tplc="CFCA205A">
      <w:start w:val="1"/>
      <w:numFmt w:val="lowerRoman"/>
      <w:lvlText w:val="%9."/>
      <w:lvlJc w:val="right"/>
      <w:pPr>
        <w:ind w:left="6120" w:hanging="180"/>
      </w:pPr>
    </w:lvl>
  </w:abstractNum>
  <w:abstractNum w:abstractNumId="8" w15:restartNumberingAfterBreak="0">
    <w:nsid w:val="6C8E6197"/>
    <w:multiLevelType w:val="hybridMultilevel"/>
    <w:tmpl w:val="3690AC0A"/>
    <w:lvl w:ilvl="0" w:tplc="719E43C2">
      <w:start w:val="1"/>
      <w:numFmt w:val="decimal"/>
      <w:lvlText w:val="%1."/>
      <w:lvlJc w:val="left"/>
      <w:pPr>
        <w:ind w:left="1571" w:hanging="360"/>
      </w:pPr>
    </w:lvl>
    <w:lvl w:ilvl="1" w:tplc="C7F0F6B2">
      <w:start w:val="1"/>
      <w:numFmt w:val="lowerLetter"/>
      <w:lvlText w:val="%2."/>
      <w:lvlJc w:val="left"/>
      <w:pPr>
        <w:ind w:left="2291" w:hanging="360"/>
      </w:pPr>
    </w:lvl>
    <w:lvl w:ilvl="2" w:tplc="A2C29038">
      <w:start w:val="1"/>
      <w:numFmt w:val="lowerRoman"/>
      <w:lvlText w:val="%3."/>
      <w:lvlJc w:val="right"/>
      <w:pPr>
        <w:ind w:left="3011" w:hanging="180"/>
      </w:pPr>
    </w:lvl>
    <w:lvl w:ilvl="3" w:tplc="2304D11E">
      <w:start w:val="1"/>
      <w:numFmt w:val="decimal"/>
      <w:lvlText w:val="%4."/>
      <w:lvlJc w:val="left"/>
      <w:pPr>
        <w:ind w:left="3731" w:hanging="360"/>
      </w:pPr>
    </w:lvl>
    <w:lvl w:ilvl="4" w:tplc="E5627296">
      <w:start w:val="1"/>
      <w:numFmt w:val="lowerLetter"/>
      <w:lvlText w:val="%5."/>
      <w:lvlJc w:val="left"/>
      <w:pPr>
        <w:ind w:left="4451" w:hanging="360"/>
      </w:pPr>
    </w:lvl>
    <w:lvl w:ilvl="5" w:tplc="3DFA2D16">
      <w:start w:val="1"/>
      <w:numFmt w:val="lowerRoman"/>
      <w:lvlText w:val="%6."/>
      <w:lvlJc w:val="right"/>
      <w:pPr>
        <w:ind w:left="5171" w:hanging="180"/>
      </w:pPr>
    </w:lvl>
    <w:lvl w:ilvl="6" w:tplc="1DC6BC32">
      <w:start w:val="1"/>
      <w:numFmt w:val="decimal"/>
      <w:lvlText w:val="%7."/>
      <w:lvlJc w:val="left"/>
      <w:pPr>
        <w:ind w:left="5891" w:hanging="360"/>
      </w:pPr>
    </w:lvl>
    <w:lvl w:ilvl="7" w:tplc="6CF8BCF6">
      <w:start w:val="1"/>
      <w:numFmt w:val="lowerLetter"/>
      <w:lvlText w:val="%8."/>
      <w:lvlJc w:val="left"/>
      <w:pPr>
        <w:ind w:left="6611" w:hanging="360"/>
      </w:pPr>
    </w:lvl>
    <w:lvl w:ilvl="8" w:tplc="B5EA659C">
      <w:start w:val="1"/>
      <w:numFmt w:val="lowerRoman"/>
      <w:lvlText w:val="%9."/>
      <w:lvlJc w:val="right"/>
      <w:pPr>
        <w:ind w:left="7331" w:hanging="180"/>
      </w:pPr>
    </w:lvl>
  </w:abstractNum>
  <w:num w:numId="1" w16cid:durableId="135536458">
    <w:abstractNumId w:val="1"/>
  </w:num>
  <w:num w:numId="2" w16cid:durableId="2085643850">
    <w:abstractNumId w:val="4"/>
  </w:num>
  <w:num w:numId="3" w16cid:durableId="71204662">
    <w:abstractNumId w:val="2"/>
  </w:num>
  <w:num w:numId="4" w16cid:durableId="2126531983">
    <w:abstractNumId w:val="3"/>
  </w:num>
  <w:num w:numId="5" w16cid:durableId="251472901">
    <w:abstractNumId w:val="6"/>
  </w:num>
  <w:num w:numId="6" w16cid:durableId="944188087">
    <w:abstractNumId w:val="7"/>
  </w:num>
  <w:num w:numId="7" w16cid:durableId="512187193">
    <w:abstractNumId w:val="5"/>
  </w:num>
  <w:num w:numId="8" w16cid:durableId="1826237739">
    <w:abstractNumId w:val="8"/>
  </w:num>
  <w:num w:numId="9" w16cid:durableId="2734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86"/>
    <w:rsid w:val="00111153"/>
    <w:rsid w:val="00231A86"/>
    <w:rsid w:val="00670AD6"/>
    <w:rsid w:val="00817222"/>
    <w:rsid w:val="00F34532"/>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09FE"/>
  <w15:docId w15:val="{7BD7A532-61F4-4561-87AB-FAC1A819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20729BD-6E73-414C-935C-4176075342F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11090</Characters>
  <Application>Microsoft Office Word</Application>
  <DocSecurity>0</DocSecurity>
  <Lines>92</Lines>
  <Paragraphs>25</Paragraphs>
  <ScaleCrop>false</ScaleCrop>
  <Company>Microsoft</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Lennard Dute</cp:lastModifiedBy>
  <cp:revision>7</cp:revision>
  <dcterms:created xsi:type="dcterms:W3CDTF">2023-09-07T09:05:00Z</dcterms:created>
  <dcterms:modified xsi:type="dcterms:W3CDTF">2024-03-15T16:43:00Z</dcterms:modified>
</cp:coreProperties>
</file>