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tabs>
          <w:tab w:val="left" w:pos="3220" w:leader="none"/>
        </w:tabs>
        <w:rPr>
          <w:rFonts w:ascii="Arial" w:hAnsi="Arial" w:cs="Arial"/>
          <w:color w:val="002060"/>
          <w:sz w:val="28"/>
        </w:r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</w:pPr>
      <w:r/>
      <w:bookmarkStart w:id="0" w:name="_GoBack"/>
      <w:r/>
      <w:bookmarkEnd w:id="0"/>
      <w:r>
        <w:rPr>
          <w:rFonts w:ascii="Arial" w:hAnsi="Arial" w:cs="Arial"/>
          <w:b/>
          <w:color w:val="002060"/>
          <w:sz w:val="28"/>
        </w:rPr>
        <w:t xml:space="preserve">Wiederholung zur Falllösungstechnik</w:t>
      </w:r>
      <w:r>
        <w:rPr>
          <w:rFonts w:ascii="Arial" w:hAnsi="Arial" w:cs="Arial"/>
          <w:color w:val="002060"/>
          <w:sz w:val="28"/>
        </w:rPr>
      </w:r>
    </w:p>
    <w:p>
      <w:pPr>
        <w:ind w:right="0"/>
        <w:spacing w:line="240" w:lineRule="auto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ind w:right="0"/>
        <w:spacing w:line="240" w:lineRule="auto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11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 xml:space="preserve">Zur Vorgehensweise bei der Falllösung</w:t>
      </w:r>
      <w:r>
        <w:rPr>
          <w:rFonts w:ascii="Arial" w:hAnsi="Arial" w:cs="Arial"/>
          <w:b/>
          <w:color w:val="002060"/>
          <w:sz w:val="28"/>
          <w:u w:val="single"/>
        </w:rPr>
      </w:r>
    </w:p>
    <w:p>
      <w:pPr>
        <w:pStyle w:val="987"/>
        <w:numPr>
          <w:ilvl w:val="0"/>
          <w:numId w:val="14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Den Sachverhalt lesen, erste Einfälle notieren.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14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Die Fallfrage lesen.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14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Den Sachverhalt nochmals lesen und ggf. Personenverhältnisse graphisch darstellen und/oder Zeittafel erstellen</w:t>
      </w:r>
      <w:r>
        <w:rPr>
          <w:rFonts w:ascii="Arial" w:hAnsi="Arial" w:cs="Arial"/>
          <w:color w:val="002060"/>
          <w:sz w:val="28"/>
        </w:rPr>
        <w:t xml:space="preserve"> (Bezug zur Fallfrage).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14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Vorarbeit: Bei Ansprüchen durch folgenden Dreischritt die in Betracht kommenden Anspruchsgrundlagen erarbeiten („Wer will was von wem woraus?“):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16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Zweipersonenverhältnisse bilden („Wer will von wem?“)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16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Mögliche Anspruchsziele formulier</w:t>
      </w:r>
      <w:r>
        <w:rPr>
          <w:rFonts w:ascii="Arial" w:hAnsi="Arial" w:cs="Arial"/>
          <w:color w:val="002060"/>
          <w:sz w:val="28"/>
        </w:rPr>
        <w:t xml:space="preserve">en („Was?“); vgl. unten II.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16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Mögliche Anspruchsgrundlagen niederschreiben („Woraus?“); vgl. unten III.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14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Die Lösungsskizze anfertigen durch Prüfung der im vorangegangenen Schritt gefundenen Anspruchsgrundlagen; vgl. unten IV. Dabei problematische Punkte kennz</w:t>
      </w:r>
      <w:r>
        <w:rPr>
          <w:rFonts w:ascii="Arial" w:hAnsi="Arial" w:cs="Arial"/>
          <w:color w:val="002060"/>
          <w:sz w:val="28"/>
        </w:rPr>
        <w:t xml:space="preserve">eichnen und den Zeitrahmen beachten.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14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Das Lösungsgutachten niederschreiben; vgl. unten V. Dabei auf richtige Schwerpunktsetzung achten und Seiten nummerieren.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11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 xml:space="preserve">Beispiele für mögliche Anspruchsziele</w:t>
      </w:r>
      <w:r>
        <w:rPr>
          <w:rFonts w:ascii="Arial" w:hAnsi="Arial" w:cs="Arial"/>
          <w:b/>
          <w:color w:val="002060"/>
          <w:sz w:val="28"/>
          <w:u w:val="single"/>
        </w:rPr>
      </w:r>
    </w:p>
    <w:p>
      <w:pPr>
        <w:pStyle w:val="987"/>
        <w:ind w:left="360"/>
        <w:jc w:val="both"/>
        <w:spacing w:line="360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Erfüllung; Schadensersatz; Herausgabe; Unterlassung oder Beseitigung; Abgabe einer Willenserklärung; Grundbuchberichtigung u.s.w.</w:t>
      </w: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  <w:br w:type="page" w:clear="all"/>
      </w: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pStyle w:val="987"/>
        <w:numPr>
          <w:ilvl w:val="0"/>
          <w:numId w:val="11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 xml:space="preserve">Reihenfolge der in Betracht zu ziehenden Anspruchsgrundlagen</w:t>
      </w:r>
      <w:r>
        <w:rPr>
          <w:rFonts w:ascii="Arial" w:hAnsi="Arial" w:cs="Arial"/>
          <w:b/>
          <w:color w:val="002060"/>
          <w:sz w:val="28"/>
          <w:u w:val="single"/>
        </w:rPr>
      </w:r>
    </w:p>
    <w:p>
      <w:pPr>
        <w:pStyle w:val="987"/>
        <w:numPr>
          <w:ilvl w:val="0"/>
          <w:numId w:val="17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Vertragliche Ansprüche</w:t>
      </w:r>
      <w:r>
        <w:rPr>
          <w:rFonts w:ascii="Arial" w:hAnsi="Arial" w:cs="Arial"/>
          <w:b/>
          <w:color w:val="002060"/>
          <w:sz w:val="28"/>
        </w:rPr>
      </w:r>
    </w:p>
    <w:p>
      <w:pPr>
        <w:pStyle w:val="987"/>
        <w:numPr>
          <w:ilvl w:val="0"/>
          <w:numId w:val="20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Primäransprüche</w:t>
      </w:r>
      <w:r>
        <w:rPr>
          <w:rFonts w:ascii="Arial" w:hAnsi="Arial" w:cs="Arial"/>
          <w:color w:val="002060"/>
          <w:sz w:val="28"/>
        </w:rPr>
        <w:t xml:space="preserve"> gerichtet auf Erfüllung 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ind w:left="1211"/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Bsp.: § 433 I BGB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20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Sekundäransprüche</w:t>
      </w:r>
      <w:r>
        <w:rPr>
          <w:rFonts w:ascii="Arial" w:hAnsi="Arial" w:cs="Arial"/>
          <w:color w:val="002060"/>
          <w:sz w:val="28"/>
        </w:rPr>
        <w:t xml:space="preserve"> gerichtet auf Schadensersatz 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ind w:left="1211"/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Bsp.: §§ 280 I, III, 283 BGB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18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 Hier zu prüfen, weil ein Vertrag (Auftrag) GoA entfallen lässt; Vertrag kann Recht zum Besitz i.S.d. § 986 BGB, Rechtsgrund bei § 812 BGB sein; Vertrag kann Ei</w:t>
      </w:r>
      <w:r>
        <w:rPr>
          <w:rFonts w:ascii="Arial" w:hAnsi="Arial" w:cs="Arial"/>
          <w:color w:val="002060"/>
          <w:sz w:val="28"/>
        </w:rPr>
        <w:t xml:space="preserve">nfluss auf Widerrechtlichkeit und Haftungsmaßstab insb. bei § 823 BGB haben.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ind w:left="420"/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17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Vertragsähnliche Ansprüche</w:t>
      </w:r>
      <w:r>
        <w:rPr>
          <w:rFonts w:ascii="Arial" w:hAnsi="Arial" w:cs="Arial"/>
          <w:color w:val="002060"/>
          <w:sz w:val="28"/>
        </w:rPr>
        <w:t xml:space="preserve"> 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  <w:lang w:val="en-US"/>
        </w:rPr>
      </w:pPr>
      <w:r>
        <w:rPr>
          <w:rFonts w:ascii="Arial" w:hAnsi="Arial" w:cs="Arial"/>
          <w:color w:val="002060"/>
          <w:sz w:val="28"/>
          <w:lang w:val="en-US"/>
        </w:rPr>
        <w:t xml:space="preserve">§§ 280 I, 311 II, 241 II BGB (cic); §§ 677 ff. BGB (GoA)</w:t>
      </w:r>
      <w:r>
        <w:rPr>
          <w:rFonts w:ascii="Arial" w:hAnsi="Arial" w:cs="Arial"/>
          <w:color w:val="002060"/>
          <w:sz w:val="28"/>
          <w:lang w:val="en-US"/>
        </w:rPr>
      </w:r>
    </w:p>
    <w:p>
      <w:pPr>
        <w:pStyle w:val="987"/>
        <w:numPr>
          <w:ilvl w:val="0"/>
          <w:numId w:val="18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  <w:lang w:val="en-US"/>
        </w:rPr>
        <w:t xml:space="preserve"> </w:t>
      </w:r>
      <w:r>
        <w:rPr>
          <w:rFonts w:ascii="Arial" w:hAnsi="Arial" w:cs="Arial"/>
          <w:color w:val="002060"/>
          <w:sz w:val="28"/>
        </w:rPr>
        <w:t xml:space="preserve">Hier zu prüfen, weil diese Ansprüche vertragsähnlich sind. Auch GoA kann Recht zum Besitz i.</w:t>
      </w:r>
      <w:r>
        <w:rPr>
          <w:rFonts w:ascii="Arial" w:hAnsi="Arial" w:cs="Arial"/>
          <w:color w:val="002060"/>
          <w:sz w:val="28"/>
        </w:rPr>
        <w:t xml:space="preserve">S.d. § 986 BGB, Rechtfertigungsgrund bei § 823 BGB, Rechtsgrund bei § 812 BGB sein.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17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Dingliche Ansprüche</w:t>
      </w:r>
      <w:r>
        <w:rPr>
          <w:rFonts w:ascii="Arial" w:hAnsi="Arial" w:cs="Arial"/>
          <w:color w:val="002060"/>
          <w:sz w:val="28"/>
        </w:rPr>
        <w:t xml:space="preserve"> 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§§ 985 ff. BGB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18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 Hier zu prüfen wegen der Sperrwirkung des EBV, § 993 I Hs. 2 BGB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17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Ansprüche aus unerlaubter Handlung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§§ 823 ff. BGB oder Sondergesetze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17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Ansprüche aus ungerechtfertigter Bereicherung </w:t>
      </w:r>
      <w:r>
        <w:rPr>
          <w:rFonts w:ascii="Arial" w:hAnsi="Arial" w:cs="Arial"/>
          <w:b/>
          <w:color w:val="002060"/>
          <w:sz w:val="28"/>
        </w:rPr>
      </w:r>
    </w:p>
    <w:p>
      <w:pPr>
        <w:pStyle w:val="987"/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§§ 812 ff. BGB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ind w:right="0"/>
        <w:spacing w:line="240" w:lineRule="auto"/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br w:type="page" w:clear="all"/>
      </w:r>
      <w:r>
        <w:rPr>
          <w:rFonts w:ascii="Arial" w:hAnsi="Arial" w:cs="Arial"/>
          <w:b/>
          <w:color w:val="002060"/>
          <w:sz w:val="28"/>
        </w:rPr>
      </w:r>
    </w:p>
    <w:p>
      <w:pPr>
        <w:pStyle w:val="987"/>
        <w:numPr>
          <w:ilvl w:val="0"/>
          <w:numId w:val="11"/>
        </w:num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 xml:space="preserve">Aufbau der Prüfung eines vertraglichen Primäranspruchs</w:t>
      </w:r>
      <w:r>
        <w:rPr>
          <w:rFonts w:ascii="Arial" w:hAnsi="Arial" w:cs="Arial"/>
          <w:b/>
          <w:color w:val="002060"/>
          <w:sz w:val="28"/>
          <w:u w:val="single"/>
        </w:rPr>
      </w:r>
    </w:p>
    <w:p>
      <w:pPr>
        <w:pStyle w:val="987"/>
        <w:ind w:left="360"/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</w:r>
      <w:r>
        <w:rPr>
          <w:rFonts w:ascii="Arial" w:hAnsi="Arial" w:cs="Arial"/>
          <w:b/>
          <w:color w:val="002060"/>
          <w:sz w:val="28"/>
          <w:u w:val="single"/>
        </w:rPr>
      </w:r>
    </w:p>
    <w:p>
      <w:pPr>
        <w:pStyle w:val="987"/>
        <w:ind w:left="360"/>
        <w:jc w:val="both"/>
        <w:spacing w:line="360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Nennung der Anspruchsgrundlage (AGL) </w:t>
      </w:r>
      <w:r>
        <w:rPr>
          <w:rFonts w:ascii="Arial" w:hAnsi="Arial" w:cs="Arial"/>
          <w:b/>
          <w:color w:val="002060"/>
          <w:sz w:val="28"/>
        </w:rPr>
      </w:r>
    </w:p>
    <w:p>
      <w:pPr>
        <w:pStyle w:val="987"/>
        <w:ind w:left="360"/>
        <w:jc w:val="both"/>
        <w:spacing w:line="360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color w:val="002060"/>
          <w:sz w:val="28"/>
          <w:u w:val="single"/>
        </w:rPr>
        <w:t xml:space="preserve">(z.B</w:t>
      </w:r>
      <w:r>
        <w:rPr>
          <w:rFonts w:ascii="Arial" w:hAnsi="Arial" w:cs="Arial"/>
          <w:color w:val="002060"/>
          <w:sz w:val="28"/>
        </w:rPr>
        <w:t xml:space="preserve">. § 433 I 1 BGB </w:t>
      </w:r>
      <w:r>
        <w:rPr>
          <w:rFonts w:ascii="Wingdings" w:hAnsi="Wingdings" w:eastAsia="Wingdings" w:cs="Wingdings"/>
        </w:rPr>
        <w:t xml:space="preserve"></w:t>
      </w:r>
      <w:r>
        <w:rPr>
          <w:rFonts w:ascii="Arial" w:hAnsi="Arial" w:cs="Arial"/>
          <w:color w:val="002060"/>
          <w:sz w:val="28"/>
        </w:rPr>
        <w:t xml:space="preserve"> Übereignung und Übergabe oder § 433 II BGB </w:t>
      </w:r>
      <w:r>
        <w:rPr>
          <w:rFonts w:ascii="Wingdings" w:hAnsi="Wingdings" w:eastAsia="Wingdings" w:cs="Wingdings"/>
        </w:rPr>
        <w:t xml:space="preserve"></w:t>
      </w:r>
      <w:r>
        <w:rPr>
          <w:rFonts w:ascii="Arial" w:hAnsi="Arial" w:cs="Arial"/>
          <w:color w:val="002060"/>
          <w:sz w:val="28"/>
        </w:rPr>
        <w:t xml:space="preserve"> Kaufpreiszahlung)</w:t>
      </w:r>
      <w:r>
        <w:rPr>
          <w:rFonts w:ascii="Arial" w:hAnsi="Arial" w:cs="Arial"/>
          <w:b/>
          <w:color w:val="002060"/>
          <w:sz w:val="28"/>
          <w:u w:val="single"/>
        </w:rPr>
      </w:r>
    </w:p>
    <w:p>
      <w:p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21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Anspruch entstanden</w:t>
      </w:r>
      <w:r>
        <w:rPr>
          <w:rFonts w:ascii="Arial" w:hAnsi="Arial" w:cs="Arial"/>
          <w:b/>
          <w:color w:val="002060"/>
          <w:sz w:val="28"/>
        </w:rPr>
      </w:r>
    </w:p>
    <w:p>
      <w:pPr>
        <w:pStyle w:val="987"/>
        <w:numPr>
          <w:ilvl w:val="0"/>
          <w:numId w:val="22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Einigung im Sinne der §§ 145 ff. BGB</w:t>
      </w:r>
      <w:r>
        <w:rPr>
          <w:rFonts w:ascii="Arial" w:hAnsi="Arial" w:cs="Arial"/>
          <w:b/>
          <w:color w:val="002060"/>
          <w:sz w:val="28"/>
        </w:rPr>
      </w:r>
    </w:p>
    <w:p>
      <w:pPr>
        <w:pStyle w:val="987"/>
        <w:numPr>
          <w:ilvl w:val="0"/>
          <w:numId w:val="9"/>
        </w:numPr>
        <w:ind w:left="1494" w:hanging="425"/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zwei Willenserklärungen: Angebot und Annahme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9"/>
        </w:numPr>
        <w:ind w:left="1494" w:hanging="425"/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Abgabe und Zugang (Ausnahme: § 151 BGB – kein Zugang erforderlich)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9"/>
        </w:numPr>
        <w:ind w:left="1494" w:hanging="425"/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inhaltliche Deckung der beiden Willenserklärungen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ind w:left="1494"/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Wingdings" w:hAnsi="Wingdings" w:eastAsia="Wingdings" w:cs="Wingdings"/>
        </w:rPr>
        <w:t xml:space="preserve"></w:t>
      </w:r>
      <w:r>
        <w:rPr>
          <w:rFonts w:ascii="Arial" w:hAnsi="Arial" w:cs="Arial"/>
          <w:color w:val="002060"/>
          <w:sz w:val="28"/>
        </w:rPr>
        <w:t xml:space="preserve"> offener / versteckter Dissens (§§ 1</w:t>
      </w:r>
      <w:r>
        <w:rPr>
          <w:rFonts w:ascii="Arial" w:hAnsi="Arial" w:cs="Arial"/>
          <w:color w:val="002060"/>
          <w:sz w:val="28"/>
        </w:rPr>
        <w:t xml:space="preserve">54, 155 BGB)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9"/>
        </w:numPr>
        <w:ind w:left="1494" w:hanging="425"/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Umfang der Leistungspflicht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22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Nichtigkeitsgründe – </w:t>
      </w:r>
      <w:r>
        <w:rPr>
          <w:rFonts w:ascii="Arial" w:hAnsi="Arial" w:cs="Arial"/>
          <w:color w:val="002060"/>
          <w:sz w:val="28"/>
        </w:rPr>
        <w:t xml:space="preserve">Rechts</w:t>
      </w:r>
      <w:r>
        <w:rPr>
          <w:rFonts w:ascii="Arial" w:hAnsi="Arial" w:cs="Arial"/>
          <w:color w:val="002060"/>
          <w:sz w:val="28"/>
          <w:u w:val="single"/>
        </w:rPr>
        <w:t xml:space="preserve">hindernd</w:t>
      </w:r>
      <w:r>
        <w:rPr>
          <w:rFonts w:ascii="Arial" w:hAnsi="Arial" w:cs="Arial"/>
          <w:color w:val="002060"/>
          <w:sz w:val="28"/>
        </w:rPr>
        <w:t xml:space="preserve">e Einwendungen</w:t>
      </w:r>
      <w:r>
        <w:rPr>
          <w:rFonts w:ascii="Arial" w:hAnsi="Arial" w:cs="Arial"/>
          <w:b/>
          <w:color w:val="002060"/>
          <w:sz w:val="28"/>
        </w:rPr>
      </w:r>
    </w:p>
    <w:p>
      <w:pPr>
        <w:ind w:left="1069"/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Der Anspruch des Gläubigers ist </w:t>
      </w:r>
      <w:r>
        <w:rPr>
          <w:rFonts w:ascii="Arial" w:hAnsi="Arial" w:cs="Arial"/>
          <w:color w:val="002060"/>
          <w:sz w:val="28"/>
          <w:u w:val="single"/>
        </w:rPr>
        <w:t xml:space="preserve">nie entstanden</w:t>
      </w:r>
      <w:r>
        <w:rPr>
          <w:rFonts w:ascii="Arial" w:hAnsi="Arial" w:cs="Arial"/>
          <w:color w:val="002060"/>
          <w:sz w:val="28"/>
        </w:rPr>
        <w:t xml:space="preserve">; Rechtshindernde Einwendungen werden von Amts wegen geprüft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9"/>
        </w:numPr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Geschäftsunfähigkeit (§ 105 I i.V.m. § 104 BGB)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9"/>
        </w:numPr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Bewusstlos</w:t>
      </w:r>
      <w:r>
        <w:rPr>
          <w:rFonts w:ascii="Arial" w:hAnsi="Arial" w:cs="Arial"/>
          <w:color w:val="002060"/>
          <w:sz w:val="28"/>
        </w:rPr>
        <w:t xml:space="preserve">igkeit / Störung der Geistestätigkeit (§ 105 II BGB)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9"/>
        </w:numPr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geheimer Vorbehalt &amp; Kenntnis des Dritten (§ 116 S. 2 BGB)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9"/>
        </w:numPr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Scheingeschäft (§ 117 BGB)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9"/>
        </w:numPr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Scherzerklärung (§ 118 BGB)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9"/>
        </w:numPr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Formmangel (z.B. §§ 311b, 518 jeweils i.V.m. § 125 BGB)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9"/>
        </w:numPr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Gesetzesverstoß (§ 134 BGB)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9"/>
        </w:numPr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Verstoß gegen die guten Sitten (§ 138 I), Wucher (§ 138 II)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9"/>
        </w:numPr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Nichteintritt einer aufschiebenden Bedingung (§ 158 I BGB)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9"/>
        </w:numPr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Anfechtung (§§ 119, 120, 123 BGB jeweils i.V.m. § 142 BGB)</w:t>
      </w:r>
      <w:r>
        <w:rPr>
          <w:rFonts w:ascii="Arial" w:hAnsi="Arial" w:cs="Arial"/>
          <w:color w:val="002060"/>
          <w:sz w:val="28"/>
        </w:rPr>
      </w:r>
    </w:p>
    <w:p>
      <w:pPr>
        <w:ind w:right="0"/>
        <w:spacing w:line="240" w:lineRule="auto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br w:type="page" w:clear="all"/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21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Anspruch untergegangen – </w:t>
      </w:r>
      <w:r>
        <w:rPr>
          <w:rFonts w:ascii="Arial" w:hAnsi="Arial" w:cs="Arial"/>
          <w:color w:val="002060"/>
          <w:sz w:val="28"/>
        </w:rPr>
        <w:t xml:space="preserve">Rechts</w:t>
      </w:r>
      <w:r>
        <w:rPr>
          <w:rFonts w:ascii="Arial" w:hAnsi="Arial" w:cs="Arial"/>
          <w:color w:val="002060"/>
          <w:sz w:val="28"/>
          <w:u w:val="single"/>
        </w:rPr>
        <w:t xml:space="preserve">vernichtend</w:t>
      </w:r>
      <w:r>
        <w:rPr>
          <w:rFonts w:ascii="Arial" w:hAnsi="Arial" w:cs="Arial"/>
          <w:color w:val="002060"/>
          <w:sz w:val="28"/>
        </w:rPr>
        <w:t xml:space="preserve">e Einwendungen 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jc w:val="both"/>
        <w:spacing w:line="360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Der Anspruch wird </w:t>
      </w:r>
      <w:r>
        <w:rPr>
          <w:rFonts w:ascii="Arial" w:hAnsi="Arial" w:cs="Arial"/>
          <w:color w:val="002060"/>
          <w:sz w:val="28"/>
        </w:rPr>
        <w:t xml:space="preserve">im Nachhinein </w:t>
      </w:r>
      <w:r>
        <w:rPr>
          <w:rFonts w:ascii="Arial" w:hAnsi="Arial" w:cs="Arial"/>
          <w:color w:val="002060"/>
          <w:sz w:val="28"/>
          <w:u w:val="single"/>
        </w:rPr>
        <w:t xml:space="preserve">wieder vernichtet</w:t>
      </w:r>
      <w:r>
        <w:rPr>
          <w:rFonts w:ascii="Arial" w:hAnsi="Arial" w:cs="Arial"/>
          <w:color w:val="002060"/>
          <w:sz w:val="28"/>
        </w:rPr>
        <w:t xml:space="preserve">, d.h. der Anspruch ist ursprünglich entstanden und aufgrund folgender Normen untergegangen; Rechtsvernichtende Einwendungen werden von Amts wegen geprüft</w:t>
      </w:r>
      <w:r>
        <w:rPr>
          <w:rFonts w:ascii="Arial" w:hAnsi="Arial" w:cs="Arial"/>
          <w:b/>
          <w:color w:val="002060"/>
          <w:sz w:val="28"/>
        </w:rPr>
      </w:r>
    </w:p>
    <w:p>
      <w:pPr>
        <w:pStyle w:val="987"/>
        <w:numPr>
          <w:ilvl w:val="0"/>
          <w:numId w:val="9"/>
        </w:numPr>
        <w:ind w:left="1134" w:hanging="425"/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Erfüllung (§ 362 BGB)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9"/>
        </w:numPr>
        <w:ind w:left="1134" w:hanging="425"/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Erfüllungssurrogate: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10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Hinterlegung (§§ 372 ff. BGB, insbes. § 378 BGB)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10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Aufrechnung (§§ 387 ff. BGB, insbes. § 389 BGB)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9"/>
        </w:numPr>
        <w:ind w:left="1134" w:hanging="425"/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Erlass (§ 397 BGB)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9"/>
        </w:numPr>
        <w:ind w:left="1134" w:hanging="425"/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Rücktritt (§ 346 BGB; beachte auch § 218 BGB)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9"/>
        </w:numPr>
        <w:ind w:left="1134" w:hanging="425"/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nachträglich obj. / subj. Unmöglichkeit (§§ 275 I, 326 I BGB)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9"/>
        </w:numPr>
        <w:ind w:left="1134" w:hanging="425"/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Eintritt einer auflösenden Bedin</w:t>
      </w:r>
      <w:r>
        <w:rPr>
          <w:rFonts w:ascii="Arial" w:hAnsi="Arial" w:cs="Arial"/>
          <w:color w:val="002060"/>
          <w:sz w:val="28"/>
        </w:rPr>
        <w:t xml:space="preserve">gung (§ 158 II BGB)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9"/>
        </w:numPr>
        <w:ind w:left="1134" w:hanging="425"/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Ausübung eines Widerrufsrechts (§§ 312 ff. i.V.m. §§ 355 ff.)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9"/>
        </w:numPr>
        <w:ind w:left="1134" w:hanging="425"/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Verwirkung (aus § 242 BGB)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9"/>
        </w:numPr>
        <w:ind w:left="1134" w:hanging="425"/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Wegfall der Geschäftsgrundlage (§ 313 BGB)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ind w:left="420"/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21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Anspruch durchsetzbar – </w:t>
      </w:r>
      <w:r>
        <w:rPr>
          <w:rFonts w:ascii="Arial" w:hAnsi="Arial" w:cs="Arial"/>
          <w:color w:val="002060"/>
          <w:sz w:val="28"/>
        </w:rPr>
        <w:t xml:space="preserve">Rechtshemmende Einwendungen (= Einreden) </w:t>
      </w:r>
      <w:r>
        <w:rPr>
          <w:rFonts w:ascii="Arial" w:hAnsi="Arial" w:cs="Arial"/>
          <w:b/>
          <w:color w:val="002060"/>
          <w:sz w:val="28"/>
        </w:rPr>
      </w:r>
    </w:p>
    <w:p>
      <w:pPr>
        <w:pStyle w:val="987"/>
        <w:jc w:val="both"/>
        <w:spacing w:line="360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Die Existenz des Anspruchs bleibt unberührt, er ist jedoch zeitweise oder auf Dauer nicht durchsetzbar; müssen im Prozess geltend gemacht werden, um berücksichtigt zu werden</w:t>
      </w:r>
      <w:r>
        <w:rPr>
          <w:rFonts w:ascii="Arial" w:hAnsi="Arial" w:cs="Arial"/>
          <w:b/>
          <w:color w:val="002060"/>
          <w:sz w:val="28"/>
        </w:rPr>
      </w:r>
    </w:p>
    <w:p>
      <w:pPr>
        <w:pStyle w:val="987"/>
        <w:numPr>
          <w:ilvl w:val="0"/>
          <w:numId w:val="23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Anspruch auf Dauer nicht durchsetzbar </w:t>
      </w:r>
      <w:r>
        <w:rPr>
          <w:rFonts w:ascii="Arial" w:hAnsi="Arial" w:cs="Arial"/>
          <w:color w:val="002060"/>
          <w:sz w:val="28"/>
        </w:rPr>
        <w:t xml:space="preserve">(sog. peremptorische Einreden)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ind w:left="708"/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ab/>
      </w:r>
      <w:r>
        <w:rPr>
          <w:rFonts w:ascii="Wingdings" w:hAnsi="Wingdings" w:eastAsia="Wingdings" w:cs="Wingdings"/>
          <w:color w:val="002060"/>
          <w:sz w:val="28"/>
        </w:rPr>
        <w:t xml:space="preserve"></w:t>
      </w:r>
      <w:r>
        <w:rPr>
          <w:rFonts w:ascii="Arial" w:hAnsi="Arial" w:cs="Arial"/>
          <w:color w:val="002060"/>
          <w:sz w:val="28"/>
        </w:rPr>
        <w:t xml:space="preserve"> v.a. Verjä</w:t>
      </w:r>
      <w:r>
        <w:rPr>
          <w:rFonts w:ascii="Arial" w:hAnsi="Arial" w:cs="Arial"/>
          <w:color w:val="002060"/>
          <w:sz w:val="28"/>
        </w:rPr>
        <w:t xml:space="preserve">hrung (§ 214 BGB), z.B.: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1"/>
          <w:numId w:val="18"/>
        </w:numPr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Verjährung der Mängelansprüche im Kaufrecht (§ 438 BGB; beachte v.a.§ 438 IV 2 BGB)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1"/>
          <w:numId w:val="18"/>
        </w:numPr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Verjährung der Mängelansprüche im Werkrecht (§ 634a BGB)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23"/>
        </w:numPr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Anspruch zeitweise nicht durchsetzbar </w:t>
      </w:r>
      <w:r>
        <w:rPr>
          <w:rFonts w:ascii="Arial" w:hAnsi="Arial" w:cs="Arial"/>
          <w:color w:val="002060"/>
          <w:sz w:val="28"/>
        </w:rPr>
        <w:t xml:space="preserve">(sog. dilatorische Einreden)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24"/>
        </w:numPr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Einrede des nichterfül</w:t>
      </w:r>
      <w:r>
        <w:rPr>
          <w:rFonts w:ascii="Arial" w:hAnsi="Arial" w:cs="Arial"/>
          <w:color w:val="002060"/>
          <w:sz w:val="28"/>
        </w:rPr>
        <w:t xml:space="preserve">lten Vertrages (§ 320 BGB)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24"/>
        </w:numPr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Zurückbehaltungsrecht (§ 273 BGB)</w:t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24"/>
        </w:numPr>
        <w:jc w:val="both"/>
        <w:spacing w:line="360" w:lineRule="auto"/>
        <w:tabs>
          <w:tab w:val="left" w:pos="1134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Stundung 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i/>
          <w:color w:val="002060"/>
          <w:sz w:val="28"/>
        </w:rPr>
      </w:pPr>
      <w:r>
        <w:rPr>
          <w:rFonts w:ascii="Arial" w:hAnsi="Arial" w:cs="Arial"/>
          <w:i/>
          <w:color w:val="002060"/>
          <w:sz w:val="28"/>
        </w:rPr>
        <w:t xml:space="preserve">Hinweis: Diese Übersicht soll beispielhaft Einwendungen und Einreden aufzeigen, erhebt aber keinen Anspruch auf Vollständigkeit.</w:t>
      </w:r>
      <w:r>
        <w:rPr>
          <w:rFonts w:ascii="Arial" w:hAnsi="Arial" w:cs="Arial"/>
          <w:i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pStyle w:val="987"/>
        <w:numPr>
          <w:ilvl w:val="0"/>
          <w:numId w:val="11"/>
        </w:num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 xml:space="preserve">Gutachtenstil </w:t>
      </w:r>
      <w:r>
        <w:rPr>
          <w:rFonts w:ascii="Arial" w:hAnsi="Arial" w:cs="Arial"/>
          <w:b/>
          <w:color w:val="002060"/>
          <w:sz w:val="28"/>
          <w:u w:val="single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</w:r>
      <w:r>
        <w:rPr>
          <w:rFonts w:ascii="Arial" w:hAnsi="Arial" w:cs="Arial"/>
          <w:b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In der Falllösung ist grundsätzlich der Gutachtenstil zu verwenden. Nur bei unproblematischen Punkten darf auf den Urteilsstil zurückgegriffen werden. Geprüft wird beim Gutachtenstil in einem Vierschritt: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851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1.</w:t>
      </w:r>
      <w:r>
        <w:rPr>
          <w:rFonts w:ascii="Arial" w:hAnsi="Arial" w:cs="Arial"/>
          <w:color w:val="002060"/>
          <w:sz w:val="28"/>
        </w:rPr>
        <w:tab/>
        <w:t xml:space="preserve">Obersatz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2.</w:t>
      </w:r>
      <w:r>
        <w:rPr>
          <w:rFonts w:ascii="Arial" w:hAnsi="Arial" w:cs="Arial"/>
          <w:color w:val="002060"/>
          <w:sz w:val="28"/>
        </w:rPr>
        <w:tab/>
        <w:t xml:space="preserve">Definition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3.</w:t>
      </w:r>
      <w:r>
        <w:rPr>
          <w:rFonts w:ascii="Arial" w:hAnsi="Arial" w:cs="Arial"/>
          <w:color w:val="002060"/>
          <w:sz w:val="28"/>
        </w:rPr>
        <w:tab/>
        <w:t xml:space="preserve">Subsumtion</w:t>
      </w:r>
      <w:r>
        <w:rPr>
          <w:rFonts w:ascii="Arial" w:hAnsi="Arial" w:cs="Arial"/>
          <w:color w:val="002060"/>
          <w:sz w:val="28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 xml:space="preserve">4.</w:t>
      </w:r>
      <w:r>
        <w:rPr>
          <w:rFonts w:ascii="Arial" w:hAnsi="Arial" w:cs="Arial"/>
          <w:color w:val="002060"/>
          <w:sz w:val="28"/>
        </w:rPr>
        <w:tab/>
        <w:t xml:space="preserve">Ergebni</w:t>
      </w:r>
      <w:r>
        <w:rPr>
          <w:rFonts w:ascii="Arial" w:hAnsi="Arial" w:cs="Arial"/>
          <w:color w:val="002060"/>
          <w:sz w:val="28"/>
        </w:rPr>
        <w:t xml:space="preserve">s</w:t>
      </w:r>
      <w:r>
        <w:rPr>
          <w:rFonts w:ascii="Arial" w:hAnsi="Arial" w:cs="Arial"/>
          <w:color w:val="002060"/>
          <w:sz w:val="28"/>
        </w:rPr>
      </w:r>
    </w:p>
    <w:sectPr>
      <w:headerReference w:type="first" r:id="rId9"/>
      <w:footerReference w:type="default" r:id="rId10"/>
      <w:footerReference w:type="first" r:id="rId11"/>
      <w:footnotePr/>
      <w:endnotePr/>
      <w:type w:val="continuous"/>
      <w:pgSz w:w="11907" w:h="16840" w:orient="portrait"/>
      <w:pgMar w:top="-1560" w:right="567" w:bottom="567" w:left="1418" w:header="1134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Symbol">
    <w:panose1 w:val="05010000000000000000"/>
  </w:font>
  <w:font w:name="Courier New">
    <w:panose1 w:val="02070309020205020404"/>
  </w:font>
  <w:font w:name="Times">
    <w:panose1 w:val="02020603050405020304"/>
  </w:font>
  <w:font w:name="Wingdings">
    <w:panose1 w:val="05010000000000000000"/>
  </w:font>
  <w:font w:name="RubFlama">
    <w:panose1 w:val="020B0603030804020204"/>
  </w:font>
  <w:font w:name="scala-regular">
    <w:panose1 w:val="020B06030308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RUB Scala MZ">
    <w:panose1 w:val="020B0603030804020204"/>
  </w:font>
  <w:font w:name="rubflama-medium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rPr>
        <w:rFonts w:ascii="rubflama-medium" w:hAnsi="rubflama-medium"/>
      </w:rPr>
    </w:pPr>
    <w:r>
      <w:rPr>
        <w:b/>
      </w:rPr>
      <w:t xml:space="preserve">SEITE</w:t>
    </w:r>
    <w:r>
      <w:rPr>
        <w:rFonts w:ascii="rubflama-medium" w:hAnsi="rubflama-medium"/>
      </w:rPr>
      <w:t xml:space="preserve"> </w:t>
    </w:r>
    <w:r>
      <w:fldChar w:fldCharType="begin"/>
    </w:r>
    <w:r>
      <w:instrText xml:space="preserve">PAGE</w:instrText>
    </w:r>
    <w:r>
      <w:fldChar w:fldCharType="separate"/>
    </w:r>
    <w:r>
      <w:t xml:space="preserve">5</w:t>
    </w:r>
    <w:r>
      <w:fldChar w:fldCharType="end"/>
    </w:r>
    <w:r>
      <w:t xml:space="preserve"> </w:t>
    </w:r>
    <w:r>
      <w:rPr>
        <w:rFonts w:cs="Helvetica"/>
        <w:szCs w:val="16"/>
      </w:rPr>
      <w:t xml:space="preserve">|</w:t>
    </w:r>
    <w:r>
      <w:t xml:space="preserve"> </w:t>
    </w:r>
    <w:r>
      <w:fldChar w:fldCharType="begin"/>
    </w:r>
    <w:r>
      <w:instrText xml:space="preserve">NUMPAGES</w:instrText>
    </w:r>
    <w:r>
      <w:fldChar w:fldCharType="separate"/>
    </w:r>
    <w:r>
      <w:t xml:space="preserve">5</w:t>
    </w:r>
    <w:r>
      <w:fldChar w:fldCharType="end"/>
    </w:r>
    <w:r>
      <w:rPr>
        <w:rFonts w:ascii="rubflama-medium" w:hAnsi="rubflama-medium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pPr w:horzAnchor="page" w:tblpX="1419" w:vertAnchor="page" w:tblpY="15820" w:leftFromText="0" w:topFromText="567" w:rightFromText="1418" w:bottomFromText="284"/>
      <w:tblW w:w="992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663"/>
      <w:gridCol w:w="3259"/>
    </w:tblGrid>
    <w:tr>
      <w:trPr>
        <w:cantSplit/>
        <w:trHeight w:val="567"/>
      </w:trPr>
      <w:tc>
        <w:tcPr>
          <w:tcW w:w="6663" w:type="dxa"/>
          <w:textDirection w:val="lrTb"/>
          <w:noWrap w:val="false"/>
        </w:tcPr>
        <w:p>
          <w:pPr>
            <w:pStyle w:val="978"/>
          </w:pPr>
          <w:r/>
          <w:r/>
        </w:p>
      </w:tc>
      <w:tc>
        <w:tcPr>
          <w:tcW w:w="3259" w:type="dxa"/>
          <w:vAlign w:val="bottom"/>
          <w:textDirection w:val="lrTb"/>
          <w:noWrap w:val="false"/>
        </w:tcPr>
        <w:p>
          <w:pPr>
            <w:pStyle w:val="986"/>
            <w:framePr w:vSpace="0" w:wrap="auto" w:vAnchor="margin" w:hAnchor="text" w:xAlign="left" w:yAlign="inline"/>
          </w:pPr>
          <w:r/>
          <w:r/>
        </w:p>
      </w:tc>
    </w:tr>
  </w:tbl>
  <w:p>
    <w:pPr>
      <w:pStyle w:val="97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tabs>
        <w:tab w:val="clear" w:pos="4536" w:leader="none"/>
        <w:tab w:val="left" w:pos="6390" w:leader="none"/>
        <w:tab w:val="clear" w:pos="9072" w:leader="none"/>
      </w:tabs>
    </w:pPr>
    <w:r>
      <w:rPr>
        <w:i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720090" distL="114300" distR="114300" simplePos="0" relativeHeight="251667456" behindDoc="0" locked="0" layoutInCell="1" allowOverlap="1">
              <wp:simplePos x="0" y="0"/>
              <wp:positionH relativeFrom="page">
                <wp:posOffset>5137785</wp:posOffset>
              </wp:positionH>
              <wp:positionV relativeFrom="page">
                <wp:posOffset>483235</wp:posOffset>
              </wp:positionV>
              <wp:extent cx="2051685" cy="407670"/>
              <wp:effectExtent l="0" t="0" r="5715" b="0"/>
              <wp:wrapTopAndBottom/>
              <wp:docPr id="1" name="Bild 1" descr="Logo_RUB_SCHWAR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RUB_SCHWARZ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5168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7456;o:allowoverlap:true;o:allowincell:true;mso-position-horizontal-relative:page;margin-left:404.55pt;mso-position-horizontal:absolute;mso-position-vertical-relative:page;margin-top:38.05pt;mso-position-vertical:absolute;width:161.55pt;height:32.10pt;mso-wrap-distance-left:9.00pt;mso-wrap-distance-top:0.00pt;mso-wrap-distance-right:9.00pt;mso-wrap-distance-bottom:56.70pt;" stroked="f">
              <v:path textboxrect="0,0,0,0"/>
              <w10:wrap type="topAndBottom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bullet"/>
      <w:isLgl w:val="false"/>
      <w:suff w:val="tab"/>
      <w:lvlText w:val="•"/>
      <w:lvlJc w:val="left"/>
      <w:pPr>
        <w:ind w:left="1080" w:hanging="360"/>
      </w:pPr>
      <w:rPr>
        <w:rFonts w:hint="default" w:ascii="RubFlama" w:hAnsi="RubFlama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3"/>
      <w:numFmt w:val="bullet"/>
      <w:isLgl w:val="false"/>
      <w:suff w:val="tab"/>
      <w:lvlText w:val="•"/>
      <w:lvlJc w:val="left"/>
      <w:pPr>
        <w:ind w:left="2203" w:hanging="360"/>
      </w:pPr>
      <w:rPr>
        <w:rFonts w:hint="default" w:ascii="RubFlama" w:hAnsi="RubFlama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92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4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6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8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80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52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4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63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55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Letter"/>
      <w:isLgl w:val="false"/>
      <w:suff w:val="tab"/>
      <w:lvlText w:val="%3)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28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19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"/>
      <w:lvlJc w:val="left"/>
      <w:pPr>
        <w:ind w:left="3912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463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535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607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79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51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823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952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Letter"/>
      <w:isLgl w:val="false"/>
      <w:suff w:val="tab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Letter"/>
      <w:isLgl w:val="false"/>
      <w:suff w:val="tab"/>
      <w:lvlText w:val="%3)"/>
      <w:lvlJc w:val="lef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55" w:hanging="180"/>
      </w:pPr>
    </w:lvl>
  </w:abstractNum>
  <w:abstractNum w:abstractNumId="1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2520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Letter"/>
      <w:isLgl w:val="false"/>
      <w:suff w:val="tab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8"/>
  </w:num>
  <w:num w:numId="5">
    <w:abstractNumId w:val="15"/>
  </w:num>
  <w:num w:numId="6">
    <w:abstractNumId w:val="1"/>
  </w:num>
  <w:num w:numId="7">
    <w:abstractNumId w:val="2"/>
  </w:num>
  <w:num w:numId="8">
    <w:abstractNumId w:val="20"/>
  </w:num>
  <w:num w:numId="9">
    <w:abstractNumId w:val="22"/>
  </w:num>
  <w:num w:numId="10">
    <w:abstractNumId w:val="6"/>
  </w:num>
  <w:num w:numId="11">
    <w:abstractNumId w:val="3"/>
  </w:num>
  <w:num w:numId="12">
    <w:abstractNumId w:val="18"/>
  </w:num>
  <w:num w:numId="13">
    <w:abstractNumId w:val="11"/>
  </w:num>
  <w:num w:numId="14">
    <w:abstractNumId w:val="21"/>
  </w:num>
  <w:num w:numId="15">
    <w:abstractNumId w:val="16"/>
  </w:num>
  <w:num w:numId="16">
    <w:abstractNumId w:val="5"/>
  </w:num>
  <w:num w:numId="17">
    <w:abstractNumId w:val="12"/>
  </w:num>
  <w:num w:numId="18">
    <w:abstractNumId w:val="4"/>
  </w:num>
  <w:num w:numId="19">
    <w:abstractNumId w:val="0"/>
  </w:num>
  <w:num w:numId="20">
    <w:abstractNumId w:val="14"/>
  </w:num>
  <w:num w:numId="21">
    <w:abstractNumId w:val="23"/>
  </w:num>
  <w:num w:numId="22">
    <w:abstractNumId w:val="19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false"/>
    <m:lMargin m:val="0"/>
    <m:rMargin m:val="0"/>
    <m:defJc m:val="centerGroup"/>
    <m:wrapRight m:val="true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de-DE" w:eastAsia="de-DE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04"/>
    <w:link w:val="79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04"/>
    <w:link w:val="79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04"/>
    <w:link w:val="79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04"/>
    <w:link w:val="798"/>
    <w:uiPriority w:val="9"/>
    <w:rPr>
      <w:rFonts w:ascii="Arial" w:hAnsi="Arial" w:eastAsia="Arial" w:cs="Arial"/>
      <w:b/>
      <w:bCs/>
      <w:sz w:val="26"/>
      <w:szCs w:val="26"/>
    </w:rPr>
  </w:style>
  <w:style w:type="character" w:styleId="26">
    <w:name w:val="Heading 7 Char"/>
    <w:basedOn w:val="804"/>
    <w:link w:val="8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04"/>
    <w:link w:val="80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04"/>
    <w:link w:val="803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04"/>
    <w:link w:val="817"/>
    <w:uiPriority w:val="10"/>
    <w:rPr>
      <w:sz w:val="48"/>
      <w:szCs w:val="48"/>
    </w:rPr>
  </w:style>
  <w:style w:type="character" w:styleId="37">
    <w:name w:val="Subtitle Char"/>
    <w:basedOn w:val="804"/>
    <w:link w:val="819"/>
    <w:uiPriority w:val="11"/>
    <w:rPr>
      <w:sz w:val="24"/>
      <w:szCs w:val="24"/>
    </w:rPr>
  </w:style>
  <w:style w:type="character" w:styleId="39">
    <w:name w:val="Quote Char"/>
    <w:link w:val="821"/>
    <w:uiPriority w:val="29"/>
    <w:rPr>
      <w:i/>
    </w:rPr>
  </w:style>
  <w:style w:type="character" w:styleId="41">
    <w:name w:val="Intense Quote Char"/>
    <w:link w:val="823"/>
    <w:uiPriority w:val="30"/>
    <w:rPr>
      <w:i/>
    </w:rPr>
  </w:style>
  <w:style w:type="character" w:styleId="179">
    <w:name w:val="Endnote Text Char"/>
    <w:link w:val="957"/>
    <w:uiPriority w:val="99"/>
    <w:rPr>
      <w:sz w:val="20"/>
    </w:rPr>
  </w:style>
  <w:style w:type="paragraph" w:styleId="794" w:default="1">
    <w:name w:val="Normal"/>
    <w:qFormat/>
    <w:pPr>
      <w:ind w:right="851"/>
      <w:spacing w:line="280" w:lineRule="exact"/>
    </w:pPr>
    <w:rPr>
      <w:rFonts w:ascii="RUB Scala MZ" w:hAnsi="RUB Scala MZ"/>
      <w:sz w:val="22"/>
      <w:szCs w:val="24"/>
    </w:rPr>
  </w:style>
  <w:style w:type="paragraph" w:styleId="795">
    <w:name w:val="Heading 1"/>
    <w:basedOn w:val="794"/>
    <w:link w:val="807"/>
    <w:pPr>
      <w:outlineLvl w:val="0"/>
    </w:pPr>
    <w:rPr>
      <w:b/>
    </w:rPr>
  </w:style>
  <w:style w:type="paragraph" w:styleId="796">
    <w:name w:val="Heading 2"/>
    <w:basedOn w:val="795"/>
    <w:link w:val="808"/>
    <w:pPr>
      <w:outlineLvl w:val="1"/>
    </w:pPr>
  </w:style>
  <w:style w:type="paragraph" w:styleId="797">
    <w:name w:val="Heading 3"/>
    <w:basedOn w:val="796"/>
    <w:link w:val="809"/>
    <w:pPr>
      <w:outlineLvl w:val="2"/>
    </w:pPr>
  </w:style>
  <w:style w:type="paragraph" w:styleId="798">
    <w:name w:val="Heading 4"/>
    <w:basedOn w:val="797"/>
    <w:link w:val="810"/>
    <w:pPr>
      <w:outlineLvl w:val="3"/>
    </w:pPr>
  </w:style>
  <w:style w:type="paragraph" w:styleId="799">
    <w:name w:val="Heading 5"/>
    <w:basedOn w:val="795"/>
    <w:link w:val="981"/>
    <w:semiHidden/>
    <w:unhideWhenUsed/>
    <w:pPr>
      <w:spacing w:before="240" w:after="60"/>
      <w:outlineLvl w:val="4"/>
    </w:pPr>
    <w:rPr>
      <w:bCs/>
      <w:iCs/>
      <w:szCs w:val="26"/>
    </w:rPr>
  </w:style>
  <w:style w:type="paragraph" w:styleId="800">
    <w:name w:val="Heading 6"/>
    <w:basedOn w:val="794"/>
    <w:next w:val="794"/>
    <w:link w:val="971"/>
    <w:semiHidden/>
    <w:unhideWhenUsed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801">
    <w:name w:val="Heading 7"/>
    <w:basedOn w:val="794"/>
    <w:next w:val="794"/>
    <w:link w:val="8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802">
    <w:name w:val="Heading 8"/>
    <w:basedOn w:val="794"/>
    <w:next w:val="794"/>
    <w:link w:val="8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803">
    <w:name w:val="Heading 9"/>
    <w:basedOn w:val="794"/>
    <w:next w:val="794"/>
    <w:link w:val="8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4" w:default="1">
    <w:name w:val="Default Paragraph Font"/>
    <w:uiPriority w:val="1"/>
    <w:semiHidden/>
    <w:unhideWhenUsed/>
  </w:style>
  <w:style w:type="table" w:styleId="8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6" w:default="1">
    <w:name w:val="No List"/>
    <w:uiPriority w:val="99"/>
    <w:semiHidden/>
    <w:unhideWhenUsed/>
  </w:style>
  <w:style w:type="character" w:styleId="807" w:customStyle="1">
    <w:name w:val="Überschrift 1 Zchn"/>
    <w:basedOn w:val="804"/>
    <w:link w:val="795"/>
    <w:uiPriority w:val="9"/>
    <w:rPr>
      <w:rFonts w:ascii="Arial" w:hAnsi="Arial" w:eastAsia="Arial" w:cs="Arial"/>
      <w:sz w:val="40"/>
      <w:szCs w:val="40"/>
    </w:rPr>
  </w:style>
  <w:style w:type="character" w:styleId="808" w:customStyle="1">
    <w:name w:val="Überschrift 2 Zchn"/>
    <w:basedOn w:val="804"/>
    <w:link w:val="796"/>
    <w:uiPriority w:val="9"/>
    <w:rPr>
      <w:rFonts w:ascii="Arial" w:hAnsi="Arial" w:eastAsia="Arial" w:cs="Arial"/>
      <w:sz w:val="34"/>
    </w:rPr>
  </w:style>
  <w:style w:type="character" w:styleId="809" w:customStyle="1">
    <w:name w:val="Überschrift 3 Zchn"/>
    <w:basedOn w:val="804"/>
    <w:link w:val="797"/>
    <w:uiPriority w:val="9"/>
    <w:rPr>
      <w:rFonts w:ascii="Arial" w:hAnsi="Arial" w:eastAsia="Arial" w:cs="Arial"/>
      <w:sz w:val="30"/>
      <w:szCs w:val="30"/>
    </w:rPr>
  </w:style>
  <w:style w:type="character" w:styleId="810" w:customStyle="1">
    <w:name w:val="Überschrift 4 Zchn"/>
    <w:basedOn w:val="804"/>
    <w:link w:val="798"/>
    <w:uiPriority w:val="9"/>
    <w:rPr>
      <w:rFonts w:ascii="Arial" w:hAnsi="Arial" w:eastAsia="Arial" w:cs="Arial"/>
      <w:b/>
      <w:bCs/>
      <w:sz w:val="26"/>
      <w:szCs w:val="26"/>
    </w:rPr>
  </w:style>
  <w:style w:type="character" w:styleId="811" w:customStyle="1">
    <w:name w:val="Heading 5 Char"/>
    <w:basedOn w:val="804"/>
    <w:uiPriority w:val="9"/>
    <w:rPr>
      <w:rFonts w:ascii="Arial" w:hAnsi="Arial" w:eastAsia="Arial" w:cs="Arial"/>
      <w:b/>
      <w:bCs/>
      <w:sz w:val="24"/>
      <w:szCs w:val="24"/>
    </w:rPr>
  </w:style>
  <w:style w:type="character" w:styleId="812" w:customStyle="1">
    <w:name w:val="Heading 6 Char"/>
    <w:basedOn w:val="804"/>
    <w:uiPriority w:val="9"/>
    <w:rPr>
      <w:rFonts w:ascii="Arial" w:hAnsi="Arial" w:eastAsia="Arial" w:cs="Arial"/>
      <w:b/>
      <w:bCs/>
      <w:sz w:val="22"/>
      <w:szCs w:val="22"/>
    </w:rPr>
  </w:style>
  <w:style w:type="character" w:styleId="813" w:customStyle="1">
    <w:name w:val="Überschrift 7 Zchn"/>
    <w:basedOn w:val="804"/>
    <w:link w:val="8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4" w:customStyle="1">
    <w:name w:val="Überschrift 8 Zchn"/>
    <w:basedOn w:val="804"/>
    <w:link w:val="802"/>
    <w:uiPriority w:val="9"/>
    <w:rPr>
      <w:rFonts w:ascii="Arial" w:hAnsi="Arial" w:eastAsia="Arial" w:cs="Arial"/>
      <w:i/>
      <w:iCs/>
      <w:sz w:val="22"/>
      <w:szCs w:val="22"/>
    </w:rPr>
  </w:style>
  <w:style w:type="character" w:styleId="815" w:customStyle="1">
    <w:name w:val="Überschrift 9 Zchn"/>
    <w:basedOn w:val="804"/>
    <w:link w:val="803"/>
    <w:uiPriority w:val="9"/>
    <w:rPr>
      <w:rFonts w:ascii="Arial" w:hAnsi="Arial" w:eastAsia="Arial" w:cs="Arial"/>
      <w:i/>
      <w:iCs/>
      <w:sz w:val="21"/>
      <w:szCs w:val="21"/>
    </w:rPr>
  </w:style>
  <w:style w:type="paragraph" w:styleId="816">
    <w:name w:val="No Spacing"/>
    <w:uiPriority w:val="1"/>
    <w:qFormat/>
  </w:style>
  <w:style w:type="paragraph" w:styleId="817">
    <w:name w:val="Title"/>
    <w:basedOn w:val="794"/>
    <w:next w:val="794"/>
    <w:link w:val="8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8" w:customStyle="1">
    <w:name w:val="Titel Zchn"/>
    <w:basedOn w:val="804"/>
    <w:link w:val="817"/>
    <w:uiPriority w:val="10"/>
    <w:rPr>
      <w:sz w:val="48"/>
      <w:szCs w:val="48"/>
    </w:rPr>
  </w:style>
  <w:style w:type="paragraph" w:styleId="819">
    <w:name w:val="Subtitle"/>
    <w:basedOn w:val="794"/>
    <w:next w:val="794"/>
    <w:link w:val="820"/>
    <w:uiPriority w:val="11"/>
    <w:qFormat/>
    <w:pPr>
      <w:spacing w:before="200" w:after="200"/>
    </w:pPr>
    <w:rPr>
      <w:sz w:val="24"/>
    </w:rPr>
  </w:style>
  <w:style w:type="character" w:styleId="820" w:customStyle="1">
    <w:name w:val="Untertitel Zchn"/>
    <w:basedOn w:val="804"/>
    <w:link w:val="819"/>
    <w:uiPriority w:val="11"/>
    <w:rPr>
      <w:sz w:val="24"/>
      <w:szCs w:val="24"/>
    </w:rPr>
  </w:style>
  <w:style w:type="paragraph" w:styleId="821">
    <w:name w:val="Quote"/>
    <w:basedOn w:val="794"/>
    <w:next w:val="794"/>
    <w:link w:val="822"/>
    <w:uiPriority w:val="29"/>
    <w:qFormat/>
    <w:pPr>
      <w:ind w:left="720" w:right="720"/>
    </w:pPr>
    <w:rPr>
      <w:i/>
    </w:rPr>
  </w:style>
  <w:style w:type="character" w:styleId="822" w:customStyle="1">
    <w:name w:val="Zitat Zchn"/>
    <w:link w:val="821"/>
    <w:uiPriority w:val="29"/>
    <w:rPr>
      <w:i/>
    </w:rPr>
  </w:style>
  <w:style w:type="paragraph" w:styleId="823">
    <w:name w:val="Intense Quote"/>
    <w:basedOn w:val="794"/>
    <w:next w:val="794"/>
    <w:link w:val="8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4" w:customStyle="1">
    <w:name w:val="Intensives Zitat Zchn"/>
    <w:link w:val="823"/>
    <w:uiPriority w:val="30"/>
    <w:rPr>
      <w:i/>
    </w:rPr>
  </w:style>
  <w:style w:type="character" w:styleId="825" w:customStyle="1">
    <w:name w:val="Header Char"/>
    <w:basedOn w:val="804"/>
    <w:uiPriority w:val="99"/>
  </w:style>
  <w:style w:type="character" w:styleId="826" w:customStyle="1">
    <w:name w:val="Footer Char"/>
    <w:basedOn w:val="804"/>
    <w:uiPriority w:val="99"/>
  </w:style>
  <w:style w:type="paragraph" w:styleId="827">
    <w:name w:val="Caption"/>
    <w:basedOn w:val="794"/>
    <w:next w:val="7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8" w:customStyle="1">
    <w:name w:val="Caption Char"/>
    <w:uiPriority w:val="99"/>
  </w:style>
  <w:style w:type="table" w:styleId="829">
    <w:name w:val="Table Grid"/>
    <w:basedOn w:val="80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0" w:customStyle="1">
    <w:name w:val="Table Grid Light"/>
    <w:basedOn w:val="8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1">
    <w:name w:val="Plain Table 1"/>
    <w:basedOn w:val="8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>
    <w:name w:val="Plain Table 2"/>
    <w:basedOn w:val="80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>
    <w:name w:val="Plain Table 3"/>
    <w:basedOn w:val="8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>
    <w:name w:val="Plain Table 4"/>
    <w:basedOn w:val="8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Plain Table 5"/>
    <w:basedOn w:val="8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>
    <w:name w:val="Grid Table 1 Light"/>
    <w:basedOn w:val="80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1"/>
    <w:basedOn w:val="8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2"/>
    <w:basedOn w:val="8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3"/>
    <w:basedOn w:val="8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4"/>
    <w:basedOn w:val="8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5"/>
    <w:basedOn w:val="8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6"/>
    <w:basedOn w:val="8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2"/>
    <w:basedOn w:val="8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1"/>
    <w:basedOn w:val="8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2"/>
    <w:basedOn w:val="8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3"/>
    <w:basedOn w:val="8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4"/>
    <w:basedOn w:val="8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5"/>
    <w:basedOn w:val="8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6"/>
    <w:basedOn w:val="8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"/>
    <w:basedOn w:val="8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1"/>
    <w:basedOn w:val="8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2"/>
    <w:basedOn w:val="8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3"/>
    <w:basedOn w:val="8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4"/>
    <w:basedOn w:val="8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5"/>
    <w:basedOn w:val="8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6"/>
    <w:basedOn w:val="8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4"/>
    <w:basedOn w:val="80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 w:customStyle="1">
    <w:name w:val="Grid Table 4 - Accent 1"/>
    <w:basedOn w:val="80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9" w:customStyle="1">
    <w:name w:val="Grid Table 4 - Accent 2"/>
    <w:basedOn w:val="80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Grid Table 4 - Accent 3"/>
    <w:basedOn w:val="80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1" w:customStyle="1">
    <w:name w:val="Grid Table 4 - Accent 4"/>
    <w:basedOn w:val="80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Grid Table 4 - Accent 5"/>
    <w:basedOn w:val="80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3" w:customStyle="1">
    <w:name w:val="Grid Table 4 - Accent 6"/>
    <w:basedOn w:val="80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4">
    <w:name w:val="Grid Table 5 Dark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1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2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3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4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5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6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1">
    <w:name w:val="Grid Table 6 Colorful"/>
    <w:basedOn w:val="80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2" w:customStyle="1">
    <w:name w:val="Grid Table 6 Colorful - Accent 1"/>
    <w:basedOn w:val="80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3" w:customStyle="1">
    <w:name w:val="Grid Table 6 Colorful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4" w:customStyle="1">
    <w:name w:val="Grid Table 6 Colorful - Accent 3"/>
    <w:basedOn w:val="80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5" w:customStyle="1">
    <w:name w:val="Grid Table 6 Colorful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6" w:customStyle="1">
    <w:name w:val="Grid Table 6 Colorful - Accent 5"/>
    <w:basedOn w:val="80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7" w:customStyle="1">
    <w:name w:val="Grid Table 6 Colorful - Accent 6"/>
    <w:basedOn w:val="80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8">
    <w:name w:val="Grid Table 7 Colorful"/>
    <w:basedOn w:val="80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1"/>
    <w:basedOn w:val="80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2"/>
    <w:basedOn w:val="80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Grid Table 7 Colorful - Accent 3"/>
    <w:basedOn w:val="80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Grid Table 7 Colorful - Accent 4"/>
    <w:basedOn w:val="80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Grid Table 7 Colorful - Accent 5"/>
    <w:basedOn w:val="80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Grid Table 7 Colorful - Accent 6"/>
    <w:basedOn w:val="80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>
    <w:name w:val="List Table 1 Light"/>
    <w:basedOn w:val="80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1"/>
    <w:basedOn w:val="80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2"/>
    <w:basedOn w:val="80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3"/>
    <w:basedOn w:val="80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4"/>
    <w:basedOn w:val="80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5"/>
    <w:basedOn w:val="80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6"/>
    <w:basedOn w:val="80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2"/>
    <w:basedOn w:val="80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1"/>
    <w:basedOn w:val="80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2"/>
    <w:basedOn w:val="80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3"/>
    <w:basedOn w:val="80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4"/>
    <w:basedOn w:val="80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5"/>
    <w:basedOn w:val="80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6"/>
    <w:basedOn w:val="80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9">
    <w:name w:val="List Table 3"/>
    <w:basedOn w:val="8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1"/>
    <w:basedOn w:val="80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3"/>
    <w:basedOn w:val="80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5"/>
    <w:basedOn w:val="80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6"/>
    <w:basedOn w:val="80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"/>
    <w:basedOn w:val="8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1"/>
    <w:basedOn w:val="80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2"/>
    <w:basedOn w:val="80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3"/>
    <w:basedOn w:val="80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4"/>
    <w:basedOn w:val="80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5"/>
    <w:basedOn w:val="80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6"/>
    <w:basedOn w:val="80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5 Dark"/>
    <w:basedOn w:val="80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1"/>
    <w:basedOn w:val="80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3"/>
    <w:basedOn w:val="80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5"/>
    <w:basedOn w:val="80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6"/>
    <w:basedOn w:val="80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>
    <w:name w:val="List Table 6 Colorful"/>
    <w:basedOn w:val="80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1" w:customStyle="1">
    <w:name w:val="List Table 6 Colorful - Accent 1"/>
    <w:basedOn w:val="80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2" w:customStyle="1">
    <w:name w:val="List Table 6 Colorful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3" w:customStyle="1">
    <w:name w:val="List Table 6 Colorful - Accent 3"/>
    <w:basedOn w:val="80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4" w:customStyle="1">
    <w:name w:val="List Table 6 Colorful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5" w:customStyle="1">
    <w:name w:val="List Table 6 Colorful - Accent 5"/>
    <w:basedOn w:val="80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6" w:customStyle="1">
    <w:name w:val="List Table 6 Colorful - Accent 6"/>
    <w:basedOn w:val="80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7">
    <w:name w:val="List Table 7 Colorful"/>
    <w:basedOn w:val="80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1"/>
    <w:basedOn w:val="80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2"/>
    <w:basedOn w:val="80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st Table 7 Colorful - Accent 3"/>
    <w:basedOn w:val="80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1" w:customStyle="1">
    <w:name w:val="List Table 7 Colorful - Accent 4"/>
    <w:basedOn w:val="80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2" w:customStyle="1">
    <w:name w:val="List Table 7 Colorful - Accent 5"/>
    <w:basedOn w:val="80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3" w:customStyle="1">
    <w:name w:val="List Table 7 Colorful - Accent 6"/>
    <w:basedOn w:val="80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4" w:customStyle="1">
    <w:name w:val="Lined - Accent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5" w:customStyle="1">
    <w:name w:val="Lined - Accent 1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6" w:customStyle="1">
    <w:name w:val="Lined - Accent 2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7" w:customStyle="1">
    <w:name w:val="Lined - Accent 3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8" w:customStyle="1">
    <w:name w:val="Lined - Accent 4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9" w:customStyle="1">
    <w:name w:val="Lined - Accent 5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0" w:customStyle="1">
    <w:name w:val="Lined - Accent 6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1" w:customStyle="1">
    <w:name w:val="Bordered &amp; Lined - Accent"/>
    <w:basedOn w:val="80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2" w:customStyle="1">
    <w:name w:val="Bordered &amp; Lined - Accent 1"/>
    <w:basedOn w:val="80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3" w:customStyle="1">
    <w:name w:val="Bordered &amp; Lined - Accent 2"/>
    <w:basedOn w:val="80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4" w:customStyle="1">
    <w:name w:val="Bordered &amp; Lined - Accent 3"/>
    <w:basedOn w:val="80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5" w:customStyle="1">
    <w:name w:val="Bordered &amp; Lined - Accent 4"/>
    <w:basedOn w:val="80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6" w:customStyle="1">
    <w:name w:val="Bordered &amp; Lined - Accent 5"/>
    <w:basedOn w:val="80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7" w:customStyle="1">
    <w:name w:val="Bordered &amp; Lined - Accent 6"/>
    <w:basedOn w:val="80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8" w:customStyle="1">
    <w:name w:val="Bordered"/>
    <w:basedOn w:val="80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9" w:customStyle="1">
    <w:name w:val="Bordered - Accent 1"/>
    <w:basedOn w:val="8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0" w:customStyle="1">
    <w:name w:val="Bordered - Accent 2"/>
    <w:basedOn w:val="8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1" w:customStyle="1">
    <w:name w:val="Bordered - Accent 3"/>
    <w:basedOn w:val="8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2" w:customStyle="1">
    <w:name w:val="Bordered - Accent 4"/>
    <w:basedOn w:val="8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3" w:customStyle="1">
    <w:name w:val="Bordered - Accent 5"/>
    <w:basedOn w:val="8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4" w:customStyle="1">
    <w:name w:val="Bordered - Accent 6"/>
    <w:basedOn w:val="8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5">
    <w:name w:val="Hyperlink"/>
    <w:uiPriority w:val="99"/>
    <w:unhideWhenUsed/>
    <w:rPr>
      <w:color w:val="0000ff" w:themeColor="hyperlink"/>
      <w:u w:val="single"/>
    </w:rPr>
  </w:style>
  <w:style w:type="character" w:styleId="956" w:customStyle="1">
    <w:name w:val="Footnote Text Char"/>
    <w:uiPriority w:val="99"/>
    <w:rPr>
      <w:sz w:val="18"/>
    </w:rPr>
  </w:style>
  <w:style w:type="paragraph" w:styleId="957">
    <w:name w:val="endnote text"/>
    <w:basedOn w:val="794"/>
    <w:link w:val="958"/>
    <w:uiPriority w:val="99"/>
    <w:semiHidden/>
    <w:unhideWhenUsed/>
    <w:pPr>
      <w:spacing w:line="240" w:lineRule="auto"/>
    </w:pPr>
    <w:rPr>
      <w:sz w:val="20"/>
    </w:rPr>
  </w:style>
  <w:style w:type="character" w:styleId="958" w:customStyle="1">
    <w:name w:val="Endnotentext Zchn"/>
    <w:link w:val="957"/>
    <w:uiPriority w:val="99"/>
    <w:rPr>
      <w:sz w:val="20"/>
    </w:rPr>
  </w:style>
  <w:style w:type="character" w:styleId="959">
    <w:name w:val="endnote reference"/>
    <w:basedOn w:val="804"/>
    <w:uiPriority w:val="99"/>
    <w:semiHidden/>
    <w:unhideWhenUsed/>
    <w:rPr>
      <w:vertAlign w:val="superscript"/>
    </w:rPr>
  </w:style>
  <w:style w:type="paragraph" w:styleId="960">
    <w:name w:val="toc 1"/>
    <w:basedOn w:val="794"/>
    <w:next w:val="794"/>
    <w:uiPriority w:val="39"/>
    <w:unhideWhenUsed/>
    <w:pPr>
      <w:ind w:right="0"/>
      <w:spacing w:after="57"/>
    </w:pPr>
  </w:style>
  <w:style w:type="paragraph" w:styleId="961">
    <w:name w:val="toc 2"/>
    <w:basedOn w:val="794"/>
    <w:next w:val="794"/>
    <w:uiPriority w:val="39"/>
    <w:unhideWhenUsed/>
    <w:pPr>
      <w:ind w:left="283" w:right="0"/>
      <w:spacing w:after="57"/>
    </w:pPr>
  </w:style>
  <w:style w:type="paragraph" w:styleId="962">
    <w:name w:val="toc 3"/>
    <w:basedOn w:val="794"/>
    <w:next w:val="794"/>
    <w:uiPriority w:val="39"/>
    <w:unhideWhenUsed/>
    <w:pPr>
      <w:ind w:left="567" w:right="0"/>
      <w:spacing w:after="57"/>
    </w:pPr>
  </w:style>
  <w:style w:type="paragraph" w:styleId="963">
    <w:name w:val="toc 4"/>
    <w:basedOn w:val="794"/>
    <w:next w:val="794"/>
    <w:uiPriority w:val="39"/>
    <w:unhideWhenUsed/>
    <w:pPr>
      <w:ind w:left="850" w:right="0"/>
      <w:spacing w:after="57"/>
    </w:pPr>
  </w:style>
  <w:style w:type="paragraph" w:styleId="964">
    <w:name w:val="toc 5"/>
    <w:basedOn w:val="794"/>
    <w:next w:val="794"/>
    <w:uiPriority w:val="39"/>
    <w:unhideWhenUsed/>
    <w:pPr>
      <w:ind w:left="1134" w:right="0"/>
      <w:spacing w:after="57"/>
    </w:pPr>
  </w:style>
  <w:style w:type="paragraph" w:styleId="965">
    <w:name w:val="toc 6"/>
    <w:basedOn w:val="794"/>
    <w:next w:val="794"/>
    <w:uiPriority w:val="39"/>
    <w:unhideWhenUsed/>
    <w:pPr>
      <w:ind w:left="1417" w:right="0"/>
      <w:spacing w:after="57"/>
    </w:pPr>
  </w:style>
  <w:style w:type="paragraph" w:styleId="966">
    <w:name w:val="toc 7"/>
    <w:basedOn w:val="794"/>
    <w:next w:val="794"/>
    <w:uiPriority w:val="39"/>
    <w:unhideWhenUsed/>
    <w:pPr>
      <w:ind w:left="1701" w:right="0"/>
      <w:spacing w:after="57"/>
    </w:pPr>
  </w:style>
  <w:style w:type="paragraph" w:styleId="967">
    <w:name w:val="toc 8"/>
    <w:basedOn w:val="794"/>
    <w:next w:val="794"/>
    <w:uiPriority w:val="39"/>
    <w:unhideWhenUsed/>
    <w:pPr>
      <w:ind w:left="1984" w:right="0"/>
      <w:spacing w:after="57"/>
    </w:pPr>
  </w:style>
  <w:style w:type="paragraph" w:styleId="968">
    <w:name w:val="toc 9"/>
    <w:basedOn w:val="794"/>
    <w:next w:val="794"/>
    <w:uiPriority w:val="39"/>
    <w:unhideWhenUsed/>
    <w:pPr>
      <w:ind w:left="2268" w:right="0"/>
      <w:spacing w:after="57"/>
    </w:pPr>
  </w:style>
  <w:style w:type="paragraph" w:styleId="969">
    <w:name w:val="TOC Heading"/>
    <w:uiPriority w:val="39"/>
    <w:unhideWhenUsed/>
  </w:style>
  <w:style w:type="paragraph" w:styleId="970">
    <w:name w:val="table of figures"/>
    <w:basedOn w:val="794"/>
    <w:next w:val="794"/>
    <w:uiPriority w:val="99"/>
    <w:unhideWhenUsed/>
  </w:style>
  <w:style w:type="character" w:styleId="971" w:customStyle="1">
    <w:name w:val="Überschrift 6 Zchn"/>
    <w:basedOn w:val="804"/>
    <w:link w:val="800"/>
    <w:semiHidden/>
    <w:rPr>
      <w:rFonts w:ascii="Calibri" w:hAnsi="Calibri" w:eastAsia="Times New Roman" w:cs="Times New Roman"/>
      <w:b/>
      <w:bCs/>
      <w:sz w:val="22"/>
      <w:szCs w:val="22"/>
    </w:rPr>
  </w:style>
  <w:style w:type="paragraph" w:styleId="972">
    <w:name w:val="Balloon Text"/>
    <w:basedOn w:val="794"/>
    <w:semiHidden/>
    <w:rPr>
      <w:rFonts w:ascii="Tahoma" w:hAnsi="Tahoma" w:cs="Tahoma"/>
      <w:sz w:val="16"/>
      <w:szCs w:val="16"/>
    </w:rPr>
  </w:style>
  <w:style w:type="paragraph" w:styleId="973" w:customStyle="1">
    <w:name w:val="Fax Empfaenger"/>
    <w:qFormat/>
    <w:pPr>
      <w:spacing w:line="280" w:lineRule="exact"/>
    </w:pPr>
    <w:rPr>
      <w:rFonts w:ascii="RUB Scala MZ" w:hAnsi="RUB Scala MZ" w:cs="scala-regular"/>
      <w:color w:val="000000"/>
      <w:sz w:val="22"/>
      <w:szCs w:val="22"/>
    </w:rPr>
  </w:style>
  <w:style w:type="paragraph" w:styleId="974" w:customStyle="1">
    <w:name w:val="Betreff"/>
    <w:basedOn w:val="794"/>
    <w:qFormat/>
    <w:pPr>
      <w:spacing w:after="20" w:line="280" w:lineRule="atLeast"/>
    </w:pPr>
    <w:rPr>
      <w:rFonts w:cs="scala-regular"/>
      <w:b/>
      <w:color w:val="000000"/>
      <w:szCs w:val="22"/>
    </w:rPr>
  </w:style>
  <w:style w:type="paragraph" w:styleId="975" w:customStyle="1">
    <w:name w:val="Adresse Absender normal"/>
    <w:qFormat/>
    <w:pPr>
      <w:spacing w:line="240" w:lineRule="exact"/>
    </w:pPr>
    <w:rPr>
      <w:rFonts w:ascii="RubFlama" w:hAnsi="RubFlama"/>
      <w:color w:val="000000"/>
      <w:sz w:val="16"/>
      <w:szCs w:val="24"/>
    </w:rPr>
  </w:style>
  <w:style w:type="paragraph" w:styleId="976" w:customStyle="1">
    <w:name w:val="Adresse Absender und Datum fett"/>
    <w:basedOn w:val="975"/>
    <w:qFormat/>
    <w:rPr>
      <w:b/>
    </w:rPr>
  </w:style>
  <w:style w:type="paragraph" w:styleId="977" w:customStyle="1">
    <w:name w:val="Fakultaet"/>
    <w:qFormat/>
    <w:pPr>
      <w:spacing w:line="260" w:lineRule="exact"/>
    </w:pPr>
    <w:rPr>
      <w:rFonts w:ascii="RubFlama" w:hAnsi="RubFlama"/>
      <w:b/>
      <w:color w:val="000000"/>
      <w:sz w:val="18"/>
      <w:szCs w:val="24"/>
    </w:rPr>
  </w:style>
  <w:style w:type="paragraph" w:styleId="978">
    <w:name w:val="Footer"/>
    <w:link w:val="979"/>
    <w:qFormat/>
    <w:pPr>
      <w:spacing w:line="240" w:lineRule="exact"/>
      <w:tabs>
        <w:tab w:val="center" w:pos="4153" w:leader="none"/>
        <w:tab w:val="right" w:pos="8306" w:leader="none"/>
      </w:tabs>
    </w:pPr>
    <w:rPr>
      <w:rFonts w:ascii="RubFlama" w:hAnsi="RubFlama"/>
      <w:sz w:val="16"/>
      <w:szCs w:val="24"/>
    </w:rPr>
  </w:style>
  <w:style w:type="character" w:styleId="979" w:customStyle="1">
    <w:name w:val="Fußzeile Zchn"/>
    <w:basedOn w:val="804"/>
    <w:link w:val="978"/>
    <w:rPr>
      <w:rFonts w:ascii="RubFlama" w:hAnsi="RubFlama"/>
      <w:sz w:val="16"/>
      <w:szCs w:val="24"/>
      <w:lang w:val="de-DE" w:eastAsia="de-DE" w:bidi="ar-SA"/>
    </w:rPr>
  </w:style>
  <w:style w:type="paragraph" w:styleId="980" w:customStyle="1">
    <w:name w:val="Logo-Info"/>
    <w:qFormat/>
    <w:pPr>
      <w:framePr w:hSpace="142" w:wrap="around" w:hAnchor="text" w:y="1"/>
    </w:pPr>
    <w:rPr>
      <w:rFonts w:ascii="RubFlama" w:hAnsi="RubFlama" w:eastAsia="Times"/>
      <w:b/>
      <w:sz w:val="18"/>
      <w:szCs w:val="24"/>
    </w:rPr>
  </w:style>
  <w:style w:type="character" w:styleId="981" w:customStyle="1">
    <w:name w:val="Überschrift 5 Zchn"/>
    <w:basedOn w:val="804"/>
    <w:link w:val="799"/>
    <w:semiHidden/>
    <w:rPr>
      <w:rFonts w:eastAsia="Times New Roman" w:cs="Times New Roman"/>
      <w:b/>
      <w:bCs/>
      <w:iCs/>
      <w:sz w:val="22"/>
      <w:szCs w:val="26"/>
    </w:rPr>
  </w:style>
  <w:style w:type="table" w:styleId="982" w:customStyle="1">
    <w:name w:val="Tabellengitternetz"/>
    <w:basedOn w:val="80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3" w:customStyle="1">
    <w:name w:val="AN FAX FON"/>
    <w:basedOn w:val="976"/>
    <w:qFormat/>
    <w:pPr>
      <w:spacing w:line="280" w:lineRule="exact"/>
      <w:framePr w:wrap="around" w:vAnchor="text" w:hAnchor="text" w:y="1"/>
    </w:pPr>
    <w:rPr>
      <w:sz w:val="20"/>
    </w:rPr>
  </w:style>
  <w:style w:type="paragraph" w:styleId="984">
    <w:name w:val="Header"/>
    <w:basedOn w:val="794"/>
    <w:link w:val="985"/>
    <w:pPr>
      <w:spacing w:line="240" w:lineRule="auto"/>
      <w:tabs>
        <w:tab w:val="center" w:pos="4536" w:leader="none"/>
        <w:tab w:val="right" w:pos="9072" w:leader="none"/>
      </w:tabs>
    </w:pPr>
  </w:style>
  <w:style w:type="character" w:styleId="985" w:customStyle="1">
    <w:name w:val="Kopfzeile Zchn"/>
    <w:basedOn w:val="804"/>
    <w:link w:val="984"/>
    <w:rPr>
      <w:sz w:val="22"/>
    </w:rPr>
  </w:style>
  <w:style w:type="paragraph" w:styleId="986" w:customStyle="1">
    <w:name w:val="webadresse"/>
    <w:qFormat/>
    <w:pPr>
      <w:jc w:val="right"/>
      <w:spacing w:after="60"/>
      <w:framePr w:vSpace="284" w:wrap="around" w:vAnchor="page" w:hAnchor="page" w:x="1419" w:y="15877"/>
    </w:pPr>
    <w:rPr>
      <w:rFonts w:ascii="RubFlama" w:hAnsi="RubFlama"/>
      <w:b/>
      <w:caps/>
      <w:sz w:val="22"/>
      <w:szCs w:val="24"/>
    </w:rPr>
  </w:style>
  <w:style w:type="paragraph" w:styleId="987">
    <w:name w:val="List Paragraph"/>
    <w:basedOn w:val="794"/>
    <w:pPr>
      <w:contextualSpacing/>
      <w:ind w:left="720"/>
    </w:pPr>
  </w:style>
  <w:style w:type="paragraph" w:styleId="988">
    <w:name w:val="footnote text"/>
    <w:basedOn w:val="794"/>
    <w:link w:val="989"/>
    <w:pPr>
      <w:spacing w:line="240" w:lineRule="auto"/>
    </w:pPr>
    <w:rPr>
      <w:sz w:val="20"/>
      <w:szCs w:val="20"/>
    </w:rPr>
  </w:style>
  <w:style w:type="character" w:styleId="989" w:customStyle="1">
    <w:name w:val="Fußnotentext Zchn"/>
    <w:basedOn w:val="804"/>
    <w:link w:val="988"/>
    <w:rPr>
      <w:rFonts w:ascii="RUB Scala MZ" w:hAnsi="RUB Scala MZ"/>
    </w:rPr>
  </w:style>
  <w:style w:type="character" w:styleId="990">
    <w:name w:val="footnote reference"/>
    <w:basedOn w:val="804"/>
    <w:rPr>
      <w:vertAlign w:val="superscript"/>
    </w:rPr>
  </w:style>
  <w:style w:type="character" w:styleId="991">
    <w:name w:val="annotation reference"/>
    <w:basedOn w:val="804"/>
    <w:semiHidden/>
    <w:unhideWhenUsed/>
    <w:rPr>
      <w:sz w:val="16"/>
      <w:szCs w:val="16"/>
    </w:rPr>
  </w:style>
  <w:style w:type="paragraph" w:styleId="992">
    <w:name w:val="annotation text"/>
    <w:basedOn w:val="794"/>
    <w:link w:val="993"/>
    <w:semiHidden/>
    <w:unhideWhenUsed/>
    <w:pPr>
      <w:spacing w:line="240" w:lineRule="auto"/>
    </w:pPr>
    <w:rPr>
      <w:sz w:val="20"/>
      <w:szCs w:val="20"/>
    </w:rPr>
  </w:style>
  <w:style w:type="character" w:styleId="993" w:customStyle="1">
    <w:name w:val="Kommentartext Zchn"/>
    <w:basedOn w:val="804"/>
    <w:link w:val="992"/>
    <w:semiHidden/>
    <w:rPr>
      <w:rFonts w:ascii="RUB Scala MZ" w:hAnsi="RUB Scala MZ"/>
    </w:rPr>
  </w:style>
  <w:style w:type="paragraph" w:styleId="994">
    <w:name w:val="annotation subject"/>
    <w:basedOn w:val="992"/>
    <w:next w:val="992"/>
    <w:link w:val="995"/>
    <w:semiHidden/>
    <w:unhideWhenUsed/>
    <w:rPr>
      <w:b/>
      <w:bCs/>
    </w:rPr>
  </w:style>
  <w:style w:type="character" w:styleId="995" w:customStyle="1">
    <w:name w:val="Kommentarthema Zchn"/>
    <w:basedOn w:val="993"/>
    <w:link w:val="994"/>
    <w:semiHidden/>
    <w:rPr>
      <w:rFonts w:ascii="RUB Scala MZ" w:hAnsi="RUB Scala MZ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4E68-F34A-4F6A-BDD4-08E6510D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RUB_Briefkopf_Word_2_Seiten</dc:title>
  <dc:creator>Sarah Mätzig</dc:creator>
  <cp:lastModifiedBy>ls-fornasier (ls-fornasier.pbox@ruhr-uni-bochum.de)</cp:lastModifiedBy>
  <cp:revision>3</cp:revision>
  <dcterms:created xsi:type="dcterms:W3CDTF">2023-09-07T07:28:00Z</dcterms:created>
  <dcterms:modified xsi:type="dcterms:W3CDTF">2023-09-28T15:26:58Z</dcterms:modified>
</cp:coreProperties>
</file>