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289" w:type="dxa"/>
        <w:tblLook w:val="04A0" w:firstRow="1" w:lastRow="0" w:firstColumn="1" w:lastColumn="0" w:noHBand="0" w:noVBand="1"/>
      </w:tblPr>
      <w:tblGrid>
        <w:gridCol w:w="1094"/>
        <w:gridCol w:w="46"/>
        <w:gridCol w:w="3951"/>
        <w:gridCol w:w="17"/>
        <w:gridCol w:w="9458"/>
      </w:tblGrid>
      <w:tr w:rsidR="00FA04F8" w:rsidRPr="00204BFA" w14:paraId="7B9B154D" w14:textId="77777777" w:rsidTr="00AF5792">
        <w:trPr>
          <w:trHeight w:val="300"/>
        </w:trPr>
        <w:tc>
          <w:tcPr>
            <w:tcW w:w="1140" w:type="dxa"/>
            <w:gridSpan w:val="2"/>
            <w:shd w:val="clear" w:color="auto" w:fill="FF99FF"/>
            <w:vAlign w:val="bottom"/>
            <w:hideMark/>
          </w:tcPr>
          <w:p w14:paraId="4E71BD8B" w14:textId="33F4D5D8" w:rsidR="00CD68D7" w:rsidRPr="00FA04F8" w:rsidRDefault="00E53FA6" w:rsidP="00FA04F8">
            <w:pPr>
              <w:spacing w:line="240" w:lineRule="auto"/>
              <w:jc w:val="left"/>
              <w:rPr>
                <w:rFonts w:cs="Arial"/>
                <w:b/>
                <w:bCs/>
                <w:sz w:val="20"/>
                <w:szCs w:val="20"/>
              </w:rPr>
            </w:pPr>
            <w:r>
              <w:rPr>
                <w:rFonts w:cs="Arial"/>
                <w:b/>
                <w:bCs/>
                <w:sz w:val="20"/>
                <w:szCs w:val="20"/>
              </w:rPr>
              <w:t>Begriff</w:t>
            </w:r>
          </w:p>
        </w:tc>
        <w:tc>
          <w:tcPr>
            <w:tcW w:w="3968" w:type="dxa"/>
            <w:gridSpan w:val="2"/>
            <w:shd w:val="clear" w:color="auto" w:fill="FF99FF"/>
            <w:vAlign w:val="bottom"/>
            <w:hideMark/>
          </w:tcPr>
          <w:p w14:paraId="7C815E4D"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Literaturangabe</w:t>
            </w:r>
          </w:p>
        </w:tc>
        <w:tc>
          <w:tcPr>
            <w:tcW w:w="9458" w:type="dxa"/>
            <w:shd w:val="clear" w:color="auto" w:fill="FF99FF"/>
            <w:vAlign w:val="bottom"/>
            <w:hideMark/>
          </w:tcPr>
          <w:p w14:paraId="0A0BA3E4"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Abstract</w:t>
            </w:r>
          </w:p>
        </w:tc>
      </w:tr>
      <w:tr w:rsidR="00CD68D7" w:rsidRPr="00204BFA" w14:paraId="25BBB924" w14:textId="77777777" w:rsidTr="003A47FA">
        <w:trPr>
          <w:trHeight w:val="345"/>
        </w:trPr>
        <w:tc>
          <w:tcPr>
            <w:tcW w:w="14566" w:type="dxa"/>
            <w:gridSpan w:val="5"/>
            <w:shd w:val="clear" w:color="auto" w:fill="FFCCFF"/>
          </w:tcPr>
          <w:p w14:paraId="6194D4FC" w14:textId="70C11F4A" w:rsidR="00CD68D7" w:rsidRPr="00204BFA" w:rsidRDefault="00CD68D7" w:rsidP="00846792">
            <w:pPr>
              <w:spacing w:line="240" w:lineRule="auto"/>
              <w:jc w:val="left"/>
              <w:rPr>
                <w:rFonts w:cs="Arial"/>
                <w:sz w:val="20"/>
                <w:szCs w:val="20"/>
                <w:lang w:val="en-US"/>
              </w:rPr>
            </w:pPr>
            <w:r>
              <w:rPr>
                <w:rFonts w:cs="Arial"/>
                <w:b/>
                <w:bCs/>
                <w:sz w:val="20"/>
                <w:szCs w:val="20"/>
              </w:rPr>
              <w:t xml:space="preserve">Macht </w:t>
            </w:r>
          </w:p>
        </w:tc>
      </w:tr>
      <w:tr w:rsidR="008E0211" w:rsidRPr="00204BFA" w14:paraId="0340BA17" w14:textId="77777777" w:rsidTr="00AF5792">
        <w:trPr>
          <w:trHeight w:val="372"/>
        </w:trPr>
        <w:tc>
          <w:tcPr>
            <w:tcW w:w="14566" w:type="dxa"/>
            <w:gridSpan w:val="5"/>
            <w:shd w:val="clear" w:color="auto" w:fill="BDD6EE" w:themeFill="accent5" w:themeFillTint="66"/>
          </w:tcPr>
          <w:p w14:paraId="37F669AC" w14:textId="707907ED" w:rsidR="008E0211" w:rsidRDefault="00780F07" w:rsidP="00846792">
            <w:pPr>
              <w:spacing w:line="240" w:lineRule="auto"/>
              <w:jc w:val="left"/>
              <w:rPr>
                <w:rFonts w:cs="Arial"/>
                <w:b/>
                <w:bCs/>
                <w:sz w:val="20"/>
                <w:szCs w:val="20"/>
              </w:rPr>
            </w:pPr>
            <w:r>
              <w:rPr>
                <w:rFonts w:cs="Arial"/>
                <w:b/>
                <w:bCs/>
                <w:sz w:val="20"/>
                <w:szCs w:val="20"/>
              </w:rPr>
              <w:t>Primärliteratur/Soziologische Klassiker</w:t>
            </w:r>
            <w:r w:rsidR="007340C0">
              <w:rPr>
                <w:rFonts w:cs="Arial"/>
                <w:b/>
                <w:bCs/>
                <w:sz w:val="20"/>
                <w:szCs w:val="20"/>
              </w:rPr>
              <w:t>/</w:t>
            </w:r>
            <w:proofErr w:type="gramStart"/>
            <w:r w:rsidR="007340C0">
              <w:rPr>
                <w:rFonts w:cs="Arial"/>
                <w:b/>
                <w:bCs/>
                <w:sz w:val="20"/>
                <w:szCs w:val="20"/>
              </w:rPr>
              <w:t>Häufig</w:t>
            </w:r>
            <w:proofErr w:type="gramEnd"/>
            <w:r w:rsidR="007340C0">
              <w:rPr>
                <w:rFonts w:cs="Arial"/>
                <w:b/>
                <w:bCs/>
                <w:sz w:val="20"/>
                <w:szCs w:val="20"/>
              </w:rPr>
              <w:t xml:space="preserve"> zitierte Werke</w:t>
            </w:r>
          </w:p>
        </w:tc>
      </w:tr>
      <w:tr w:rsidR="0001009D" w:rsidRPr="00BE0993" w14:paraId="025AA2A9" w14:textId="77777777" w:rsidTr="000B0333">
        <w:trPr>
          <w:trHeight w:val="372"/>
        </w:trPr>
        <w:tc>
          <w:tcPr>
            <w:tcW w:w="1140" w:type="dxa"/>
            <w:gridSpan w:val="2"/>
            <w:shd w:val="clear" w:color="auto" w:fill="DEEAF6" w:themeFill="accent5" w:themeFillTint="33"/>
          </w:tcPr>
          <w:p w14:paraId="07EADA43" w14:textId="77777777" w:rsidR="0001009D" w:rsidRPr="007340C0" w:rsidRDefault="0001009D" w:rsidP="007340C0">
            <w:pPr>
              <w:spacing w:line="240" w:lineRule="auto"/>
              <w:jc w:val="left"/>
              <w:rPr>
                <w:rFonts w:cs="Arial"/>
                <w:b/>
                <w:bCs/>
                <w:sz w:val="20"/>
                <w:szCs w:val="20"/>
                <w:lang w:val="en-US"/>
              </w:rPr>
            </w:pPr>
          </w:p>
        </w:tc>
        <w:tc>
          <w:tcPr>
            <w:tcW w:w="3951" w:type="dxa"/>
            <w:shd w:val="clear" w:color="auto" w:fill="auto"/>
          </w:tcPr>
          <w:p w14:paraId="57C3EBEB" w14:textId="77777777" w:rsidR="0001009D" w:rsidRDefault="0001009D" w:rsidP="007340C0">
            <w:pPr>
              <w:spacing w:line="240" w:lineRule="auto"/>
              <w:jc w:val="left"/>
              <w:rPr>
                <w:rFonts w:cs="Arial"/>
                <w:bCs/>
                <w:sz w:val="20"/>
                <w:szCs w:val="20"/>
              </w:rPr>
            </w:pPr>
            <w:commentRangeStart w:id="0"/>
            <w:commentRangeStart w:id="1"/>
            <w:r>
              <w:rPr>
                <w:rFonts w:cs="Arial"/>
                <w:bCs/>
                <w:sz w:val="20"/>
                <w:szCs w:val="20"/>
              </w:rPr>
              <w:t>Arendt</w:t>
            </w:r>
            <w:commentRangeEnd w:id="0"/>
            <w:r>
              <w:rPr>
                <w:rStyle w:val="Kommentarzeichen"/>
              </w:rPr>
              <w:commentReference w:id="0"/>
            </w:r>
            <w:commentRangeEnd w:id="1"/>
            <w:r>
              <w:rPr>
                <w:rStyle w:val="Kommentarzeichen"/>
              </w:rPr>
              <w:commentReference w:id="1"/>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rPr>
              <w:t>Macht</w:t>
            </w:r>
            <w:r w:rsidRPr="00341398">
              <w:rPr>
                <w:rFonts w:cs="Arial"/>
                <w:bCs/>
                <w:i/>
                <w:iCs/>
                <w:sz w:val="20"/>
                <w:szCs w:val="20"/>
              </w:rPr>
              <w:t xml:space="preserve"> und </w:t>
            </w:r>
            <w:r w:rsidRPr="00245A05">
              <w:rPr>
                <w:rFonts w:cs="Arial"/>
                <w:bCs/>
                <w:i/>
                <w:iCs/>
                <w:sz w:val="20"/>
                <w:szCs w:val="20"/>
              </w:rPr>
              <w:t>Gewalt</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9475" w:type="dxa"/>
            <w:gridSpan w:val="2"/>
            <w:shd w:val="clear" w:color="auto" w:fill="auto"/>
          </w:tcPr>
          <w:p w14:paraId="123E7D53" w14:textId="77777777" w:rsidR="0001009D" w:rsidRPr="000F0CB1" w:rsidRDefault="0001009D" w:rsidP="007340C0">
            <w:pPr>
              <w:spacing w:line="240" w:lineRule="auto"/>
              <w:jc w:val="left"/>
              <w:rPr>
                <w:rFonts w:cs="Arial"/>
                <w:bCs/>
                <w:sz w:val="20"/>
                <w:szCs w:val="20"/>
              </w:rPr>
            </w:pPr>
            <w:r>
              <w:rPr>
                <w:rFonts w:cs="Arial"/>
                <w:bCs/>
                <w:sz w:val="20"/>
                <w:szCs w:val="20"/>
              </w:rPr>
              <w:t>Kein Abstract</w:t>
            </w:r>
          </w:p>
        </w:tc>
      </w:tr>
      <w:tr w:rsidR="0001009D" w:rsidRPr="00D22782" w14:paraId="179FB3EC" w14:textId="77777777" w:rsidTr="000B0333">
        <w:trPr>
          <w:trHeight w:val="372"/>
        </w:trPr>
        <w:tc>
          <w:tcPr>
            <w:tcW w:w="1140" w:type="dxa"/>
            <w:gridSpan w:val="2"/>
            <w:shd w:val="clear" w:color="auto" w:fill="DEEAF6" w:themeFill="accent5" w:themeFillTint="33"/>
          </w:tcPr>
          <w:p w14:paraId="6A1EE823" w14:textId="77777777" w:rsidR="0001009D" w:rsidRPr="004A5062" w:rsidRDefault="0001009D" w:rsidP="007340C0">
            <w:pPr>
              <w:spacing w:line="240" w:lineRule="auto"/>
              <w:jc w:val="left"/>
              <w:rPr>
                <w:rFonts w:cs="Arial"/>
                <w:b/>
                <w:bCs/>
                <w:sz w:val="20"/>
                <w:szCs w:val="20"/>
              </w:rPr>
            </w:pPr>
          </w:p>
        </w:tc>
        <w:tc>
          <w:tcPr>
            <w:tcW w:w="3951" w:type="dxa"/>
            <w:shd w:val="clear" w:color="auto" w:fill="auto"/>
          </w:tcPr>
          <w:p w14:paraId="3EBC7024" w14:textId="77777777" w:rsidR="0001009D" w:rsidRPr="004B665F" w:rsidRDefault="0001009D" w:rsidP="007340C0">
            <w:pPr>
              <w:spacing w:line="240" w:lineRule="auto"/>
              <w:jc w:val="left"/>
              <w:rPr>
                <w:rFonts w:cs="Arial"/>
                <w:bCs/>
                <w:sz w:val="20"/>
                <w:szCs w:val="20"/>
                <w:lang w:val="en-US"/>
              </w:rPr>
            </w:pPr>
            <w:commentRangeStart w:id="2"/>
            <w:r w:rsidRPr="00D22782">
              <w:rPr>
                <w:rFonts w:cs="Arial"/>
                <w:bCs/>
                <w:sz w:val="20"/>
                <w:szCs w:val="20"/>
                <w:lang w:val="en-US"/>
              </w:rPr>
              <w:t>Blau</w:t>
            </w:r>
            <w:commentRangeEnd w:id="2"/>
            <w:r>
              <w:rPr>
                <w:rStyle w:val="Kommentarzeichen"/>
              </w:rPr>
              <w:commentReference w:id="2"/>
            </w:r>
            <w:r w:rsidRPr="00D22782">
              <w:rPr>
                <w:rFonts w:cs="Arial"/>
                <w:bCs/>
                <w:sz w:val="20"/>
                <w:szCs w:val="20"/>
                <w:lang w:val="en-US"/>
              </w:rPr>
              <w:t xml:space="preserve">, Peter. </w:t>
            </w:r>
            <w:r>
              <w:rPr>
                <w:rFonts w:cs="Arial"/>
                <w:bCs/>
                <w:sz w:val="20"/>
                <w:szCs w:val="20"/>
                <w:lang w:val="en-US"/>
              </w:rPr>
              <w:t xml:space="preserve">1986. </w:t>
            </w:r>
            <w:r w:rsidRPr="00D22782">
              <w:rPr>
                <w:rFonts w:cs="Arial"/>
                <w:bCs/>
                <w:i/>
                <w:sz w:val="20"/>
                <w:szCs w:val="20"/>
                <w:lang w:val="en-US"/>
              </w:rPr>
              <w:t>Exchange and Power in Social Life</w:t>
            </w:r>
            <w:r>
              <w:rPr>
                <w:rFonts w:cs="Arial"/>
                <w:bCs/>
                <w:i/>
                <w:sz w:val="20"/>
                <w:szCs w:val="20"/>
                <w:lang w:val="en-US"/>
              </w:rPr>
              <w:t xml:space="preserve">, </w:t>
            </w:r>
            <w:r>
              <w:rPr>
                <w:rFonts w:cs="Arial"/>
                <w:bCs/>
                <w:sz w:val="20"/>
                <w:szCs w:val="20"/>
                <w:lang w:val="en-US"/>
              </w:rPr>
              <w:t>(</w:t>
            </w:r>
            <w:proofErr w:type="spellStart"/>
            <w:r>
              <w:rPr>
                <w:rFonts w:cs="Arial"/>
                <w:bCs/>
                <w:sz w:val="20"/>
                <w:szCs w:val="20"/>
                <w:lang w:val="en-US"/>
              </w:rPr>
              <w:t>Kapitel</w:t>
            </w:r>
            <w:proofErr w:type="spellEnd"/>
            <w:r>
              <w:rPr>
                <w:rFonts w:cs="Arial"/>
                <w:bCs/>
                <w:sz w:val="20"/>
                <w:szCs w:val="20"/>
                <w:lang w:val="en-US"/>
              </w:rPr>
              <w:t xml:space="preserve">: </w:t>
            </w:r>
            <w:r w:rsidRPr="004B665F">
              <w:rPr>
                <w:rFonts w:cs="Arial"/>
                <w:bCs/>
                <w:sz w:val="20"/>
                <w:szCs w:val="20"/>
                <w:lang w:val="en-US"/>
              </w:rPr>
              <w:t>Differentiation of Power</w:t>
            </w:r>
            <w:r>
              <w:rPr>
                <w:rFonts w:cs="Arial"/>
                <w:bCs/>
                <w:sz w:val="20"/>
                <w:szCs w:val="20"/>
                <w:lang w:val="en-US"/>
              </w:rPr>
              <w:t xml:space="preserve">). New York: Routledge. </w:t>
            </w:r>
          </w:p>
        </w:tc>
        <w:tc>
          <w:tcPr>
            <w:tcW w:w="9475" w:type="dxa"/>
            <w:gridSpan w:val="2"/>
            <w:shd w:val="clear" w:color="auto" w:fill="auto"/>
          </w:tcPr>
          <w:p w14:paraId="5E26F55C" w14:textId="77777777" w:rsidR="0001009D" w:rsidRPr="00D22782" w:rsidRDefault="0001009D" w:rsidP="007340C0">
            <w:pPr>
              <w:spacing w:line="240" w:lineRule="auto"/>
              <w:jc w:val="left"/>
              <w:rPr>
                <w:rFonts w:cs="Arial"/>
                <w:bCs/>
                <w:sz w:val="20"/>
                <w:szCs w:val="20"/>
                <w:lang w:val="en-US"/>
              </w:rPr>
            </w:pPr>
            <w:r w:rsidRPr="00FC4108">
              <w:rPr>
                <w:rFonts w:cs="Arial"/>
                <w:bCs/>
                <w:sz w:val="20"/>
                <w:szCs w:val="20"/>
                <w:lang w:val="en-US"/>
              </w:rPr>
              <w:t xml:space="preserve">Imbalances of obligations incurred in social transactions produce differences in power. Power depends on people's needs for the benefits those in power have to offer. Dependence on the benefits a person can supply does not make others subject to his power but gives him only potential power over them. Differentiation of power arises </w:t>
            </w:r>
            <w:proofErr w:type="gramStart"/>
            <w:r w:rsidRPr="00FC4108">
              <w:rPr>
                <w:rFonts w:cs="Arial"/>
                <w:bCs/>
                <w:sz w:val="20"/>
                <w:szCs w:val="20"/>
                <w:lang w:val="en-US"/>
              </w:rPr>
              <w:t>in the course of</w:t>
            </w:r>
            <w:proofErr w:type="gramEnd"/>
            <w:r w:rsidRPr="00FC4108">
              <w:rPr>
                <w:rFonts w:cs="Arial"/>
                <w:bCs/>
                <w:sz w:val="20"/>
                <w:szCs w:val="20"/>
                <w:lang w:val="en-US"/>
              </w:rPr>
              <w:t xml:space="preserve"> competition for scarce goods. In informal groups, the initial competition is for participation time, which is scarce, and which is needed to obtain any social reward from group membership. In class structures of communities, the exchange relations between members of different classes or substrata complement and support their respective competitive struggles for social status. The power of accumulated obligations is depleted by asking others to repay their debts, because doing so transforms, at least in part, the power relations into exchange relations, which presume relative equality of status.</w:t>
            </w:r>
          </w:p>
        </w:tc>
      </w:tr>
      <w:tr w:rsidR="0001009D" w:rsidRPr="004A5062" w14:paraId="7FF03283" w14:textId="77777777" w:rsidTr="000B0333">
        <w:trPr>
          <w:trHeight w:val="372"/>
        </w:trPr>
        <w:tc>
          <w:tcPr>
            <w:tcW w:w="1140" w:type="dxa"/>
            <w:gridSpan w:val="2"/>
            <w:shd w:val="clear" w:color="auto" w:fill="DEEAF6" w:themeFill="accent5" w:themeFillTint="33"/>
          </w:tcPr>
          <w:p w14:paraId="64C634FB" w14:textId="77777777" w:rsidR="0001009D" w:rsidRPr="004A5062" w:rsidRDefault="0001009D" w:rsidP="007340C0">
            <w:pPr>
              <w:spacing w:line="240" w:lineRule="auto"/>
              <w:jc w:val="left"/>
              <w:rPr>
                <w:rFonts w:cs="Arial"/>
                <w:b/>
                <w:bCs/>
                <w:sz w:val="20"/>
                <w:szCs w:val="20"/>
              </w:rPr>
            </w:pPr>
          </w:p>
        </w:tc>
        <w:tc>
          <w:tcPr>
            <w:tcW w:w="3951" w:type="dxa"/>
            <w:shd w:val="clear" w:color="auto" w:fill="auto"/>
          </w:tcPr>
          <w:p w14:paraId="22EB6FA1" w14:textId="77777777" w:rsidR="0001009D" w:rsidRPr="004A5062" w:rsidRDefault="0001009D" w:rsidP="007340C0">
            <w:pPr>
              <w:spacing w:line="240" w:lineRule="auto"/>
              <w:jc w:val="left"/>
              <w:rPr>
                <w:rFonts w:cs="Arial"/>
                <w:bCs/>
                <w:sz w:val="20"/>
                <w:szCs w:val="20"/>
              </w:rPr>
            </w:pPr>
            <w:commentRangeStart w:id="3"/>
            <w:commentRangeStart w:id="4"/>
            <w:r w:rsidRPr="00AE5520">
              <w:rPr>
                <w:rFonts w:cs="Arial"/>
                <w:bCs/>
                <w:sz w:val="20"/>
                <w:szCs w:val="20"/>
              </w:rPr>
              <w:t>Bourdieu</w:t>
            </w:r>
            <w:commentRangeEnd w:id="3"/>
            <w:r>
              <w:rPr>
                <w:rStyle w:val="Kommentarzeichen"/>
              </w:rPr>
              <w:commentReference w:id="3"/>
            </w:r>
            <w:commentRangeEnd w:id="4"/>
            <w:r>
              <w:rPr>
                <w:rStyle w:val="Kommentarzeichen"/>
              </w:rPr>
              <w:commentReference w:id="4"/>
            </w:r>
            <w:r w:rsidRPr="00AE5520">
              <w:rPr>
                <w:rFonts w:cs="Arial"/>
                <w:bCs/>
                <w:sz w:val="20"/>
                <w:szCs w:val="20"/>
              </w:rPr>
              <w:t>, Pierre</w:t>
            </w:r>
            <w:r>
              <w:rPr>
                <w:rFonts w:cs="Arial"/>
                <w:bCs/>
                <w:sz w:val="20"/>
                <w:szCs w:val="20"/>
              </w:rPr>
              <w:t xml:space="preserve">. </w:t>
            </w:r>
            <w:r w:rsidRPr="00AE5520">
              <w:rPr>
                <w:rFonts w:cs="Arial"/>
                <w:bCs/>
                <w:sz w:val="20"/>
                <w:szCs w:val="20"/>
              </w:rPr>
              <w:t>1992</w:t>
            </w:r>
            <w:r>
              <w:rPr>
                <w:rFonts w:cs="Arial"/>
                <w:bCs/>
                <w:sz w:val="20"/>
                <w:szCs w:val="20"/>
              </w:rPr>
              <w:t>.</w:t>
            </w:r>
            <w:r w:rsidRPr="00AE5520">
              <w:rPr>
                <w:rFonts w:cs="Arial"/>
                <w:bCs/>
                <w:sz w:val="20"/>
                <w:szCs w:val="20"/>
              </w:rPr>
              <w:t xml:space="preserve"> </w:t>
            </w:r>
            <w:r w:rsidRPr="00AE5520">
              <w:rPr>
                <w:rFonts w:cs="Arial"/>
                <w:bCs/>
                <w:i/>
                <w:iCs/>
                <w:sz w:val="20"/>
                <w:szCs w:val="20"/>
              </w:rPr>
              <w:t>Die verborgenen Mechanismen der Macht. Schriften zu Politik &amp; Kultur 1</w:t>
            </w:r>
            <w:r>
              <w:rPr>
                <w:rFonts w:cs="Arial"/>
                <w:bCs/>
                <w:i/>
                <w:iCs/>
                <w:sz w:val="20"/>
                <w:szCs w:val="20"/>
              </w:rPr>
              <w:t xml:space="preserve">, </w:t>
            </w:r>
            <w:r>
              <w:rPr>
                <w:rFonts w:cs="Arial"/>
                <w:bCs/>
                <w:iCs/>
                <w:sz w:val="20"/>
                <w:szCs w:val="20"/>
              </w:rPr>
              <w:t>h</w:t>
            </w:r>
            <w:r w:rsidRPr="00AE5520">
              <w:rPr>
                <w:rFonts w:cs="Arial"/>
                <w:bCs/>
                <w:sz w:val="20"/>
                <w:szCs w:val="20"/>
              </w:rPr>
              <w:t>rsg. von Margareta Steinrücke. Hamburg: VSA-Verlag</w:t>
            </w:r>
            <w:r>
              <w:rPr>
                <w:rFonts w:cs="Arial"/>
                <w:bCs/>
                <w:sz w:val="20"/>
                <w:szCs w:val="20"/>
              </w:rPr>
              <w:t xml:space="preserve">. </w:t>
            </w:r>
          </w:p>
        </w:tc>
        <w:tc>
          <w:tcPr>
            <w:tcW w:w="9475" w:type="dxa"/>
            <w:gridSpan w:val="2"/>
            <w:shd w:val="clear" w:color="auto" w:fill="auto"/>
          </w:tcPr>
          <w:p w14:paraId="3D26434A" w14:textId="77777777" w:rsidR="0001009D" w:rsidRPr="004A5062" w:rsidRDefault="0001009D" w:rsidP="007340C0">
            <w:pPr>
              <w:spacing w:line="240" w:lineRule="auto"/>
              <w:jc w:val="left"/>
              <w:rPr>
                <w:rFonts w:cs="Arial"/>
                <w:bCs/>
                <w:sz w:val="20"/>
                <w:szCs w:val="20"/>
              </w:rPr>
            </w:pPr>
            <w:r>
              <w:rPr>
                <w:rFonts w:cs="Arial"/>
                <w:bCs/>
                <w:sz w:val="20"/>
                <w:szCs w:val="20"/>
              </w:rPr>
              <w:t xml:space="preserve">Inhaltsverzeichnis: </w:t>
            </w:r>
            <w:r w:rsidRPr="00EE12A6">
              <w:rPr>
                <w:rFonts w:cs="Arial"/>
                <w:bCs/>
                <w:sz w:val="20"/>
                <w:szCs w:val="20"/>
              </w:rPr>
              <w:t>https://d-nb.info/1077337701/04</w:t>
            </w:r>
          </w:p>
        </w:tc>
      </w:tr>
      <w:tr w:rsidR="0001009D" w:rsidRPr="00A55E5F" w14:paraId="0672A034" w14:textId="77777777" w:rsidTr="000B0333">
        <w:trPr>
          <w:trHeight w:val="372"/>
        </w:trPr>
        <w:tc>
          <w:tcPr>
            <w:tcW w:w="1140" w:type="dxa"/>
            <w:gridSpan w:val="2"/>
            <w:shd w:val="clear" w:color="auto" w:fill="DEEAF6" w:themeFill="accent5" w:themeFillTint="33"/>
          </w:tcPr>
          <w:p w14:paraId="3CCEDA7B" w14:textId="77777777" w:rsidR="0001009D" w:rsidRPr="00341398" w:rsidRDefault="0001009D" w:rsidP="007340C0">
            <w:pPr>
              <w:spacing w:line="240" w:lineRule="auto"/>
              <w:jc w:val="left"/>
              <w:rPr>
                <w:rFonts w:cs="Arial"/>
                <w:b/>
                <w:bCs/>
                <w:sz w:val="20"/>
                <w:szCs w:val="20"/>
              </w:rPr>
            </w:pPr>
          </w:p>
        </w:tc>
        <w:tc>
          <w:tcPr>
            <w:tcW w:w="3951" w:type="dxa"/>
            <w:shd w:val="clear" w:color="auto" w:fill="auto"/>
          </w:tcPr>
          <w:p w14:paraId="66A06325" w14:textId="77777777" w:rsidR="0001009D" w:rsidRPr="005E3CCD" w:rsidRDefault="0001009D" w:rsidP="007340C0">
            <w:pPr>
              <w:spacing w:line="240" w:lineRule="auto"/>
              <w:jc w:val="left"/>
              <w:rPr>
                <w:rFonts w:cs="Arial"/>
                <w:bCs/>
                <w:sz w:val="20"/>
                <w:szCs w:val="20"/>
                <w:lang w:val="en-US"/>
              </w:rPr>
            </w:pPr>
            <w:r>
              <w:rPr>
                <w:rFonts w:cs="Arial"/>
                <w:bCs/>
                <w:sz w:val="20"/>
                <w:szCs w:val="20"/>
              </w:rPr>
              <w:t xml:space="preserve">Dahl, Robert A. 1957. </w:t>
            </w:r>
            <w:r w:rsidRPr="00A55E5F">
              <w:rPr>
                <w:rFonts w:cs="Arial"/>
                <w:bCs/>
                <w:sz w:val="20"/>
                <w:szCs w:val="20"/>
                <w:lang w:val="en-US"/>
              </w:rPr>
              <w:t xml:space="preserve">The Concept of Power. </w:t>
            </w:r>
            <w:r w:rsidRPr="00A55E5F">
              <w:rPr>
                <w:rFonts w:cs="Arial"/>
                <w:bCs/>
                <w:i/>
                <w:sz w:val="20"/>
                <w:szCs w:val="20"/>
                <w:lang w:val="en-US"/>
              </w:rPr>
              <w:t>B</w:t>
            </w:r>
            <w:r>
              <w:rPr>
                <w:rFonts w:cs="Arial"/>
                <w:bCs/>
                <w:i/>
                <w:sz w:val="20"/>
                <w:szCs w:val="20"/>
                <w:lang w:val="en-US"/>
              </w:rPr>
              <w:t xml:space="preserve">ehavioral Science </w:t>
            </w:r>
            <w:r>
              <w:rPr>
                <w:rFonts w:cs="Arial"/>
                <w:bCs/>
                <w:sz w:val="20"/>
                <w:szCs w:val="20"/>
                <w:lang w:val="en-US"/>
              </w:rPr>
              <w:t xml:space="preserve">2 (3): 201-215. </w:t>
            </w:r>
          </w:p>
        </w:tc>
        <w:tc>
          <w:tcPr>
            <w:tcW w:w="9475" w:type="dxa"/>
            <w:gridSpan w:val="2"/>
            <w:shd w:val="clear" w:color="auto" w:fill="auto"/>
          </w:tcPr>
          <w:p w14:paraId="320860B4" w14:textId="77777777" w:rsidR="0001009D" w:rsidRPr="00A55E5F" w:rsidRDefault="0001009D" w:rsidP="007340C0">
            <w:pPr>
              <w:spacing w:line="240" w:lineRule="auto"/>
              <w:jc w:val="left"/>
              <w:rPr>
                <w:rFonts w:cs="Arial"/>
                <w:bCs/>
                <w:sz w:val="20"/>
                <w:szCs w:val="20"/>
                <w:lang w:val="en-US"/>
              </w:rPr>
            </w:pPr>
            <w:r w:rsidRPr="00A55E5F">
              <w:rPr>
                <w:rFonts w:cs="Arial"/>
                <w:bCs/>
                <w:sz w:val="20"/>
                <w:szCs w:val="20"/>
                <w:lang w:val="en-US"/>
              </w:rPr>
              <w:t xml:space="preserve">What is “power”? Most people have an intuitive notion of what it means. But scientists have not yet formulated a statement of the concept of power that is rigorous enough to be of use in the systematic study of this important social phenomenon. Power is here defined in terms of a relation between </w:t>
            </w:r>
            <w:proofErr w:type="gramStart"/>
            <w:r w:rsidRPr="00A55E5F">
              <w:rPr>
                <w:rFonts w:cs="Arial"/>
                <w:bCs/>
                <w:sz w:val="20"/>
                <w:szCs w:val="20"/>
                <w:lang w:val="en-US"/>
              </w:rPr>
              <w:t>people, and</w:t>
            </w:r>
            <w:proofErr w:type="gramEnd"/>
            <w:r w:rsidRPr="00A55E5F">
              <w:rPr>
                <w:rFonts w:cs="Arial"/>
                <w:bCs/>
                <w:sz w:val="20"/>
                <w:szCs w:val="20"/>
                <w:lang w:val="en-US"/>
              </w:rPr>
              <w:t xml:space="preserve"> is expressed in simple symbolic notation. From this definition is developed a statement of power comparability, or the relative degree of power held by two or more persons. With these concepts it is possible for example, to rank members of the United States Senate according to their “power” over legislation on foreign policy and on tax and fiscal policy.</w:t>
            </w:r>
          </w:p>
        </w:tc>
      </w:tr>
      <w:tr w:rsidR="0001009D" w:rsidRPr="00A55E5F" w14:paraId="03628F04" w14:textId="77777777" w:rsidTr="000B0333">
        <w:trPr>
          <w:trHeight w:val="372"/>
        </w:trPr>
        <w:tc>
          <w:tcPr>
            <w:tcW w:w="1140" w:type="dxa"/>
            <w:gridSpan w:val="2"/>
            <w:shd w:val="clear" w:color="auto" w:fill="DEEAF6" w:themeFill="accent5" w:themeFillTint="33"/>
          </w:tcPr>
          <w:p w14:paraId="767890F4" w14:textId="77777777" w:rsidR="0001009D" w:rsidRPr="00341398" w:rsidRDefault="0001009D" w:rsidP="007340C0">
            <w:pPr>
              <w:spacing w:line="240" w:lineRule="auto"/>
              <w:jc w:val="left"/>
              <w:rPr>
                <w:rFonts w:cs="Arial"/>
                <w:b/>
                <w:bCs/>
                <w:sz w:val="20"/>
                <w:szCs w:val="20"/>
              </w:rPr>
            </w:pPr>
          </w:p>
        </w:tc>
        <w:tc>
          <w:tcPr>
            <w:tcW w:w="3951" w:type="dxa"/>
            <w:shd w:val="clear" w:color="auto" w:fill="auto"/>
          </w:tcPr>
          <w:p w14:paraId="0A5DC4F9" w14:textId="77777777" w:rsidR="0001009D" w:rsidRPr="00A019FB" w:rsidRDefault="0001009D" w:rsidP="007340C0">
            <w:pPr>
              <w:spacing w:line="240" w:lineRule="auto"/>
              <w:jc w:val="left"/>
              <w:rPr>
                <w:rFonts w:cs="Arial"/>
                <w:bCs/>
                <w:sz w:val="20"/>
                <w:szCs w:val="20"/>
                <w:lang w:val="en-US"/>
              </w:rPr>
            </w:pPr>
            <w:r w:rsidRPr="00A019FB">
              <w:rPr>
                <w:rFonts w:cs="Arial"/>
                <w:bCs/>
                <w:sz w:val="20"/>
                <w:szCs w:val="20"/>
                <w:lang w:val="en-US"/>
              </w:rPr>
              <w:t>Emerson, Richard M. 1962. Power-D</w:t>
            </w:r>
            <w:r>
              <w:rPr>
                <w:rFonts w:cs="Arial"/>
                <w:bCs/>
                <w:sz w:val="20"/>
                <w:szCs w:val="20"/>
                <w:lang w:val="en-US"/>
              </w:rPr>
              <w:t xml:space="preserve">ependence Relations. </w:t>
            </w:r>
            <w:r>
              <w:rPr>
                <w:rFonts w:cs="Arial"/>
                <w:bCs/>
                <w:i/>
                <w:sz w:val="20"/>
                <w:szCs w:val="20"/>
                <w:lang w:val="en-US"/>
              </w:rPr>
              <w:t xml:space="preserve">American Sociological Review </w:t>
            </w:r>
            <w:r>
              <w:rPr>
                <w:rFonts w:cs="Arial"/>
                <w:bCs/>
                <w:sz w:val="20"/>
                <w:szCs w:val="20"/>
                <w:lang w:val="en-US"/>
              </w:rPr>
              <w:t xml:space="preserve">27 (1): </w:t>
            </w:r>
            <w:r w:rsidRPr="00565E00">
              <w:rPr>
                <w:rFonts w:cs="Arial"/>
                <w:bCs/>
                <w:sz w:val="20"/>
                <w:szCs w:val="20"/>
                <w:lang w:val="en-US"/>
              </w:rPr>
              <w:t>31-4</w:t>
            </w:r>
            <w:r>
              <w:rPr>
                <w:rFonts w:cs="Arial"/>
                <w:bCs/>
                <w:sz w:val="20"/>
                <w:szCs w:val="20"/>
                <w:lang w:val="en-US"/>
              </w:rPr>
              <w:t xml:space="preserve">1. </w:t>
            </w:r>
            <w:r w:rsidRPr="00565E00">
              <w:rPr>
                <w:rFonts w:cs="Arial"/>
                <w:bCs/>
                <w:sz w:val="20"/>
                <w:szCs w:val="20"/>
                <w:lang w:val="en-US"/>
              </w:rPr>
              <w:t>https://doi.org/10.2307/2089716</w:t>
            </w:r>
          </w:p>
        </w:tc>
        <w:tc>
          <w:tcPr>
            <w:tcW w:w="9475" w:type="dxa"/>
            <w:gridSpan w:val="2"/>
            <w:shd w:val="clear" w:color="auto" w:fill="auto"/>
          </w:tcPr>
          <w:p w14:paraId="4A5A4053" w14:textId="77777777" w:rsidR="0001009D" w:rsidRPr="00A55E5F" w:rsidRDefault="0001009D" w:rsidP="007340C0">
            <w:pPr>
              <w:spacing w:line="240" w:lineRule="auto"/>
              <w:jc w:val="left"/>
              <w:rPr>
                <w:rFonts w:cs="Arial"/>
                <w:bCs/>
                <w:sz w:val="20"/>
                <w:szCs w:val="20"/>
                <w:lang w:val="en-US"/>
              </w:rPr>
            </w:pPr>
            <w:r w:rsidRPr="00A873B9">
              <w:rPr>
                <w:rFonts w:cs="Arial"/>
                <w:bCs/>
                <w:sz w:val="20"/>
                <w:szCs w:val="20"/>
                <w:lang w:val="en-US"/>
              </w:rPr>
              <w:t xml:space="preserve">A simple theory of power relations is developed </w:t>
            </w:r>
            <w:proofErr w:type="gramStart"/>
            <w:r w:rsidRPr="00A873B9">
              <w:rPr>
                <w:rFonts w:cs="Arial"/>
                <w:bCs/>
                <w:sz w:val="20"/>
                <w:szCs w:val="20"/>
                <w:lang w:val="en-US"/>
              </w:rPr>
              <w:t>in an effort to</w:t>
            </w:r>
            <w:proofErr w:type="gramEnd"/>
            <w:r w:rsidRPr="00A873B9">
              <w:rPr>
                <w:rFonts w:cs="Arial"/>
                <w:bCs/>
                <w:sz w:val="20"/>
                <w:szCs w:val="20"/>
                <w:lang w:val="en-US"/>
              </w:rPr>
              <w:t xml:space="preserve">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w:t>
            </w:r>
            <w:r w:rsidRPr="00A873B9">
              <w:rPr>
                <w:rFonts w:cs="Arial"/>
                <w:bCs/>
                <w:sz w:val="20"/>
                <w:szCs w:val="20"/>
                <w:lang w:val="en-US"/>
              </w:rPr>
              <w:lastRenderedPageBreak/>
              <w:t>is opened for meaningful analysis of complex power structures. Brief reference is made to findings from two experiments pertaining to hypotheses advanced in this theory.</w:t>
            </w:r>
          </w:p>
        </w:tc>
      </w:tr>
      <w:tr w:rsidR="0001009D" w:rsidRPr="004A5062" w14:paraId="542486C9" w14:textId="77777777" w:rsidTr="000B0333">
        <w:trPr>
          <w:trHeight w:val="372"/>
        </w:trPr>
        <w:tc>
          <w:tcPr>
            <w:tcW w:w="1140" w:type="dxa"/>
            <w:gridSpan w:val="2"/>
            <w:shd w:val="clear" w:color="auto" w:fill="DEEAF6" w:themeFill="accent5" w:themeFillTint="33"/>
          </w:tcPr>
          <w:p w14:paraId="77153E47" w14:textId="77777777" w:rsidR="0001009D" w:rsidRPr="004A5062" w:rsidRDefault="0001009D" w:rsidP="007340C0">
            <w:pPr>
              <w:spacing w:line="240" w:lineRule="auto"/>
              <w:jc w:val="left"/>
              <w:rPr>
                <w:rFonts w:cs="Arial"/>
                <w:b/>
                <w:bCs/>
                <w:sz w:val="20"/>
                <w:szCs w:val="20"/>
              </w:rPr>
            </w:pPr>
          </w:p>
        </w:tc>
        <w:tc>
          <w:tcPr>
            <w:tcW w:w="3951" w:type="dxa"/>
            <w:shd w:val="clear" w:color="auto" w:fill="auto"/>
          </w:tcPr>
          <w:p w14:paraId="050321FB" w14:textId="77777777" w:rsidR="0001009D" w:rsidRPr="004A5062" w:rsidRDefault="0001009D" w:rsidP="007340C0">
            <w:pPr>
              <w:spacing w:line="240" w:lineRule="auto"/>
              <w:jc w:val="left"/>
              <w:rPr>
                <w:rFonts w:cs="Arial"/>
                <w:bCs/>
                <w:sz w:val="20"/>
                <w:szCs w:val="20"/>
              </w:rPr>
            </w:pPr>
            <w:commentRangeStart w:id="5"/>
            <w:r w:rsidRPr="00F122E4">
              <w:rPr>
                <w:rFonts w:cs="Arial"/>
                <w:bCs/>
                <w:sz w:val="20"/>
                <w:szCs w:val="20"/>
              </w:rPr>
              <w:t>Foucault</w:t>
            </w:r>
            <w:commentRangeEnd w:id="5"/>
            <w:r>
              <w:rPr>
                <w:rStyle w:val="Kommentarzeichen"/>
              </w:rPr>
              <w:commentReference w:id="5"/>
            </w:r>
            <w:r w:rsidRPr="00F122E4">
              <w:rPr>
                <w:rFonts w:cs="Arial"/>
                <w:bCs/>
                <w:sz w:val="20"/>
                <w:szCs w:val="20"/>
              </w:rPr>
              <w:t>, Michel</w:t>
            </w:r>
            <w:r>
              <w:rPr>
                <w:rFonts w:cs="Arial"/>
                <w:bCs/>
                <w:sz w:val="20"/>
                <w:szCs w:val="20"/>
              </w:rPr>
              <w:t xml:space="preserve">. </w:t>
            </w:r>
            <w:r w:rsidRPr="00F122E4">
              <w:rPr>
                <w:rFonts w:cs="Arial"/>
                <w:bCs/>
                <w:sz w:val="20"/>
                <w:szCs w:val="20"/>
              </w:rPr>
              <w:t>1978</w:t>
            </w:r>
            <w:r>
              <w:rPr>
                <w:rFonts w:cs="Arial"/>
                <w:bCs/>
                <w:sz w:val="20"/>
                <w:szCs w:val="20"/>
              </w:rPr>
              <w:t>.</w:t>
            </w:r>
            <w:r w:rsidRPr="00F122E4">
              <w:rPr>
                <w:rFonts w:cs="Arial"/>
                <w:bCs/>
                <w:sz w:val="20"/>
                <w:szCs w:val="20"/>
              </w:rPr>
              <w:t xml:space="preserve"> </w:t>
            </w:r>
            <w:r w:rsidRPr="00F122E4">
              <w:rPr>
                <w:rFonts w:cs="Arial"/>
                <w:bCs/>
                <w:i/>
                <w:sz w:val="20"/>
                <w:szCs w:val="20"/>
              </w:rPr>
              <w:t xml:space="preserve">Dispositive der Macht. </w:t>
            </w:r>
            <w:r>
              <w:rPr>
                <w:rFonts w:cs="Arial"/>
                <w:bCs/>
                <w:i/>
                <w:sz w:val="20"/>
                <w:szCs w:val="20"/>
              </w:rPr>
              <w:t>Ü</w:t>
            </w:r>
            <w:r w:rsidRPr="00F122E4">
              <w:rPr>
                <w:rFonts w:cs="Arial"/>
                <w:bCs/>
                <w:i/>
                <w:sz w:val="20"/>
                <w:szCs w:val="20"/>
              </w:rPr>
              <w:t>ber Sexualität, Wissen und Wahrheit</w:t>
            </w:r>
            <w:r w:rsidRPr="00F122E4">
              <w:rPr>
                <w:rFonts w:cs="Arial"/>
                <w:bCs/>
                <w:sz w:val="20"/>
                <w:szCs w:val="20"/>
              </w:rPr>
              <w:t>. Berlin: Merve</w:t>
            </w:r>
            <w:r>
              <w:rPr>
                <w:rFonts w:cs="Arial"/>
                <w:bCs/>
                <w:sz w:val="20"/>
                <w:szCs w:val="20"/>
              </w:rPr>
              <w:t xml:space="preserve">. </w:t>
            </w:r>
          </w:p>
        </w:tc>
        <w:tc>
          <w:tcPr>
            <w:tcW w:w="9475" w:type="dxa"/>
            <w:gridSpan w:val="2"/>
            <w:shd w:val="clear" w:color="auto" w:fill="auto"/>
          </w:tcPr>
          <w:p w14:paraId="643B5B25" w14:textId="77777777" w:rsidR="0001009D" w:rsidRPr="004A5062" w:rsidRDefault="0001009D" w:rsidP="007340C0">
            <w:pPr>
              <w:spacing w:line="240" w:lineRule="auto"/>
              <w:jc w:val="left"/>
              <w:rPr>
                <w:rFonts w:cs="Arial"/>
                <w:bCs/>
                <w:sz w:val="20"/>
                <w:szCs w:val="20"/>
              </w:rPr>
            </w:pPr>
          </w:p>
        </w:tc>
      </w:tr>
      <w:tr w:rsidR="0001009D" w:rsidRPr="004A5062" w14:paraId="4F10019F" w14:textId="77777777" w:rsidTr="000B0333">
        <w:trPr>
          <w:trHeight w:val="372"/>
        </w:trPr>
        <w:tc>
          <w:tcPr>
            <w:tcW w:w="1140" w:type="dxa"/>
            <w:gridSpan w:val="2"/>
            <w:shd w:val="clear" w:color="auto" w:fill="DEEAF6" w:themeFill="accent5" w:themeFillTint="33"/>
          </w:tcPr>
          <w:p w14:paraId="1853BFE3" w14:textId="77777777" w:rsidR="0001009D" w:rsidRPr="00A873B9" w:rsidRDefault="0001009D" w:rsidP="007340C0">
            <w:pPr>
              <w:spacing w:line="240" w:lineRule="auto"/>
              <w:jc w:val="left"/>
              <w:rPr>
                <w:rFonts w:cs="Arial"/>
                <w:b/>
                <w:bCs/>
                <w:sz w:val="20"/>
                <w:szCs w:val="20"/>
                <w:lang w:val="en-US"/>
              </w:rPr>
            </w:pPr>
          </w:p>
        </w:tc>
        <w:tc>
          <w:tcPr>
            <w:tcW w:w="3951" w:type="dxa"/>
            <w:shd w:val="clear" w:color="auto" w:fill="auto"/>
          </w:tcPr>
          <w:p w14:paraId="5FF52C66" w14:textId="77777777" w:rsidR="0001009D" w:rsidRPr="004A5062" w:rsidRDefault="0001009D" w:rsidP="007340C0">
            <w:pPr>
              <w:spacing w:line="240" w:lineRule="auto"/>
              <w:jc w:val="left"/>
              <w:rPr>
                <w:rFonts w:cs="Arial"/>
                <w:bCs/>
                <w:sz w:val="20"/>
                <w:szCs w:val="20"/>
              </w:rPr>
            </w:pPr>
            <w:commentRangeStart w:id="6"/>
            <w:commentRangeStart w:id="7"/>
            <w:r w:rsidRPr="004A5062">
              <w:rPr>
                <w:rFonts w:cs="Arial"/>
                <w:bCs/>
                <w:sz w:val="20"/>
                <w:szCs w:val="20"/>
              </w:rPr>
              <w:t>Luhmann</w:t>
            </w:r>
            <w:commentRangeEnd w:id="6"/>
            <w:r>
              <w:rPr>
                <w:rStyle w:val="Kommentarzeichen"/>
              </w:rPr>
              <w:commentReference w:id="6"/>
            </w:r>
            <w:commentRangeEnd w:id="7"/>
            <w:r>
              <w:rPr>
                <w:rStyle w:val="Kommentarzeichen"/>
              </w:rPr>
              <w:commentReference w:id="7"/>
            </w:r>
            <w:r w:rsidRPr="004A5062">
              <w:rPr>
                <w:rFonts w:cs="Arial"/>
                <w:bCs/>
                <w:sz w:val="20"/>
                <w:szCs w:val="20"/>
              </w:rPr>
              <w:t>, Niklas</w:t>
            </w:r>
            <w:r>
              <w:rPr>
                <w:rFonts w:cs="Arial"/>
                <w:bCs/>
                <w:sz w:val="20"/>
                <w:szCs w:val="20"/>
              </w:rPr>
              <w:t xml:space="preserve">. </w:t>
            </w:r>
            <w:r w:rsidRPr="004A5062">
              <w:rPr>
                <w:rFonts w:cs="Arial"/>
                <w:bCs/>
                <w:sz w:val="20"/>
                <w:szCs w:val="20"/>
              </w:rPr>
              <w:t>1975</w:t>
            </w:r>
            <w:r>
              <w:rPr>
                <w:rFonts w:cs="Arial"/>
                <w:bCs/>
                <w:sz w:val="20"/>
                <w:szCs w:val="20"/>
              </w:rPr>
              <w:t>.</w:t>
            </w:r>
            <w:r w:rsidRPr="004A5062">
              <w:rPr>
                <w:rFonts w:cs="Arial"/>
                <w:bCs/>
                <w:sz w:val="20"/>
                <w:szCs w:val="20"/>
              </w:rPr>
              <w:t xml:space="preserve"> </w:t>
            </w:r>
            <w:r w:rsidRPr="004A5062">
              <w:rPr>
                <w:rFonts w:cs="Arial"/>
                <w:bCs/>
                <w:i/>
                <w:iCs/>
                <w:sz w:val="20"/>
                <w:szCs w:val="20"/>
              </w:rPr>
              <w:t>Macht</w:t>
            </w:r>
            <w:r w:rsidRPr="004A5062">
              <w:rPr>
                <w:rFonts w:cs="Arial"/>
                <w:bCs/>
                <w:sz w:val="20"/>
                <w:szCs w:val="20"/>
              </w:rPr>
              <w:t>. Stuttgart: Enke</w:t>
            </w:r>
            <w:r>
              <w:rPr>
                <w:rFonts w:cs="Arial"/>
                <w:bCs/>
                <w:sz w:val="20"/>
                <w:szCs w:val="20"/>
              </w:rPr>
              <w:t xml:space="preserve">. </w:t>
            </w:r>
          </w:p>
        </w:tc>
        <w:tc>
          <w:tcPr>
            <w:tcW w:w="9475" w:type="dxa"/>
            <w:gridSpan w:val="2"/>
            <w:shd w:val="clear" w:color="auto" w:fill="auto"/>
          </w:tcPr>
          <w:p w14:paraId="5BB52317" w14:textId="77777777" w:rsidR="0001009D" w:rsidRPr="004A5062" w:rsidRDefault="0001009D" w:rsidP="007340C0">
            <w:pPr>
              <w:spacing w:line="240" w:lineRule="auto"/>
              <w:jc w:val="left"/>
              <w:rPr>
                <w:rFonts w:cs="Arial"/>
                <w:bCs/>
                <w:sz w:val="20"/>
                <w:szCs w:val="20"/>
              </w:rPr>
            </w:pPr>
            <w:r>
              <w:rPr>
                <w:rFonts w:cs="Arial"/>
                <w:bCs/>
                <w:sz w:val="20"/>
                <w:szCs w:val="20"/>
              </w:rPr>
              <w:t>Kein Abstract</w:t>
            </w:r>
          </w:p>
        </w:tc>
      </w:tr>
      <w:tr w:rsidR="0001009D" w:rsidRPr="007340C0" w14:paraId="41BE5DC5" w14:textId="77777777" w:rsidTr="000B0333">
        <w:trPr>
          <w:trHeight w:val="372"/>
        </w:trPr>
        <w:tc>
          <w:tcPr>
            <w:tcW w:w="1140" w:type="dxa"/>
            <w:gridSpan w:val="2"/>
            <w:shd w:val="clear" w:color="auto" w:fill="DEEAF6" w:themeFill="accent5" w:themeFillTint="33"/>
          </w:tcPr>
          <w:p w14:paraId="341B098E" w14:textId="77777777" w:rsidR="0001009D" w:rsidRDefault="0001009D" w:rsidP="007340C0">
            <w:pPr>
              <w:spacing w:line="240" w:lineRule="auto"/>
              <w:jc w:val="left"/>
              <w:rPr>
                <w:rFonts w:cs="Arial"/>
                <w:b/>
                <w:bCs/>
                <w:sz w:val="20"/>
                <w:szCs w:val="20"/>
              </w:rPr>
            </w:pPr>
          </w:p>
        </w:tc>
        <w:tc>
          <w:tcPr>
            <w:tcW w:w="3951" w:type="dxa"/>
            <w:shd w:val="clear" w:color="auto" w:fill="auto"/>
          </w:tcPr>
          <w:p w14:paraId="0C4A496E" w14:textId="77777777" w:rsidR="0001009D" w:rsidRPr="007340C0" w:rsidRDefault="0001009D" w:rsidP="007340C0">
            <w:pPr>
              <w:spacing w:line="240" w:lineRule="auto"/>
              <w:jc w:val="left"/>
              <w:rPr>
                <w:rFonts w:cs="Arial"/>
                <w:b/>
                <w:bCs/>
                <w:sz w:val="20"/>
                <w:szCs w:val="20"/>
                <w:lang w:val="en-US"/>
              </w:rPr>
            </w:pPr>
            <w:r w:rsidRPr="00204BFA">
              <w:rPr>
                <w:rFonts w:cs="Arial"/>
                <w:sz w:val="20"/>
                <w:szCs w:val="20"/>
                <w:lang w:val="en-US"/>
              </w:rPr>
              <w:t>Lukes, S</w:t>
            </w:r>
            <w:r>
              <w:rPr>
                <w:rFonts w:cs="Arial"/>
                <w:sz w:val="20"/>
                <w:szCs w:val="20"/>
                <w:lang w:val="en-US"/>
              </w:rPr>
              <w:t xml:space="preserve">teven. </w:t>
            </w:r>
            <w:r w:rsidRPr="00204BFA">
              <w:rPr>
                <w:rFonts w:cs="Arial"/>
                <w:sz w:val="20"/>
                <w:szCs w:val="20"/>
                <w:lang w:val="en-US"/>
              </w:rPr>
              <w:t>2005</w:t>
            </w:r>
            <w:r>
              <w:rPr>
                <w:rFonts w:cs="Arial"/>
                <w:sz w:val="20"/>
                <w:szCs w:val="20"/>
                <w:lang w:val="en-US"/>
              </w:rPr>
              <w:t>.</w:t>
            </w:r>
            <w:r w:rsidRPr="00204BFA">
              <w:rPr>
                <w:rFonts w:cs="Arial"/>
                <w:sz w:val="20"/>
                <w:szCs w:val="20"/>
                <w:lang w:val="en-US"/>
              </w:rPr>
              <w:t xml:space="preserve"> </w:t>
            </w:r>
            <w:r w:rsidRPr="00AF1C5A">
              <w:rPr>
                <w:rFonts w:cs="Arial"/>
                <w:i/>
                <w:iCs/>
                <w:sz w:val="20"/>
                <w:szCs w:val="20"/>
                <w:lang w:val="en-US"/>
              </w:rPr>
              <w:t>Power. A Radical View.</w:t>
            </w:r>
            <w:r>
              <w:rPr>
                <w:rFonts w:cs="Arial"/>
                <w:i/>
                <w:iCs/>
                <w:sz w:val="20"/>
                <w:szCs w:val="20"/>
                <w:lang w:val="en-US"/>
              </w:rPr>
              <w:t xml:space="preserve"> </w:t>
            </w:r>
            <w:r w:rsidRPr="00AF1C5A">
              <w:rPr>
                <w:rFonts w:cs="Arial"/>
                <w:sz w:val="20"/>
                <w:szCs w:val="20"/>
                <w:lang w:val="en-US"/>
              </w:rPr>
              <w:t xml:space="preserve">2. </w:t>
            </w:r>
            <w:proofErr w:type="spellStart"/>
            <w:r w:rsidRPr="00AF1C5A">
              <w:rPr>
                <w:rFonts w:cs="Arial"/>
                <w:sz w:val="20"/>
                <w:szCs w:val="20"/>
                <w:lang w:val="en-US"/>
              </w:rPr>
              <w:t>Aufl</w:t>
            </w:r>
            <w:proofErr w:type="spellEnd"/>
            <w:r w:rsidRPr="00AF1C5A">
              <w:rPr>
                <w:rFonts w:cs="Arial"/>
                <w:sz w:val="20"/>
                <w:szCs w:val="20"/>
                <w:lang w:val="en-US"/>
              </w:rPr>
              <w:t xml:space="preserve">. </w:t>
            </w:r>
            <w:r>
              <w:rPr>
                <w:rFonts w:cs="Arial"/>
                <w:sz w:val="20"/>
                <w:szCs w:val="20"/>
                <w:lang w:val="en-US"/>
              </w:rPr>
              <w:t xml:space="preserve">New York: </w:t>
            </w:r>
            <w:r w:rsidRPr="00AF1C5A">
              <w:rPr>
                <w:rFonts w:cs="Arial"/>
                <w:sz w:val="20"/>
                <w:szCs w:val="20"/>
                <w:lang w:val="en-US"/>
              </w:rPr>
              <w:t>Palgrave Macmillan.</w:t>
            </w:r>
          </w:p>
        </w:tc>
        <w:tc>
          <w:tcPr>
            <w:tcW w:w="9475" w:type="dxa"/>
            <w:gridSpan w:val="2"/>
            <w:shd w:val="clear" w:color="auto" w:fill="auto"/>
          </w:tcPr>
          <w:p w14:paraId="18EFC752" w14:textId="77777777" w:rsidR="0001009D" w:rsidRPr="007340C0" w:rsidRDefault="0001009D" w:rsidP="007340C0">
            <w:pPr>
              <w:spacing w:line="240" w:lineRule="auto"/>
              <w:jc w:val="left"/>
              <w:rPr>
                <w:rFonts w:cs="Arial"/>
                <w:b/>
                <w:bCs/>
                <w:sz w:val="20"/>
                <w:szCs w:val="20"/>
                <w:lang w:val="en-US"/>
              </w:rPr>
            </w:pPr>
            <w:r w:rsidRPr="00204BFA">
              <w:rPr>
                <w:rFonts w:cs="Arial"/>
                <w:sz w:val="20"/>
                <w:szCs w:val="20"/>
                <w:lang w:val="en-US"/>
              </w:rPr>
              <w:t>Steven Lukes'</w:t>
            </w:r>
            <w:r w:rsidRPr="00204BFA">
              <w:rPr>
                <w:rFonts w:cs="Arial"/>
                <w:i/>
                <w:iCs/>
                <w:sz w:val="20"/>
                <w:szCs w:val="20"/>
                <w:lang w:val="en-US"/>
              </w:rPr>
              <w:t> Power: A Radical View</w:t>
            </w:r>
            <w:r w:rsidRPr="00204BFA">
              <w:rPr>
                <w:rFonts w:cs="Arial"/>
                <w:sz w:val="20"/>
                <w:szCs w:val="20"/>
                <w:lang w:val="en-US"/>
              </w:rPr>
              <w:t xml:space="preserve"> is a seminal work still widely used some 30 years after publication. The second edition includes the complete original text alongside two major new essays. One assesses the main debates about how to conceptualize and study power, including the influential contributions of Michel Foucault. The other reconsiders Steven Lukes' own views </w:t>
            </w:r>
            <w:proofErr w:type="gramStart"/>
            <w:r w:rsidRPr="00204BFA">
              <w:rPr>
                <w:rFonts w:cs="Arial"/>
                <w:sz w:val="20"/>
                <w:szCs w:val="20"/>
                <w:lang w:val="en-US"/>
              </w:rPr>
              <w:t>in light of</w:t>
            </w:r>
            <w:proofErr w:type="gramEnd"/>
            <w:r w:rsidRPr="00204BFA">
              <w:rPr>
                <w:rFonts w:cs="Arial"/>
                <w:sz w:val="20"/>
                <w:szCs w:val="20"/>
                <w:lang w:val="en-US"/>
              </w:rPr>
              <w:t xml:space="preserve"> these debates and of criticisms of his original argument. With a new introduction and bibliographical essay, this book will consolidate its reputation as a classic work and a major reference point within social and political theory.</w:t>
            </w:r>
          </w:p>
        </w:tc>
      </w:tr>
      <w:tr w:rsidR="0001009D" w:rsidRPr="00A55E5F" w14:paraId="54921D1D" w14:textId="77777777" w:rsidTr="000B0333">
        <w:trPr>
          <w:trHeight w:val="372"/>
        </w:trPr>
        <w:tc>
          <w:tcPr>
            <w:tcW w:w="1140" w:type="dxa"/>
            <w:gridSpan w:val="2"/>
            <w:shd w:val="clear" w:color="auto" w:fill="DEEAF6" w:themeFill="accent5" w:themeFillTint="33"/>
          </w:tcPr>
          <w:p w14:paraId="3F202542" w14:textId="77777777" w:rsidR="0001009D" w:rsidRPr="00A873B9" w:rsidRDefault="0001009D" w:rsidP="007340C0">
            <w:pPr>
              <w:spacing w:line="240" w:lineRule="auto"/>
              <w:jc w:val="left"/>
              <w:rPr>
                <w:rFonts w:cs="Arial"/>
                <w:b/>
                <w:bCs/>
                <w:sz w:val="20"/>
                <w:szCs w:val="20"/>
                <w:lang w:val="en-US"/>
              </w:rPr>
            </w:pPr>
          </w:p>
        </w:tc>
        <w:tc>
          <w:tcPr>
            <w:tcW w:w="3951" w:type="dxa"/>
            <w:shd w:val="clear" w:color="auto" w:fill="auto"/>
          </w:tcPr>
          <w:p w14:paraId="4F4234E2" w14:textId="77777777" w:rsidR="0001009D" w:rsidRPr="00351003" w:rsidRDefault="0001009D" w:rsidP="007340C0">
            <w:pPr>
              <w:spacing w:line="240" w:lineRule="auto"/>
              <w:jc w:val="left"/>
              <w:rPr>
                <w:rFonts w:cs="Arial"/>
                <w:bCs/>
                <w:sz w:val="20"/>
                <w:szCs w:val="20"/>
                <w:lang w:val="en-US"/>
              </w:rPr>
            </w:pPr>
            <w:r>
              <w:rPr>
                <w:rFonts w:cs="Arial"/>
                <w:bCs/>
                <w:sz w:val="20"/>
                <w:szCs w:val="20"/>
                <w:lang w:val="en-US"/>
              </w:rPr>
              <w:t xml:space="preserve">Parsons, Talcott. 1963. </w:t>
            </w:r>
            <w:r w:rsidRPr="009C69E9">
              <w:rPr>
                <w:rFonts w:cs="Arial"/>
                <w:bCs/>
                <w:sz w:val="20"/>
                <w:szCs w:val="20"/>
                <w:lang w:val="en-US"/>
              </w:rPr>
              <w:t>On the Concept of Political Power</w:t>
            </w:r>
            <w:r>
              <w:rPr>
                <w:rFonts w:cs="Arial"/>
                <w:bCs/>
                <w:sz w:val="20"/>
                <w:szCs w:val="20"/>
                <w:lang w:val="en-US"/>
              </w:rPr>
              <w:t xml:space="preserve">. </w:t>
            </w:r>
            <w:r w:rsidRPr="00351003">
              <w:rPr>
                <w:rFonts w:cs="Arial"/>
                <w:bCs/>
                <w:i/>
                <w:iCs/>
                <w:sz w:val="20"/>
                <w:szCs w:val="20"/>
                <w:lang w:val="en-US"/>
              </w:rPr>
              <w:t>Proceedings of the American Philosophical Society</w:t>
            </w:r>
            <w:r>
              <w:rPr>
                <w:rFonts w:cs="Arial"/>
                <w:bCs/>
                <w:iCs/>
                <w:sz w:val="20"/>
                <w:szCs w:val="20"/>
                <w:lang w:val="en-US"/>
              </w:rPr>
              <w:t xml:space="preserve"> 107 (3): 232-262. </w:t>
            </w:r>
          </w:p>
        </w:tc>
        <w:tc>
          <w:tcPr>
            <w:tcW w:w="9475" w:type="dxa"/>
            <w:gridSpan w:val="2"/>
            <w:shd w:val="clear" w:color="auto" w:fill="auto"/>
          </w:tcPr>
          <w:p w14:paraId="39F3AF1F" w14:textId="77777777" w:rsidR="0001009D" w:rsidRPr="00A55E5F" w:rsidRDefault="0001009D" w:rsidP="007340C0">
            <w:pPr>
              <w:spacing w:line="240" w:lineRule="auto"/>
              <w:jc w:val="left"/>
              <w:rPr>
                <w:rFonts w:cs="Arial"/>
                <w:bCs/>
                <w:sz w:val="20"/>
                <w:szCs w:val="20"/>
                <w:lang w:val="en-US"/>
              </w:rPr>
            </w:pPr>
            <w:r>
              <w:rPr>
                <w:rFonts w:cs="Arial"/>
                <w:bCs/>
                <w:sz w:val="20"/>
                <w:szCs w:val="20"/>
                <w:lang w:val="en-US"/>
              </w:rPr>
              <w:t>Kein Abstract</w:t>
            </w:r>
          </w:p>
        </w:tc>
      </w:tr>
      <w:tr w:rsidR="0001009D" w:rsidRPr="00BE0993" w14:paraId="7F79372A" w14:textId="77777777" w:rsidTr="000B0333">
        <w:trPr>
          <w:trHeight w:val="372"/>
        </w:trPr>
        <w:tc>
          <w:tcPr>
            <w:tcW w:w="1140" w:type="dxa"/>
            <w:gridSpan w:val="2"/>
            <w:shd w:val="clear" w:color="auto" w:fill="DEEAF6" w:themeFill="accent5" w:themeFillTint="33"/>
          </w:tcPr>
          <w:p w14:paraId="0473CE1C" w14:textId="77777777" w:rsidR="0001009D" w:rsidRPr="007340C0" w:rsidRDefault="0001009D" w:rsidP="007340C0">
            <w:pPr>
              <w:spacing w:line="240" w:lineRule="auto"/>
              <w:jc w:val="left"/>
              <w:rPr>
                <w:rFonts w:cs="Arial"/>
                <w:b/>
                <w:bCs/>
                <w:sz w:val="20"/>
                <w:szCs w:val="20"/>
                <w:lang w:val="en-US"/>
              </w:rPr>
            </w:pPr>
          </w:p>
        </w:tc>
        <w:tc>
          <w:tcPr>
            <w:tcW w:w="3951" w:type="dxa"/>
            <w:shd w:val="clear" w:color="auto" w:fill="auto"/>
          </w:tcPr>
          <w:p w14:paraId="69B6C337" w14:textId="77777777" w:rsidR="0001009D" w:rsidRPr="00AB28A5" w:rsidRDefault="0001009D" w:rsidP="007340C0">
            <w:pPr>
              <w:spacing w:line="240" w:lineRule="auto"/>
              <w:jc w:val="left"/>
              <w:rPr>
                <w:rFonts w:cs="Arial"/>
                <w:bCs/>
                <w:sz w:val="20"/>
                <w:szCs w:val="20"/>
              </w:rPr>
            </w:pPr>
            <w:commentRangeStart w:id="8"/>
            <w:commentRangeStart w:id="9"/>
            <w:r>
              <w:rPr>
                <w:rFonts w:cs="Arial"/>
                <w:bCs/>
                <w:sz w:val="20"/>
                <w:szCs w:val="20"/>
              </w:rPr>
              <w:t>Popitz</w:t>
            </w:r>
            <w:commentRangeEnd w:id="8"/>
            <w:r>
              <w:rPr>
                <w:rStyle w:val="Kommentarzeichen"/>
              </w:rPr>
              <w:commentReference w:id="8"/>
            </w:r>
            <w:commentRangeEnd w:id="9"/>
            <w:r>
              <w:rPr>
                <w:rStyle w:val="Kommentarzeichen"/>
              </w:rPr>
              <w:commentReference w:id="9"/>
            </w:r>
            <w:r>
              <w:rPr>
                <w:rFonts w:cs="Arial"/>
                <w:bCs/>
                <w:sz w:val="20"/>
                <w:szCs w:val="20"/>
              </w:rPr>
              <w:t xml:space="preserve">, Heinrich. 1992. </w:t>
            </w:r>
            <w:r>
              <w:rPr>
                <w:rFonts w:cs="Arial"/>
                <w:bCs/>
                <w:i/>
                <w:sz w:val="20"/>
                <w:szCs w:val="20"/>
              </w:rPr>
              <w:t>Phänomene der Macht</w:t>
            </w:r>
            <w:r>
              <w:rPr>
                <w:rFonts w:cs="Arial"/>
                <w:bCs/>
                <w:sz w:val="20"/>
                <w:szCs w:val="20"/>
              </w:rPr>
              <w:t xml:space="preserve">, 2. stark </w:t>
            </w:r>
            <w:proofErr w:type="spellStart"/>
            <w:r>
              <w:rPr>
                <w:rFonts w:cs="Arial"/>
                <w:bCs/>
                <w:sz w:val="20"/>
                <w:szCs w:val="20"/>
              </w:rPr>
              <w:t>erw</w:t>
            </w:r>
            <w:proofErr w:type="spellEnd"/>
            <w:r>
              <w:rPr>
                <w:rFonts w:cs="Arial"/>
                <w:bCs/>
                <w:sz w:val="20"/>
                <w:szCs w:val="20"/>
              </w:rPr>
              <w:t xml:space="preserve">. Aufl., </w:t>
            </w:r>
            <w:r w:rsidRPr="00AB28A5">
              <w:rPr>
                <w:rFonts w:cs="Arial"/>
                <w:bCs/>
                <w:sz w:val="20"/>
                <w:szCs w:val="20"/>
              </w:rPr>
              <w:t>11-39</w:t>
            </w:r>
            <w:r>
              <w:rPr>
                <w:rFonts w:cs="Arial"/>
                <w:bCs/>
                <w:sz w:val="20"/>
                <w:szCs w:val="20"/>
              </w:rPr>
              <w:t xml:space="preserve"> (Kapitel: Das Konzept Macht). </w:t>
            </w:r>
            <w:r w:rsidRPr="0052710A">
              <w:rPr>
                <w:rFonts w:cs="Arial"/>
                <w:bCs/>
                <w:sz w:val="20"/>
                <w:szCs w:val="20"/>
              </w:rPr>
              <w:t>Tübingen: Mohr (Siebeck).</w:t>
            </w:r>
          </w:p>
        </w:tc>
        <w:tc>
          <w:tcPr>
            <w:tcW w:w="9475" w:type="dxa"/>
            <w:gridSpan w:val="2"/>
            <w:shd w:val="clear" w:color="auto" w:fill="auto"/>
          </w:tcPr>
          <w:p w14:paraId="236BF3EB" w14:textId="77777777" w:rsidR="0001009D" w:rsidRPr="000F0CB1" w:rsidRDefault="0001009D" w:rsidP="007340C0">
            <w:pPr>
              <w:spacing w:line="240" w:lineRule="auto"/>
              <w:jc w:val="left"/>
              <w:rPr>
                <w:rFonts w:cs="Arial"/>
                <w:bCs/>
                <w:sz w:val="20"/>
                <w:szCs w:val="20"/>
              </w:rPr>
            </w:pPr>
            <w:r>
              <w:rPr>
                <w:rFonts w:cs="Arial"/>
                <w:bCs/>
                <w:sz w:val="20"/>
                <w:szCs w:val="20"/>
              </w:rPr>
              <w:t>Kein Abstract</w:t>
            </w:r>
          </w:p>
        </w:tc>
      </w:tr>
      <w:tr w:rsidR="004A5062" w:rsidRPr="00D22782" w14:paraId="466D1E7F" w14:textId="77777777" w:rsidTr="000B0333">
        <w:trPr>
          <w:trHeight w:val="372"/>
        </w:trPr>
        <w:tc>
          <w:tcPr>
            <w:tcW w:w="1140" w:type="dxa"/>
            <w:gridSpan w:val="2"/>
            <w:shd w:val="clear" w:color="auto" w:fill="DEEAF6" w:themeFill="accent5" w:themeFillTint="33"/>
          </w:tcPr>
          <w:p w14:paraId="5BB0823C" w14:textId="77777777" w:rsidR="004A5062" w:rsidRPr="00D22782" w:rsidRDefault="004A5062" w:rsidP="007340C0">
            <w:pPr>
              <w:spacing w:line="240" w:lineRule="auto"/>
              <w:jc w:val="left"/>
              <w:rPr>
                <w:rFonts w:cs="Arial"/>
                <w:b/>
                <w:bCs/>
                <w:sz w:val="20"/>
                <w:szCs w:val="20"/>
                <w:lang w:val="en-US"/>
              </w:rPr>
            </w:pPr>
          </w:p>
        </w:tc>
        <w:tc>
          <w:tcPr>
            <w:tcW w:w="3951" w:type="dxa"/>
            <w:shd w:val="clear" w:color="auto" w:fill="auto"/>
          </w:tcPr>
          <w:p w14:paraId="1D813168" w14:textId="77777777" w:rsidR="004A5062" w:rsidRPr="00D22782" w:rsidRDefault="004A5062" w:rsidP="007340C0">
            <w:pPr>
              <w:spacing w:line="240" w:lineRule="auto"/>
              <w:jc w:val="left"/>
              <w:rPr>
                <w:rFonts w:cs="Arial"/>
                <w:bCs/>
                <w:sz w:val="20"/>
                <w:szCs w:val="20"/>
                <w:lang w:val="en-US"/>
              </w:rPr>
            </w:pPr>
          </w:p>
        </w:tc>
        <w:tc>
          <w:tcPr>
            <w:tcW w:w="9475" w:type="dxa"/>
            <w:gridSpan w:val="2"/>
            <w:shd w:val="clear" w:color="auto" w:fill="auto"/>
          </w:tcPr>
          <w:p w14:paraId="0051350F" w14:textId="77777777" w:rsidR="004A5062" w:rsidRPr="00D22782" w:rsidRDefault="004A5062" w:rsidP="007340C0">
            <w:pPr>
              <w:spacing w:line="240" w:lineRule="auto"/>
              <w:jc w:val="left"/>
              <w:rPr>
                <w:rFonts w:cs="Arial"/>
                <w:bCs/>
                <w:sz w:val="20"/>
                <w:szCs w:val="20"/>
                <w:lang w:val="en-US"/>
              </w:rPr>
            </w:pPr>
          </w:p>
        </w:tc>
      </w:tr>
      <w:tr w:rsidR="00BB55FA" w:rsidRPr="00D22782" w14:paraId="04B51AC8" w14:textId="4F4B5344" w:rsidTr="000B0333">
        <w:trPr>
          <w:trHeight w:val="372"/>
        </w:trPr>
        <w:tc>
          <w:tcPr>
            <w:tcW w:w="1140" w:type="dxa"/>
            <w:gridSpan w:val="2"/>
            <w:shd w:val="clear" w:color="auto" w:fill="DEEAF6" w:themeFill="accent5" w:themeFillTint="33"/>
          </w:tcPr>
          <w:p w14:paraId="300681FA" w14:textId="77777777" w:rsidR="00BB55FA" w:rsidRPr="00D22782" w:rsidRDefault="00BB55FA" w:rsidP="007340C0">
            <w:pPr>
              <w:spacing w:line="240" w:lineRule="auto"/>
              <w:jc w:val="left"/>
              <w:rPr>
                <w:rFonts w:cs="Arial"/>
                <w:b/>
                <w:bCs/>
                <w:sz w:val="20"/>
                <w:szCs w:val="20"/>
                <w:lang w:val="en-US"/>
              </w:rPr>
            </w:pPr>
          </w:p>
        </w:tc>
        <w:tc>
          <w:tcPr>
            <w:tcW w:w="3951" w:type="dxa"/>
            <w:shd w:val="clear" w:color="auto" w:fill="auto"/>
          </w:tcPr>
          <w:p w14:paraId="39361B82" w14:textId="77777777" w:rsidR="00BB55FA" w:rsidRPr="00D22782" w:rsidRDefault="00BB55FA" w:rsidP="007340C0">
            <w:pPr>
              <w:spacing w:line="240" w:lineRule="auto"/>
              <w:jc w:val="left"/>
              <w:rPr>
                <w:rFonts w:cs="Arial"/>
                <w:b/>
                <w:bCs/>
                <w:sz w:val="20"/>
                <w:szCs w:val="20"/>
                <w:lang w:val="en-US"/>
              </w:rPr>
            </w:pPr>
          </w:p>
        </w:tc>
        <w:tc>
          <w:tcPr>
            <w:tcW w:w="9475" w:type="dxa"/>
            <w:gridSpan w:val="2"/>
            <w:shd w:val="clear" w:color="auto" w:fill="auto"/>
          </w:tcPr>
          <w:p w14:paraId="17C62781" w14:textId="77777777" w:rsidR="00BB55FA" w:rsidRPr="00D22782" w:rsidRDefault="00BB55FA" w:rsidP="007340C0">
            <w:pPr>
              <w:spacing w:line="240" w:lineRule="auto"/>
              <w:jc w:val="left"/>
              <w:rPr>
                <w:rFonts w:cs="Arial"/>
                <w:b/>
                <w:bCs/>
                <w:sz w:val="20"/>
                <w:szCs w:val="20"/>
                <w:lang w:val="en-US"/>
              </w:rPr>
            </w:pPr>
          </w:p>
        </w:tc>
      </w:tr>
      <w:tr w:rsidR="007340C0" w:rsidRPr="00204BFA" w14:paraId="3BF17FE1" w14:textId="77777777" w:rsidTr="00AF5792">
        <w:trPr>
          <w:trHeight w:val="372"/>
        </w:trPr>
        <w:tc>
          <w:tcPr>
            <w:tcW w:w="14566" w:type="dxa"/>
            <w:gridSpan w:val="5"/>
            <w:shd w:val="clear" w:color="auto" w:fill="BDD6EE" w:themeFill="accent5" w:themeFillTint="66"/>
          </w:tcPr>
          <w:p w14:paraId="2F787A1D" w14:textId="07B6C3B1" w:rsidR="007340C0" w:rsidRDefault="007340C0" w:rsidP="007340C0">
            <w:pPr>
              <w:spacing w:line="240" w:lineRule="auto"/>
              <w:jc w:val="left"/>
              <w:rPr>
                <w:rFonts w:cs="Arial"/>
                <w:b/>
                <w:bCs/>
                <w:sz w:val="20"/>
                <w:szCs w:val="20"/>
              </w:rPr>
            </w:pPr>
            <w:r>
              <w:rPr>
                <w:rFonts w:cs="Arial"/>
                <w:b/>
                <w:bCs/>
                <w:sz w:val="20"/>
                <w:szCs w:val="20"/>
              </w:rPr>
              <w:t>Grundlagentexte/Einführungsliteratur</w:t>
            </w:r>
            <w:r>
              <w:rPr>
                <w:rFonts w:cs="Arial"/>
                <w:b/>
                <w:bCs/>
                <w:sz w:val="20"/>
                <w:szCs w:val="20"/>
              </w:rPr>
              <w:t>/Sekundärliteratur/Begriffsdefinitionen</w:t>
            </w:r>
          </w:p>
        </w:tc>
      </w:tr>
      <w:tr w:rsidR="00027BA1" w:rsidRPr="00204BFA" w14:paraId="3F32D6C9" w14:textId="77777777" w:rsidTr="00AF5792">
        <w:trPr>
          <w:trHeight w:val="372"/>
        </w:trPr>
        <w:tc>
          <w:tcPr>
            <w:tcW w:w="1094" w:type="dxa"/>
            <w:shd w:val="clear" w:color="auto" w:fill="DEEAF6" w:themeFill="accent5" w:themeFillTint="33"/>
          </w:tcPr>
          <w:p w14:paraId="68C6B50B" w14:textId="77777777" w:rsidR="00027BA1" w:rsidRPr="00FA04F8" w:rsidRDefault="00027BA1" w:rsidP="007340C0">
            <w:pPr>
              <w:spacing w:line="240" w:lineRule="auto"/>
              <w:jc w:val="left"/>
              <w:rPr>
                <w:rFonts w:cs="Arial"/>
                <w:b/>
                <w:bCs/>
                <w:sz w:val="20"/>
                <w:szCs w:val="20"/>
                <w:lang w:val="en-US"/>
              </w:rPr>
            </w:pPr>
            <w:r w:rsidRPr="00FA04F8">
              <w:rPr>
                <w:rFonts w:cs="Arial"/>
                <w:b/>
                <w:bCs/>
                <w:sz w:val="20"/>
                <w:szCs w:val="20"/>
                <w:lang w:val="en-US"/>
              </w:rPr>
              <w:t> </w:t>
            </w:r>
          </w:p>
          <w:p w14:paraId="2A1C66E6" w14:textId="77777777" w:rsidR="00027BA1" w:rsidRDefault="00027BA1" w:rsidP="007340C0">
            <w:pPr>
              <w:spacing w:line="240" w:lineRule="auto"/>
              <w:jc w:val="left"/>
              <w:rPr>
                <w:rFonts w:cs="Arial"/>
                <w:b/>
                <w:bCs/>
                <w:sz w:val="20"/>
                <w:szCs w:val="20"/>
              </w:rPr>
            </w:pPr>
            <w:r w:rsidRPr="00FA04F8">
              <w:rPr>
                <w:rFonts w:cs="Arial"/>
                <w:b/>
                <w:bCs/>
                <w:sz w:val="20"/>
                <w:szCs w:val="20"/>
                <w:lang w:val="en-US"/>
              </w:rPr>
              <w:t> </w:t>
            </w:r>
          </w:p>
        </w:tc>
        <w:tc>
          <w:tcPr>
            <w:tcW w:w="3997" w:type="dxa"/>
            <w:gridSpan w:val="2"/>
            <w:shd w:val="clear" w:color="auto" w:fill="auto"/>
          </w:tcPr>
          <w:p w14:paraId="1EA461B8" w14:textId="77777777" w:rsidR="00027BA1" w:rsidRDefault="00027BA1" w:rsidP="007340C0">
            <w:pPr>
              <w:spacing w:line="240" w:lineRule="auto"/>
              <w:jc w:val="left"/>
              <w:rPr>
                <w:rFonts w:cs="Arial"/>
                <w:b/>
                <w:bCs/>
                <w:sz w:val="20"/>
                <w:szCs w:val="20"/>
              </w:rPr>
            </w:pPr>
            <w:proofErr w:type="spellStart"/>
            <w:r w:rsidRPr="00846792">
              <w:rPr>
                <w:rFonts w:cs="Arial"/>
                <w:sz w:val="20"/>
                <w:szCs w:val="20"/>
              </w:rPr>
              <w:t>Brodocz</w:t>
            </w:r>
            <w:proofErr w:type="spellEnd"/>
            <w:r w:rsidRPr="00204BFA">
              <w:rPr>
                <w:rFonts w:cs="Arial"/>
                <w:sz w:val="20"/>
                <w:szCs w:val="20"/>
              </w:rPr>
              <w:t>,</w:t>
            </w:r>
            <w:r>
              <w:rPr>
                <w:rFonts w:cs="Arial"/>
                <w:sz w:val="20"/>
                <w:szCs w:val="20"/>
              </w:rPr>
              <w:t xml:space="preserve"> </w:t>
            </w:r>
            <w:r w:rsidRPr="00204BFA">
              <w:rPr>
                <w:rFonts w:cs="Arial"/>
                <w:sz w:val="20"/>
                <w:szCs w:val="20"/>
              </w:rPr>
              <w:t>André</w:t>
            </w:r>
            <w:r>
              <w:rPr>
                <w:rFonts w:cs="Arial"/>
                <w:sz w:val="20"/>
                <w:szCs w:val="20"/>
              </w:rPr>
              <w:t>.</w:t>
            </w:r>
            <w:r w:rsidRPr="00204BFA">
              <w:rPr>
                <w:rFonts w:cs="Arial"/>
                <w:sz w:val="20"/>
                <w:szCs w:val="20"/>
              </w:rPr>
              <w:t xml:space="preserve"> 2012. Mächtige Kommunikation – Zum Machtbegriff von Niklas Luhmann. I</w:t>
            </w:r>
            <w:r>
              <w:rPr>
                <w:rFonts w:cs="Arial"/>
                <w:sz w:val="20"/>
                <w:szCs w:val="20"/>
              </w:rPr>
              <w:t xml:space="preserve">n </w:t>
            </w:r>
            <w:r>
              <w:rPr>
                <w:rFonts w:cs="Arial"/>
                <w:i/>
                <w:sz w:val="20"/>
                <w:szCs w:val="20"/>
              </w:rPr>
              <w:t>Macht und Herrschaft</w:t>
            </w:r>
            <w:r>
              <w:rPr>
                <w:rFonts w:cs="Arial"/>
                <w:sz w:val="20"/>
                <w:szCs w:val="20"/>
              </w:rPr>
              <w:t>, hrsg. von Peter Imbusch, 247-263. Wiesbaden: Springer VS.</w:t>
            </w:r>
            <w:r w:rsidRPr="00204BFA">
              <w:rPr>
                <w:rFonts w:cs="Arial"/>
                <w:sz w:val="20"/>
                <w:szCs w:val="20"/>
              </w:rPr>
              <w:t xml:space="preserve"> https://doi.org/10.1007/978-3-531-93469-3_12</w:t>
            </w:r>
          </w:p>
        </w:tc>
        <w:tc>
          <w:tcPr>
            <w:tcW w:w="9475" w:type="dxa"/>
            <w:gridSpan w:val="2"/>
            <w:shd w:val="clear" w:color="auto" w:fill="auto"/>
          </w:tcPr>
          <w:p w14:paraId="2345935B" w14:textId="77777777" w:rsidR="00027BA1" w:rsidRDefault="00027BA1" w:rsidP="007340C0">
            <w:pPr>
              <w:spacing w:line="240" w:lineRule="auto"/>
              <w:jc w:val="left"/>
              <w:rPr>
                <w:rFonts w:cs="Arial"/>
                <w:b/>
                <w:bCs/>
                <w:sz w:val="20"/>
                <w:szCs w:val="20"/>
              </w:rPr>
            </w:pPr>
            <w:r>
              <w:rPr>
                <w:rFonts w:cs="Arial"/>
                <w:sz w:val="20"/>
                <w:szCs w:val="20"/>
              </w:rPr>
              <w:t xml:space="preserve">(aus Einleitung): </w:t>
            </w:r>
            <w:r w:rsidRPr="00204BFA">
              <w:rPr>
                <w:rFonts w:cs="Arial"/>
                <w:sz w:val="20"/>
                <w:szCs w:val="20"/>
              </w:rPr>
              <w:t>Niklas Luhmann ist kein Machttheoretiker, der sich und sein Werk ausschließlich dem zugewandt hat, was als Macht kommuniziert wird. Sein Projekt ist die Herausarbeitung einer soziologischen Systemtheorie, die für sich selbst Universalität reklamiert in dem Sinne, „</w:t>
            </w:r>
            <w:proofErr w:type="spellStart"/>
            <w:r w:rsidRPr="00204BFA">
              <w:rPr>
                <w:rFonts w:cs="Arial"/>
                <w:sz w:val="20"/>
                <w:szCs w:val="20"/>
              </w:rPr>
              <w:t>daß</w:t>
            </w:r>
            <w:proofErr w:type="spellEnd"/>
            <w:r w:rsidRPr="00204BFA">
              <w:rPr>
                <w:rFonts w:cs="Arial"/>
                <w:sz w:val="20"/>
                <w:szCs w:val="20"/>
              </w:rPr>
              <w:t xml:space="preserve"> sie als soziologische Theorie alles Soziale behandelt.“ (Luhmann 1984: 9) Macht ist deshalb auch kein </w:t>
            </w:r>
            <w:proofErr w:type="spellStart"/>
            <w:r w:rsidRPr="00204BFA">
              <w:rPr>
                <w:rFonts w:cs="Arial"/>
                <w:sz w:val="20"/>
                <w:szCs w:val="20"/>
              </w:rPr>
              <w:t>terminus</w:t>
            </w:r>
            <w:proofErr w:type="spellEnd"/>
            <w:r w:rsidRPr="00204BFA">
              <w:rPr>
                <w:rFonts w:cs="Arial"/>
                <w:sz w:val="20"/>
                <w:szCs w:val="20"/>
              </w:rPr>
              <w:t xml:space="preserve"> technicus wie System oder Umwelt, sondern als soziales Phänomen vielmehr Gegenstand der Theorie. Macht bedeutet Luhmann darum nicht mehr als alles andere Soziale, aber auch nicht weniger.</w:t>
            </w:r>
          </w:p>
        </w:tc>
      </w:tr>
      <w:tr w:rsidR="00027BA1" w:rsidRPr="00204BFA" w14:paraId="2A5EADE6" w14:textId="77777777" w:rsidTr="00AF5792">
        <w:trPr>
          <w:trHeight w:val="372"/>
        </w:trPr>
        <w:tc>
          <w:tcPr>
            <w:tcW w:w="1094" w:type="dxa"/>
            <w:shd w:val="clear" w:color="auto" w:fill="DEEAF6" w:themeFill="accent5" w:themeFillTint="33"/>
          </w:tcPr>
          <w:p w14:paraId="1C66B6DC" w14:textId="77777777" w:rsidR="00027BA1" w:rsidRDefault="00027BA1" w:rsidP="007340C0">
            <w:pPr>
              <w:spacing w:line="240" w:lineRule="auto"/>
              <w:jc w:val="left"/>
              <w:rPr>
                <w:rFonts w:cs="Arial"/>
                <w:b/>
                <w:bCs/>
                <w:sz w:val="20"/>
                <w:szCs w:val="20"/>
              </w:rPr>
            </w:pPr>
          </w:p>
        </w:tc>
        <w:tc>
          <w:tcPr>
            <w:tcW w:w="3997" w:type="dxa"/>
            <w:gridSpan w:val="2"/>
            <w:shd w:val="clear" w:color="auto" w:fill="auto"/>
          </w:tcPr>
          <w:p w14:paraId="2B81E798" w14:textId="77777777" w:rsidR="00027BA1" w:rsidRDefault="00027BA1" w:rsidP="007340C0">
            <w:pPr>
              <w:spacing w:line="240" w:lineRule="auto"/>
              <w:jc w:val="left"/>
              <w:rPr>
                <w:rFonts w:cs="Arial"/>
                <w:b/>
                <w:bCs/>
                <w:sz w:val="20"/>
                <w:szCs w:val="20"/>
              </w:rPr>
            </w:pPr>
            <w:r w:rsidRPr="00204BFA">
              <w:rPr>
                <w:rFonts w:cs="Arial"/>
                <w:sz w:val="20"/>
                <w:szCs w:val="20"/>
              </w:rPr>
              <w:t>Giddens, A</w:t>
            </w:r>
            <w:r>
              <w:rPr>
                <w:rFonts w:cs="Arial"/>
                <w:sz w:val="20"/>
                <w:szCs w:val="20"/>
              </w:rPr>
              <w:t>nthony</w:t>
            </w:r>
            <w:r w:rsidRPr="00204BFA">
              <w:rPr>
                <w:rFonts w:cs="Arial"/>
                <w:sz w:val="20"/>
                <w:szCs w:val="20"/>
              </w:rPr>
              <w:t>. 2012. ‘Macht’ in den Schriften von Talcott Parsons. I</w:t>
            </w:r>
            <w:r>
              <w:rPr>
                <w:rFonts w:cs="Arial"/>
                <w:sz w:val="20"/>
                <w:szCs w:val="20"/>
              </w:rPr>
              <w:t xml:space="preserve">n </w:t>
            </w:r>
            <w:r>
              <w:rPr>
                <w:rFonts w:cs="Arial"/>
                <w:i/>
                <w:sz w:val="20"/>
                <w:szCs w:val="20"/>
              </w:rPr>
              <w:t>Macht und Herrschaft</w:t>
            </w:r>
            <w:r>
              <w:rPr>
                <w:rFonts w:cs="Arial"/>
                <w:sz w:val="20"/>
                <w:szCs w:val="20"/>
              </w:rPr>
              <w:t>, hrsg. von Peter Imbusch, 151-168. Wiesbaden: Springer VS.</w:t>
            </w:r>
            <w:r w:rsidRPr="00204BFA">
              <w:rPr>
                <w:rFonts w:cs="Arial"/>
                <w:sz w:val="20"/>
                <w:szCs w:val="20"/>
              </w:rPr>
              <w:t xml:space="preserve"> https://doi.org/10.1007/978-3-531-93469-3_8</w:t>
            </w:r>
          </w:p>
        </w:tc>
        <w:tc>
          <w:tcPr>
            <w:tcW w:w="9475" w:type="dxa"/>
            <w:gridSpan w:val="2"/>
            <w:shd w:val="clear" w:color="auto" w:fill="auto"/>
          </w:tcPr>
          <w:p w14:paraId="319E8B9C" w14:textId="77777777" w:rsidR="00027BA1" w:rsidRDefault="00027BA1" w:rsidP="007340C0">
            <w:pPr>
              <w:spacing w:line="240" w:lineRule="auto"/>
              <w:jc w:val="left"/>
              <w:rPr>
                <w:rFonts w:cs="Arial"/>
                <w:b/>
                <w:bCs/>
                <w:sz w:val="20"/>
                <w:szCs w:val="20"/>
              </w:rPr>
            </w:pPr>
            <w:r w:rsidRPr="00204BFA">
              <w:rPr>
                <w:rFonts w:cs="Arial"/>
                <w:sz w:val="20"/>
                <w:szCs w:val="20"/>
              </w:rPr>
              <w:t>Talcott Parsons wurde oft vorgeworfen, er habe die Themen ‘Konflikt’ und ‘Macht’ in seinen Arbeiten vernachlässigt. Dennoch widmete er eine Reihe späterer Schriften diesem Thema und lieferte sogar bedeutende Beiträge.</w:t>
            </w:r>
          </w:p>
        </w:tc>
      </w:tr>
      <w:tr w:rsidR="00027BA1" w:rsidRPr="00204BFA" w14:paraId="0ACB1175" w14:textId="77777777" w:rsidTr="00AF5792">
        <w:trPr>
          <w:trHeight w:val="372"/>
        </w:trPr>
        <w:tc>
          <w:tcPr>
            <w:tcW w:w="1094" w:type="dxa"/>
            <w:shd w:val="clear" w:color="auto" w:fill="DEEAF6" w:themeFill="accent5" w:themeFillTint="33"/>
          </w:tcPr>
          <w:p w14:paraId="0D421C50" w14:textId="77777777" w:rsidR="00027BA1" w:rsidRDefault="00027BA1" w:rsidP="007340C0">
            <w:pPr>
              <w:spacing w:line="240" w:lineRule="auto"/>
              <w:jc w:val="left"/>
              <w:rPr>
                <w:rFonts w:cs="Arial"/>
                <w:b/>
                <w:bCs/>
                <w:sz w:val="20"/>
                <w:szCs w:val="20"/>
              </w:rPr>
            </w:pPr>
          </w:p>
        </w:tc>
        <w:tc>
          <w:tcPr>
            <w:tcW w:w="3997" w:type="dxa"/>
            <w:gridSpan w:val="2"/>
            <w:shd w:val="clear" w:color="auto" w:fill="auto"/>
          </w:tcPr>
          <w:p w14:paraId="3C44CEAD" w14:textId="77777777" w:rsidR="00027BA1" w:rsidRDefault="00027BA1" w:rsidP="007340C0">
            <w:pPr>
              <w:spacing w:line="240" w:lineRule="auto"/>
              <w:jc w:val="left"/>
              <w:rPr>
                <w:rFonts w:cs="Arial"/>
                <w:b/>
                <w:bCs/>
                <w:sz w:val="20"/>
                <w:szCs w:val="20"/>
              </w:rPr>
            </w:pPr>
            <w:commentRangeStart w:id="10"/>
            <w:proofErr w:type="spellStart"/>
            <w:r w:rsidRPr="00B62126">
              <w:rPr>
                <w:rFonts w:cs="Arial"/>
                <w:sz w:val="20"/>
                <w:szCs w:val="20"/>
                <w:highlight w:val="green"/>
              </w:rPr>
              <w:t>Inhetveen</w:t>
            </w:r>
            <w:commentRangeEnd w:id="10"/>
            <w:proofErr w:type="spellEnd"/>
            <w:r>
              <w:rPr>
                <w:rStyle w:val="Kommentarzeichen"/>
              </w:rPr>
              <w:commentReference w:id="10"/>
            </w:r>
            <w:r w:rsidRPr="001806ED">
              <w:rPr>
                <w:rFonts w:cs="Arial"/>
                <w:sz w:val="20"/>
                <w:szCs w:val="20"/>
                <w:highlight w:val="green"/>
              </w:rPr>
              <w:t>, Katharina</w:t>
            </w:r>
            <w:r w:rsidRPr="00204BFA">
              <w:rPr>
                <w:rFonts w:cs="Arial"/>
                <w:sz w:val="20"/>
                <w:szCs w:val="20"/>
              </w:rPr>
              <w:t>. 2008. Macht. I</w:t>
            </w:r>
            <w:r>
              <w:rPr>
                <w:rFonts w:cs="Arial"/>
                <w:sz w:val="20"/>
                <w:szCs w:val="20"/>
              </w:rPr>
              <w:t>n</w:t>
            </w:r>
            <w:r w:rsidRPr="00204BFA">
              <w:rPr>
                <w:rFonts w:cs="Arial"/>
                <w:sz w:val="20"/>
                <w:szCs w:val="20"/>
              </w:rPr>
              <w:t xml:space="preserve"> </w:t>
            </w:r>
            <w:r w:rsidRPr="00AF1C5A">
              <w:rPr>
                <w:rFonts w:cs="Arial"/>
                <w:i/>
                <w:iCs/>
                <w:sz w:val="20"/>
                <w:szCs w:val="20"/>
              </w:rPr>
              <w:t>Handbuch Soziologie. VS Verlag für Sozialwissenschaften</w:t>
            </w:r>
            <w:r>
              <w:rPr>
                <w:rFonts w:cs="Arial"/>
                <w:sz w:val="20"/>
                <w:szCs w:val="20"/>
              </w:rPr>
              <w:t>, hrsg. von Nina</w:t>
            </w:r>
            <w:r w:rsidRPr="00204BFA">
              <w:rPr>
                <w:rFonts w:cs="Arial"/>
                <w:sz w:val="20"/>
                <w:szCs w:val="20"/>
              </w:rPr>
              <w:t xml:space="preserve"> Baur,</w:t>
            </w:r>
            <w:r>
              <w:rPr>
                <w:rFonts w:cs="Arial"/>
                <w:sz w:val="20"/>
                <w:szCs w:val="20"/>
              </w:rPr>
              <w:t xml:space="preserve"> Hermann </w:t>
            </w:r>
            <w:r w:rsidRPr="00204BFA">
              <w:rPr>
                <w:rFonts w:cs="Arial"/>
                <w:sz w:val="20"/>
                <w:szCs w:val="20"/>
              </w:rPr>
              <w:t xml:space="preserve">Korte, </w:t>
            </w:r>
            <w:r>
              <w:rPr>
                <w:rFonts w:cs="Arial"/>
                <w:sz w:val="20"/>
                <w:szCs w:val="20"/>
              </w:rPr>
              <w:t xml:space="preserve">Martina </w:t>
            </w:r>
            <w:r w:rsidRPr="00204BFA">
              <w:rPr>
                <w:rFonts w:cs="Arial"/>
                <w:sz w:val="20"/>
                <w:szCs w:val="20"/>
              </w:rPr>
              <w:t>Löw</w:t>
            </w:r>
            <w:r>
              <w:rPr>
                <w:rFonts w:cs="Arial"/>
                <w:sz w:val="20"/>
                <w:szCs w:val="20"/>
              </w:rPr>
              <w:t xml:space="preserve"> und Markus </w:t>
            </w:r>
            <w:r w:rsidRPr="00204BFA">
              <w:rPr>
                <w:rFonts w:cs="Arial"/>
                <w:sz w:val="20"/>
                <w:szCs w:val="20"/>
              </w:rPr>
              <w:t>Schroer</w:t>
            </w:r>
            <w:r>
              <w:rPr>
                <w:rFonts w:cs="Arial"/>
                <w:sz w:val="20"/>
                <w:szCs w:val="20"/>
              </w:rPr>
              <w:t xml:space="preserve">, </w:t>
            </w:r>
            <w:r w:rsidRPr="00AF1C5A">
              <w:rPr>
                <w:rFonts w:cs="Arial"/>
                <w:sz w:val="20"/>
                <w:szCs w:val="20"/>
              </w:rPr>
              <w:t>253–272</w:t>
            </w:r>
            <w:r>
              <w:rPr>
                <w:rFonts w:cs="Arial"/>
                <w:sz w:val="20"/>
                <w:szCs w:val="20"/>
              </w:rPr>
              <w:t xml:space="preserve">. Wiesbaden: Springer VS. </w:t>
            </w:r>
            <w:r w:rsidRPr="00204BFA">
              <w:rPr>
                <w:rFonts w:cs="Arial"/>
                <w:sz w:val="20"/>
                <w:szCs w:val="20"/>
              </w:rPr>
              <w:t>https://doi.org/10.1007/978-3-531-91974-4_13</w:t>
            </w:r>
          </w:p>
        </w:tc>
        <w:tc>
          <w:tcPr>
            <w:tcW w:w="9475" w:type="dxa"/>
            <w:gridSpan w:val="2"/>
            <w:shd w:val="clear" w:color="auto" w:fill="auto"/>
          </w:tcPr>
          <w:p w14:paraId="36B9A3BB" w14:textId="77777777" w:rsidR="00027BA1" w:rsidRDefault="00027BA1" w:rsidP="007340C0">
            <w:pPr>
              <w:spacing w:line="240" w:lineRule="auto"/>
              <w:jc w:val="left"/>
              <w:rPr>
                <w:rFonts w:cs="Arial"/>
                <w:b/>
                <w:bCs/>
                <w:sz w:val="20"/>
                <w:szCs w:val="20"/>
              </w:rPr>
            </w:pPr>
            <w:r w:rsidRPr="00204BFA">
              <w:rPr>
                <w:rFonts w:cs="Arial"/>
                <w:sz w:val="20"/>
                <w:szCs w:val="20"/>
              </w:rPr>
              <w:t>„Macht“ gehört zu den zentralen Begriffen der Soziologie. So unterschiedlich die theoretischen Richtungen der Disziplin sind, sie beinhalten fast ausnahmslos Konzepte von Macht – und diese sind so verschieden wie die Theorien, denen sie entstammen. Von dem Machtbegriff der Soziologie lässt sich daher nicht sprechen.</w:t>
            </w:r>
          </w:p>
        </w:tc>
      </w:tr>
      <w:tr w:rsidR="00027BA1" w:rsidRPr="00204BFA" w14:paraId="1B6FD526" w14:textId="77777777" w:rsidTr="00AF5792">
        <w:trPr>
          <w:trHeight w:val="372"/>
        </w:trPr>
        <w:tc>
          <w:tcPr>
            <w:tcW w:w="1094" w:type="dxa"/>
            <w:shd w:val="clear" w:color="auto" w:fill="DEEAF6" w:themeFill="accent5" w:themeFillTint="33"/>
          </w:tcPr>
          <w:p w14:paraId="2B6964C9" w14:textId="77777777" w:rsidR="00027BA1" w:rsidRPr="00FA04F8" w:rsidRDefault="00027BA1" w:rsidP="007340C0">
            <w:pPr>
              <w:spacing w:line="240" w:lineRule="auto"/>
              <w:jc w:val="left"/>
              <w:rPr>
                <w:rFonts w:cs="Arial"/>
                <w:b/>
                <w:bCs/>
                <w:sz w:val="20"/>
                <w:szCs w:val="20"/>
                <w:lang w:val="en-US"/>
              </w:rPr>
            </w:pPr>
          </w:p>
        </w:tc>
        <w:tc>
          <w:tcPr>
            <w:tcW w:w="3997" w:type="dxa"/>
            <w:gridSpan w:val="2"/>
            <w:shd w:val="clear" w:color="auto" w:fill="auto"/>
          </w:tcPr>
          <w:p w14:paraId="054C3E1A" w14:textId="77777777" w:rsidR="00027BA1" w:rsidRPr="00B62126" w:rsidRDefault="00027BA1" w:rsidP="007340C0">
            <w:pPr>
              <w:spacing w:line="240" w:lineRule="auto"/>
              <w:jc w:val="left"/>
              <w:rPr>
                <w:rFonts w:cs="Arial"/>
                <w:sz w:val="20"/>
                <w:szCs w:val="20"/>
                <w:highlight w:val="green"/>
              </w:rPr>
            </w:pPr>
            <w:r w:rsidRPr="00204BFA">
              <w:rPr>
                <w:rFonts w:cs="Arial"/>
                <w:sz w:val="20"/>
                <w:szCs w:val="20"/>
              </w:rPr>
              <w:t>Kneer, G</w:t>
            </w:r>
            <w:r>
              <w:rPr>
                <w:rFonts w:cs="Arial"/>
                <w:sz w:val="20"/>
                <w:szCs w:val="20"/>
              </w:rPr>
              <w:t>eorg</w:t>
            </w:r>
            <w:r w:rsidRPr="00204BFA">
              <w:rPr>
                <w:rFonts w:cs="Arial"/>
                <w:sz w:val="20"/>
                <w:szCs w:val="20"/>
              </w:rPr>
              <w:t>. 2012. Die Analytik der Macht bei Michel Foucault. I</w:t>
            </w:r>
            <w:r>
              <w:rPr>
                <w:rFonts w:cs="Arial"/>
                <w:sz w:val="20"/>
                <w:szCs w:val="20"/>
              </w:rPr>
              <w:t xml:space="preserve">n </w:t>
            </w:r>
            <w:r>
              <w:rPr>
                <w:rFonts w:cs="Arial"/>
                <w:i/>
                <w:sz w:val="20"/>
                <w:szCs w:val="20"/>
              </w:rPr>
              <w:t>Macht und Herrschaft</w:t>
            </w:r>
            <w:r>
              <w:rPr>
                <w:rFonts w:cs="Arial"/>
                <w:sz w:val="20"/>
                <w:szCs w:val="20"/>
              </w:rPr>
              <w:t>, hrsg. von Peter Imbusch, 265-283. Wiesbaden: Springer VS.</w:t>
            </w:r>
            <w:r w:rsidRPr="00204BFA">
              <w:rPr>
                <w:rFonts w:cs="Arial"/>
                <w:sz w:val="20"/>
                <w:szCs w:val="20"/>
              </w:rPr>
              <w:t xml:space="preserve">  https://doi.org/10.1007/978-3-531-93469-3_13</w:t>
            </w:r>
          </w:p>
        </w:tc>
        <w:tc>
          <w:tcPr>
            <w:tcW w:w="9475" w:type="dxa"/>
            <w:gridSpan w:val="2"/>
            <w:shd w:val="clear" w:color="auto" w:fill="auto"/>
          </w:tcPr>
          <w:p w14:paraId="58F71F12" w14:textId="77777777" w:rsidR="00027BA1" w:rsidRPr="00204BFA" w:rsidRDefault="00027BA1" w:rsidP="007340C0">
            <w:pPr>
              <w:spacing w:line="240" w:lineRule="auto"/>
              <w:jc w:val="left"/>
              <w:rPr>
                <w:rFonts w:cs="Arial"/>
                <w:sz w:val="20"/>
                <w:szCs w:val="20"/>
              </w:rPr>
            </w:pPr>
            <w:r w:rsidRPr="00204BFA">
              <w:rPr>
                <w:rFonts w:cs="Arial"/>
                <w:sz w:val="20"/>
                <w:szCs w:val="20"/>
              </w:rPr>
              <w:t>Michel Foucault (1926-1984) gilt vielen als einer der wichtigsten Denker im Umkreis von ‘Poststrukturalismus’ und ‘Postmoderne’. Wie immer man sich auch im Einzelnen zu diesem Urteil stellt, richtig dürfte sein, dass Foucault selbst es kaum geteilt hätte. Dies u.a. deshalb nicht, weil er sich stets gegen vorschnelle Etikettierungen und eindeutige Zuordnungen, die ja immer auch mit beträchtlichen Vereinfachungen einhergehen, gewehrt hat.</w:t>
            </w:r>
          </w:p>
        </w:tc>
      </w:tr>
      <w:tr w:rsidR="00027BA1" w:rsidRPr="00204BFA" w14:paraId="360D6B4E" w14:textId="77777777" w:rsidTr="00AF5792">
        <w:trPr>
          <w:trHeight w:val="372"/>
        </w:trPr>
        <w:tc>
          <w:tcPr>
            <w:tcW w:w="1094" w:type="dxa"/>
            <w:shd w:val="clear" w:color="auto" w:fill="DEEAF6" w:themeFill="accent5" w:themeFillTint="33"/>
          </w:tcPr>
          <w:p w14:paraId="2C50E3F4" w14:textId="77777777" w:rsidR="00027BA1" w:rsidRPr="007340C0" w:rsidRDefault="00027BA1" w:rsidP="007340C0">
            <w:pPr>
              <w:spacing w:line="240" w:lineRule="auto"/>
              <w:jc w:val="left"/>
              <w:rPr>
                <w:rFonts w:cs="Arial"/>
                <w:b/>
                <w:bCs/>
                <w:sz w:val="20"/>
                <w:szCs w:val="20"/>
              </w:rPr>
            </w:pPr>
          </w:p>
        </w:tc>
        <w:tc>
          <w:tcPr>
            <w:tcW w:w="3997" w:type="dxa"/>
            <w:gridSpan w:val="2"/>
            <w:shd w:val="clear" w:color="auto" w:fill="auto"/>
          </w:tcPr>
          <w:p w14:paraId="3645D69E" w14:textId="77777777" w:rsidR="00027BA1" w:rsidRPr="00046C54" w:rsidRDefault="00027BA1" w:rsidP="007340C0">
            <w:pPr>
              <w:spacing w:line="240" w:lineRule="auto"/>
              <w:jc w:val="left"/>
              <w:rPr>
                <w:rFonts w:cs="Arial"/>
                <w:sz w:val="20"/>
                <w:szCs w:val="20"/>
              </w:rPr>
            </w:pPr>
            <w:r>
              <w:rPr>
                <w:rFonts w:cs="Arial"/>
                <w:sz w:val="20"/>
                <w:szCs w:val="20"/>
              </w:rPr>
              <w:t xml:space="preserve">Treiber, Hubert. 2021. </w:t>
            </w:r>
            <w:r w:rsidRPr="00A510AB">
              <w:rPr>
                <w:rFonts w:cs="Arial"/>
                <w:sz w:val="20"/>
                <w:szCs w:val="20"/>
              </w:rPr>
              <w:t>Macht – ein soziologischer Grundbegriff</w:t>
            </w:r>
            <w:r>
              <w:rPr>
                <w:rFonts w:cs="Arial"/>
                <w:sz w:val="20"/>
                <w:szCs w:val="20"/>
              </w:rPr>
              <w:t xml:space="preserve">.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046C54">
              <w:rPr>
                <w:rFonts w:cs="Arial"/>
                <w:sz w:val="20"/>
                <w:szCs w:val="20"/>
              </w:rPr>
              <w:t>91–106</w:t>
            </w:r>
            <w:r>
              <w:rPr>
                <w:rFonts w:cs="Arial"/>
                <w:sz w:val="20"/>
                <w:szCs w:val="20"/>
              </w:rPr>
              <w:t xml:space="preserve">. Wiesbaden: Springer VS. </w:t>
            </w:r>
          </w:p>
        </w:tc>
        <w:tc>
          <w:tcPr>
            <w:tcW w:w="9475" w:type="dxa"/>
            <w:gridSpan w:val="2"/>
            <w:shd w:val="clear" w:color="auto" w:fill="auto"/>
          </w:tcPr>
          <w:p w14:paraId="3047301C" w14:textId="77777777" w:rsidR="00027BA1" w:rsidRDefault="00027BA1" w:rsidP="007340C0">
            <w:pPr>
              <w:spacing w:line="240" w:lineRule="auto"/>
              <w:jc w:val="left"/>
              <w:rPr>
                <w:rFonts w:cs="Arial"/>
                <w:sz w:val="20"/>
                <w:szCs w:val="20"/>
              </w:rPr>
            </w:pPr>
            <w:r w:rsidRPr="00A510AB">
              <w:rPr>
                <w:rFonts w:cs="Arial"/>
                <w:sz w:val="20"/>
                <w:szCs w:val="20"/>
              </w:rPr>
              <w:t xml:space="preserve">Dieser Beitrag versucht dem „soziologisch amorph[en]“ Machtbegriff Max Webers dadurch Konturen zu verleihen, dass er an den von Heinrich Popitz konzipierten Machtbegriffen gespiegelt wird, um dann – hierin ebenfalls Popitz folgend – mithilfe seiner </w:t>
            </w:r>
            <w:proofErr w:type="spellStart"/>
            <w:r w:rsidRPr="00A510AB">
              <w:rPr>
                <w:rFonts w:cs="Arial"/>
                <w:sz w:val="20"/>
                <w:szCs w:val="20"/>
              </w:rPr>
              <w:t>Anthropologisierung</w:t>
            </w:r>
            <w:proofErr w:type="spellEnd"/>
            <w:r w:rsidRPr="00A510AB">
              <w:rPr>
                <w:rFonts w:cs="Arial"/>
                <w:sz w:val="20"/>
                <w:szCs w:val="20"/>
              </w:rPr>
              <w:t xml:space="preserve"> wichtige „Strukturmerkmale“ der Macht erfassen zu können.</w:t>
            </w:r>
          </w:p>
        </w:tc>
      </w:tr>
      <w:tr w:rsidR="00027BA1" w:rsidRPr="00204BFA" w14:paraId="320026DD" w14:textId="77777777" w:rsidTr="00AF5792">
        <w:trPr>
          <w:trHeight w:val="372"/>
        </w:trPr>
        <w:tc>
          <w:tcPr>
            <w:tcW w:w="1094" w:type="dxa"/>
            <w:shd w:val="clear" w:color="auto" w:fill="DEEAF6" w:themeFill="accent5" w:themeFillTint="33"/>
          </w:tcPr>
          <w:p w14:paraId="3BDA4D9A" w14:textId="77777777" w:rsidR="00027BA1" w:rsidRPr="007340C0" w:rsidRDefault="00027BA1" w:rsidP="007340C0">
            <w:pPr>
              <w:spacing w:line="240" w:lineRule="auto"/>
              <w:jc w:val="left"/>
              <w:rPr>
                <w:rFonts w:cs="Arial"/>
                <w:b/>
                <w:bCs/>
                <w:sz w:val="20"/>
                <w:szCs w:val="20"/>
              </w:rPr>
            </w:pPr>
          </w:p>
        </w:tc>
        <w:tc>
          <w:tcPr>
            <w:tcW w:w="3997" w:type="dxa"/>
            <w:gridSpan w:val="2"/>
            <w:shd w:val="clear" w:color="auto" w:fill="auto"/>
          </w:tcPr>
          <w:p w14:paraId="40DFE49D" w14:textId="77777777" w:rsidR="00027BA1" w:rsidRPr="00B62126" w:rsidRDefault="00027BA1" w:rsidP="007340C0">
            <w:pPr>
              <w:spacing w:line="240" w:lineRule="auto"/>
              <w:jc w:val="left"/>
              <w:rPr>
                <w:rFonts w:cs="Arial"/>
                <w:sz w:val="20"/>
                <w:szCs w:val="20"/>
                <w:highlight w:val="green"/>
              </w:rPr>
            </w:pPr>
            <w:proofErr w:type="spellStart"/>
            <w:r w:rsidRPr="009F64FD">
              <w:rPr>
                <w:rFonts w:cs="Arial"/>
                <w:sz w:val="20"/>
                <w:szCs w:val="20"/>
              </w:rPr>
              <w:t>Zwengel</w:t>
            </w:r>
            <w:proofErr w:type="spellEnd"/>
            <w:r w:rsidRPr="009F64FD">
              <w:rPr>
                <w:rFonts w:cs="Arial"/>
                <w:sz w:val="20"/>
                <w:szCs w:val="20"/>
              </w:rPr>
              <w:t>, Almut. 2012. Goffman und die Macht – Chancen zur Thematisierung des Nichtthematisierten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285-301. Wiesbaden: Springer VS. </w:t>
            </w:r>
            <w:r w:rsidRPr="00B15179">
              <w:rPr>
                <w:rFonts w:cs="Arial"/>
                <w:sz w:val="20"/>
                <w:szCs w:val="20"/>
              </w:rPr>
              <w:t>DOI 10.1007/978-3-531-93469-3_14</w:t>
            </w:r>
            <w:r>
              <w:rPr>
                <w:rFonts w:cs="Arial"/>
                <w:sz w:val="20"/>
                <w:szCs w:val="20"/>
              </w:rPr>
              <w:t xml:space="preserve"> </w:t>
            </w:r>
          </w:p>
        </w:tc>
        <w:tc>
          <w:tcPr>
            <w:tcW w:w="9475" w:type="dxa"/>
            <w:gridSpan w:val="2"/>
            <w:shd w:val="clear" w:color="auto" w:fill="auto"/>
          </w:tcPr>
          <w:p w14:paraId="68522271" w14:textId="77777777" w:rsidR="00027BA1" w:rsidRPr="00204BFA" w:rsidRDefault="00027BA1" w:rsidP="007340C0">
            <w:pPr>
              <w:spacing w:line="240" w:lineRule="auto"/>
              <w:jc w:val="left"/>
              <w:rPr>
                <w:rFonts w:cs="Arial"/>
                <w:sz w:val="20"/>
                <w:szCs w:val="20"/>
              </w:rPr>
            </w:pPr>
            <w:r>
              <w:rPr>
                <w:rFonts w:cs="Arial"/>
                <w:sz w:val="20"/>
                <w:szCs w:val="20"/>
              </w:rPr>
              <w:t xml:space="preserve">(aus Einleitung): </w:t>
            </w:r>
            <w:r w:rsidRPr="00B15179">
              <w:rPr>
                <w:rFonts w:cs="Arial"/>
                <w:sz w:val="20"/>
                <w:szCs w:val="20"/>
              </w:rPr>
              <w:t>Die Untersuchung von Macht bei Erving Goffman kann beispielhaft als Auseinandersetzung mit Macht durch Vertreter des symbolischen Interaktionismus gelten. Dabei stellt sich allerdings die Frage, ob Goffman überhaupt zum symbolischen Interaktionismus zu zählen ist (vgl. Lenz 1991: 82-88; Douglas 1980: 16; Helle 2001: 6). Goffman selbst hat sich gegenüber einer Zuordnung zum symbolischen Interaktionismus distanziert verhalten. So heißt es in einem 1980 mit Verhoeven (2000) geführten Interview, er lehne die Bezeichnung eher ab. Als Selbstzuordnung nennt er „</w:t>
            </w:r>
            <w:proofErr w:type="spellStart"/>
            <w:r w:rsidRPr="00B15179">
              <w:rPr>
                <w:rFonts w:cs="Arial"/>
                <w:sz w:val="20"/>
                <w:szCs w:val="20"/>
              </w:rPr>
              <w:t>sociologist</w:t>
            </w:r>
            <w:proofErr w:type="spellEnd"/>
            <w:r w:rsidRPr="00B15179">
              <w:rPr>
                <w:rFonts w:cs="Arial"/>
                <w:sz w:val="20"/>
                <w:szCs w:val="20"/>
              </w:rPr>
              <w:t xml:space="preserve"> </w:t>
            </w:r>
            <w:proofErr w:type="spellStart"/>
            <w:r w:rsidRPr="00B15179">
              <w:rPr>
                <w:rFonts w:cs="Arial"/>
                <w:sz w:val="20"/>
                <w:szCs w:val="20"/>
              </w:rPr>
              <w:t>of</w:t>
            </w:r>
            <w:proofErr w:type="spellEnd"/>
            <w:r w:rsidRPr="00B15179">
              <w:rPr>
                <w:rFonts w:cs="Arial"/>
                <w:sz w:val="20"/>
                <w:szCs w:val="20"/>
              </w:rPr>
              <w:t xml:space="preserve"> </w:t>
            </w:r>
            <w:proofErr w:type="spellStart"/>
            <w:r w:rsidRPr="00B15179">
              <w:rPr>
                <w:rFonts w:cs="Arial"/>
                <w:sz w:val="20"/>
                <w:szCs w:val="20"/>
              </w:rPr>
              <w:t>small</w:t>
            </w:r>
            <w:proofErr w:type="spellEnd"/>
            <w:r w:rsidRPr="00B15179">
              <w:rPr>
                <w:rFonts w:cs="Arial"/>
                <w:sz w:val="20"/>
                <w:szCs w:val="20"/>
              </w:rPr>
              <w:t xml:space="preserve"> </w:t>
            </w:r>
            <w:proofErr w:type="spellStart"/>
            <w:r w:rsidRPr="00B15179">
              <w:rPr>
                <w:rFonts w:cs="Arial"/>
                <w:sz w:val="20"/>
                <w:szCs w:val="20"/>
              </w:rPr>
              <w:t>scale</w:t>
            </w:r>
            <w:proofErr w:type="spellEnd"/>
            <w:r w:rsidRPr="00B15179">
              <w:rPr>
                <w:rFonts w:cs="Arial"/>
                <w:sz w:val="20"/>
                <w:szCs w:val="20"/>
              </w:rPr>
              <w:t xml:space="preserve"> </w:t>
            </w:r>
            <w:proofErr w:type="spellStart"/>
            <w:r w:rsidRPr="00B15179">
              <w:rPr>
                <w:rFonts w:cs="Arial"/>
                <w:sz w:val="20"/>
                <w:szCs w:val="20"/>
              </w:rPr>
              <w:t>entities</w:t>
            </w:r>
            <w:proofErr w:type="spellEnd"/>
            <w:r w:rsidRPr="00B15179">
              <w:rPr>
                <w:rFonts w:cs="Arial"/>
                <w:sz w:val="20"/>
                <w:szCs w:val="20"/>
              </w:rPr>
              <w:t xml:space="preserve"> … </w:t>
            </w:r>
            <w:proofErr w:type="spellStart"/>
            <w:r w:rsidRPr="00B15179">
              <w:rPr>
                <w:rFonts w:cs="Arial"/>
                <w:sz w:val="20"/>
                <w:szCs w:val="20"/>
              </w:rPr>
              <w:t>with</w:t>
            </w:r>
            <w:proofErr w:type="spellEnd"/>
            <w:r w:rsidRPr="00B15179">
              <w:rPr>
                <w:rFonts w:cs="Arial"/>
                <w:sz w:val="20"/>
                <w:szCs w:val="20"/>
              </w:rPr>
              <w:t xml:space="preserve"> a </w:t>
            </w:r>
            <w:proofErr w:type="spellStart"/>
            <w:r w:rsidRPr="00B15179">
              <w:rPr>
                <w:rFonts w:cs="Arial"/>
                <w:sz w:val="20"/>
                <w:szCs w:val="20"/>
              </w:rPr>
              <w:t>Hughesian</w:t>
            </w:r>
            <w:proofErr w:type="spellEnd"/>
            <w:r w:rsidRPr="00B15179">
              <w:rPr>
                <w:rFonts w:cs="Arial"/>
                <w:sz w:val="20"/>
                <w:szCs w:val="20"/>
              </w:rPr>
              <w:t xml:space="preserve">, qualitative, </w:t>
            </w:r>
            <w:proofErr w:type="spellStart"/>
            <w:r w:rsidRPr="00B15179">
              <w:rPr>
                <w:rFonts w:cs="Arial"/>
                <w:sz w:val="20"/>
                <w:szCs w:val="20"/>
              </w:rPr>
              <w:t>ethnographic</w:t>
            </w:r>
            <w:proofErr w:type="spellEnd"/>
            <w:r w:rsidRPr="00B15179">
              <w:rPr>
                <w:rFonts w:cs="Arial"/>
                <w:sz w:val="20"/>
                <w:szCs w:val="20"/>
              </w:rPr>
              <w:t xml:space="preserve"> </w:t>
            </w:r>
            <w:proofErr w:type="spellStart"/>
            <w:r w:rsidRPr="00B15179">
              <w:rPr>
                <w:rFonts w:cs="Arial"/>
                <w:sz w:val="20"/>
                <w:szCs w:val="20"/>
              </w:rPr>
              <w:t>perspective</w:t>
            </w:r>
            <w:proofErr w:type="spellEnd"/>
            <w:r w:rsidRPr="00B15179">
              <w:rPr>
                <w:rFonts w:cs="Arial"/>
                <w:sz w:val="20"/>
                <w:szCs w:val="20"/>
              </w:rPr>
              <w:t xml:space="preserve">“ (Verhoeven 2000: 214) und nimmt für sich – neben der im Spätwerk berücksichtigten Soziolinguistik – „a </w:t>
            </w:r>
            <w:proofErr w:type="spellStart"/>
            <w:r w:rsidRPr="00B15179">
              <w:rPr>
                <w:rFonts w:cs="Arial"/>
                <w:sz w:val="20"/>
                <w:szCs w:val="20"/>
              </w:rPr>
              <w:t>version</w:t>
            </w:r>
            <w:proofErr w:type="spellEnd"/>
            <w:r w:rsidRPr="00B15179">
              <w:rPr>
                <w:rFonts w:cs="Arial"/>
                <w:sz w:val="20"/>
                <w:szCs w:val="20"/>
              </w:rPr>
              <w:t xml:space="preserve"> </w:t>
            </w:r>
            <w:proofErr w:type="spellStart"/>
            <w:r w:rsidRPr="00B15179">
              <w:rPr>
                <w:rFonts w:cs="Arial"/>
                <w:sz w:val="20"/>
                <w:szCs w:val="20"/>
              </w:rPr>
              <w:t>of</w:t>
            </w:r>
            <w:proofErr w:type="spellEnd"/>
            <w:r w:rsidRPr="00B15179">
              <w:rPr>
                <w:rFonts w:cs="Arial"/>
                <w:sz w:val="20"/>
                <w:szCs w:val="20"/>
              </w:rPr>
              <w:t xml:space="preserve"> Urban </w:t>
            </w:r>
            <w:proofErr w:type="spellStart"/>
            <w:r w:rsidRPr="00B15179">
              <w:rPr>
                <w:rFonts w:cs="Arial"/>
                <w:sz w:val="20"/>
                <w:szCs w:val="20"/>
              </w:rPr>
              <w:t>Ethnography</w:t>
            </w:r>
            <w:proofErr w:type="spellEnd"/>
            <w:r w:rsidRPr="00B15179">
              <w:rPr>
                <w:rFonts w:cs="Arial"/>
                <w:sz w:val="20"/>
                <w:szCs w:val="20"/>
              </w:rPr>
              <w:t xml:space="preserve"> </w:t>
            </w:r>
            <w:proofErr w:type="spellStart"/>
            <w:r w:rsidRPr="00B15179">
              <w:rPr>
                <w:rFonts w:cs="Arial"/>
                <w:sz w:val="20"/>
                <w:szCs w:val="20"/>
              </w:rPr>
              <w:t>with</w:t>
            </w:r>
            <w:proofErr w:type="spellEnd"/>
            <w:r w:rsidRPr="00B15179">
              <w:rPr>
                <w:rFonts w:cs="Arial"/>
                <w:sz w:val="20"/>
                <w:szCs w:val="20"/>
              </w:rPr>
              <w:t xml:space="preserve"> </w:t>
            </w:r>
            <w:proofErr w:type="spellStart"/>
            <w:r w:rsidRPr="00B15179">
              <w:rPr>
                <w:rFonts w:cs="Arial"/>
                <w:sz w:val="20"/>
                <w:szCs w:val="20"/>
              </w:rPr>
              <w:t>Meadian</w:t>
            </w:r>
            <w:proofErr w:type="spellEnd"/>
            <w:r w:rsidRPr="00B15179">
              <w:rPr>
                <w:rFonts w:cs="Arial"/>
                <w:sz w:val="20"/>
                <w:szCs w:val="20"/>
              </w:rPr>
              <w:t xml:space="preserve"> </w:t>
            </w:r>
            <w:proofErr w:type="spellStart"/>
            <w:r w:rsidRPr="00B15179">
              <w:rPr>
                <w:rFonts w:cs="Arial"/>
                <w:sz w:val="20"/>
                <w:szCs w:val="20"/>
              </w:rPr>
              <w:t>Social</w:t>
            </w:r>
            <w:proofErr w:type="spellEnd"/>
            <w:r w:rsidRPr="00B15179">
              <w:rPr>
                <w:rFonts w:cs="Arial"/>
                <w:sz w:val="20"/>
                <w:szCs w:val="20"/>
              </w:rPr>
              <w:t xml:space="preserve"> </w:t>
            </w:r>
            <w:proofErr w:type="spellStart"/>
            <w:r w:rsidRPr="00B15179">
              <w:rPr>
                <w:rFonts w:cs="Arial"/>
                <w:sz w:val="20"/>
                <w:szCs w:val="20"/>
              </w:rPr>
              <w:t>Psychology</w:t>
            </w:r>
            <w:proofErr w:type="spellEnd"/>
            <w:r w:rsidRPr="00B15179">
              <w:rPr>
                <w:rFonts w:cs="Arial"/>
                <w:sz w:val="20"/>
                <w:szCs w:val="20"/>
              </w:rPr>
              <w:t>“ (ebd.: 213) in Anspruch. Er lässt sich so in der Chicagoer Schule verorten. Im Hinblick auf die Frage nach der Zu-ordnung zum symbolischen Interaktionismus scheint mir die Lösung sinnvoll zu sein, dass Goffmans Ansatz aus diesem hervorgegangen ist (Fontana 1980: 16).</w:t>
            </w:r>
          </w:p>
        </w:tc>
      </w:tr>
      <w:tr w:rsidR="00BB55FA" w:rsidRPr="00204BFA" w14:paraId="2D4ACE2F" w14:textId="77777777" w:rsidTr="00AF5792">
        <w:trPr>
          <w:trHeight w:val="372"/>
        </w:trPr>
        <w:tc>
          <w:tcPr>
            <w:tcW w:w="1094" w:type="dxa"/>
            <w:shd w:val="clear" w:color="auto" w:fill="DEEAF6" w:themeFill="accent5" w:themeFillTint="33"/>
          </w:tcPr>
          <w:p w14:paraId="7BD05C06" w14:textId="77777777" w:rsidR="00BB55FA" w:rsidRPr="007340C0" w:rsidRDefault="00BB55FA" w:rsidP="007340C0">
            <w:pPr>
              <w:spacing w:line="240" w:lineRule="auto"/>
              <w:jc w:val="left"/>
              <w:rPr>
                <w:rFonts w:cs="Arial"/>
                <w:b/>
                <w:bCs/>
                <w:sz w:val="20"/>
                <w:szCs w:val="20"/>
              </w:rPr>
            </w:pPr>
          </w:p>
        </w:tc>
        <w:tc>
          <w:tcPr>
            <w:tcW w:w="3997" w:type="dxa"/>
            <w:gridSpan w:val="2"/>
            <w:shd w:val="clear" w:color="auto" w:fill="auto"/>
          </w:tcPr>
          <w:p w14:paraId="0367419A" w14:textId="77777777" w:rsidR="00BB55FA" w:rsidRPr="009F64FD" w:rsidRDefault="00BB55FA" w:rsidP="007340C0">
            <w:pPr>
              <w:spacing w:line="240" w:lineRule="auto"/>
              <w:jc w:val="left"/>
              <w:rPr>
                <w:rFonts w:cs="Arial"/>
                <w:sz w:val="20"/>
                <w:szCs w:val="20"/>
              </w:rPr>
            </w:pPr>
          </w:p>
        </w:tc>
        <w:tc>
          <w:tcPr>
            <w:tcW w:w="9475" w:type="dxa"/>
            <w:gridSpan w:val="2"/>
            <w:shd w:val="clear" w:color="auto" w:fill="auto"/>
          </w:tcPr>
          <w:p w14:paraId="2B4C6852" w14:textId="77777777" w:rsidR="00BB55FA" w:rsidRDefault="00BB55FA" w:rsidP="007340C0">
            <w:pPr>
              <w:spacing w:line="240" w:lineRule="auto"/>
              <w:jc w:val="left"/>
              <w:rPr>
                <w:rFonts w:cs="Arial"/>
                <w:sz w:val="20"/>
                <w:szCs w:val="20"/>
              </w:rPr>
            </w:pPr>
          </w:p>
        </w:tc>
      </w:tr>
      <w:tr w:rsidR="007340C0" w:rsidRPr="00204BFA" w14:paraId="068D0550" w14:textId="77777777" w:rsidTr="00AF5792">
        <w:trPr>
          <w:trHeight w:val="372"/>
        </w:trPr>
        <w:tc>
          <w:tcPr>
            <w:tcW w:w="14566" w:type="dxa"/>
            <w:gridSpan w:val="5"/>
            <w:shd w:val="clear" w:color="auto" w:fill="BDD6EE" w:themeFill="accent5" w:themeFillTint="66"/>
          </w:tcPr>
          <w:p w14:paraId="004F8AD0" w14:textId="0D86BEE7" w:rsidR="007340C0" w:rsidRDefault="007340C0" w:rsidP="007340C0">
            <w:pPr>
              <w:spacing w:line="240" w:lineRule="auto"/>
              <w:jc w:val="left"/>
              <w:rPr>
                <w:rFonts w:cs="Arial"/>
                <w:b/>
                <w:bCs/>
                <w:sz w:val="20"/>
                <w:szCs w:val="20"/>
              </w:rPr>
            </w:pPr>
            <w:r>
              <w:rPr>
                <w:rFonts w:cs="Arial"/>
                <w:b/>
                <w:bCs/>
                <w:sz w:val="20"/>
                <w:szCs w:val="20"/>
              </w:rPr>
              <w:t>Literatur/Debatten aus Feministischen Studien/Gender Studies</w:t>
            </w:r>
          </w:p>
        </w:tc>
      </w:tr>
      <w:tr w:rsidR="00DD067E" w:rsidRPr="00204BFA" w14:paraId="68DFFECD" w14:textId="77777777" w:rsidTr="00DD067E">
        <w:trPr>
          <w:trHeight w:val="1261"/>
        </w:trPr>
        <w:tc>
          <w:tcPr>
            <w:tcW w:w="1140" w:type="dxa"/>
            <w:gridSpan w:val="2"/>
            <w:shd w:val="clear" w:color="auto" w:fill="DEEAF6" w:themeFill="accent5" w:themeFillTint="33"/>
            <w:hideMark/>
          </w:tcPr>
          <w:p w14:paraId="330699D2" w14:textId="1B9AC004" w:rsidR="00DD067E" w:rsidRPr="00FA04F8" w:rsidRDefault="00DD067E" w:rsidP="006270BF">
            <w:pPr>
              <w:spacing w:line="240" w:lineRule="auto"/>
              <w:jc w:val="left"/>
              <w:rPr>
                <w:rFonts w:cs="Arial"/>
                <w:b/>
                <w:bCs/>
                <w:sz w:val="20"/>
                <w:szCs w:val="20"/>
              </w:rPr>
            </w:pPr>
            <w:r w:rsidRPr="00DD067E">
              <w:rPr>
                <w:rFonts w:cs="Arial"/>
                <w:b/>
                <w:bCs/>
                <w:sz w:val="20"/>
                <w:szCs w:val="20"/>
              </w:rPr>
              <w:t> </w:t>
            </w:r>
          </w:p>
        </w:tc>
        <w:tc>
          <w:tcPr>
            <w:tcW w:w="3968" w:type="dxa"/>
            <w:gridSpan w:val="2"/>
            <w:hideMark/>
          </w:tcPr>
          <w:p w14:paraId="1F47CBB5" w14:textId="77777777" w:rsidR="00DD067E" w:rsidRPr="00204BFA" w:rsidRDefault="00DD067E"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 xml:space="preserve">my. </w:t>
            </w:r>
            <w:r w:rsidRPr="00204BFA">
              <w:rPr>
                <w:rFonts w:cs="Arial"/>
                <w:sz w:val="20"/>
                <w:szCs w:val="20"/>
                <w:lang w:val="en-US"/>
              </w:rPr>
              <w:t xml:space="preserve">1998. Rethinking </w:t>
            </w:r>
            <w:r>
              <w:rPr>
                <w:rFonts w:cs="Arial"/>
                <w:sz w:val="20"/>
                <w:szCs w:val="20"/>
                <w:lang w:val="en-US"/>
              </w:rPr>
              <w:t>P</w:t>
            </w:r>
            <w:r w:rsidRPr="00204BFA">
              <w:rPr>
                <w:rFonts w:cs="Arial"/>
                <w:sz w:val="20"/>
                <w:szCs w:val="20"/>
                <w:lang w:val="en-US"/>
              </w:rPr>
              <w:t xml:space="preserve">ower. </w:t>
            </w:r>
            <w:r w:rsidRPr="00204BFA">
              <w:rPr>
                <w:rFonts w:cs="Arial"/>
                <w:i/>
                <w:iCs/>
                <w:sz w:val="20"/>
                <w:szCs w:val="20"/>
                <w:lang w:val="en-US"/>
              </w:rPr>
              <w:t>Hypatia</w:t>
            </w:r>
            <w:r w:rsidRPr="00204BFA">
              <w:rPr>
                <w:rFonts w:cs="Arial"/>
                <w:sz w:val="20"/>
                <w:szCs w:val="20"/>
                <w:lang w:val="en-US"/>
              </w:rPr>
              <w:t xml:space="preserve"> 13</w:t>
            </w:r>
            <w:r>
              <w:rPr>
                <w:rFonts w:cs="Arial"/>
                <w:sz w:val="20"/>
                <w:szCs w:val="20"/>
                <w:lang w:val="en-US"/>
              </w:rPr>
              <w:t xml:space="preserve"> </w:t>
            </w:r>
            <w:r w:rsidRPr="00204BFA">
              <w:rPr>
                <w:rFonts w:cs="Arial"/>
                <w:sz w:val="20"/>
                <w:szCs w:val="20"/>
                <w:lang w:val="en-US"/>
              </w:rPr>
              <w:t>(1)</w:t>
            </w:r>
            <w:r>
              <w:rPr>
                <w:rFonts w:cs="Arial"/>
                <w:sz w:val="20"/>
                <w:szCs w:val="20"/>
                <w:lang w:val="en-US"/>
              </w:rPr>
              <w:t>:</w:t>
            </w:r>
            <w:r w:rsidRPr="00204BFA">
              <w:rPr>
                <w:rFonts w:cs="Arial"/>
                <w:sz w:val="20"/>
                <w:szCs w:val="20"/>
                <w:lang w:val="en-US"/>
              </w:rPr>
              <w:t xml:space="preserve"> 21-40.</w:t>
            </w:r>
          </w:p>
        </w:tc>
        <w:tc>
          <w:tcPr>
            <w:tcW w:w="9458" w:type="dxa"/>
            <w:hideMark/>
          </w:tcPr>
          <w:p w14:paraId="205E9DFF" w14:textId="77777777" w:rsidR="00DD067E" w:rsidRPr="00204BFA" w:rsidRDefault="00DD067E" w:rsidP="007340C0">
            <w:pPr>
              <w:spacing w:line="240" w:lineRule="auto"/>
              <w:jc w:val="left"/>
              <w:rPr>
                <w:rFonts w:cs="Arial"/>
                <w:sz w:val="20"/>
                <w:szCs w:val="20"/>
              </w:rPr>
            </w:pPr>
            <w:r w:rsidRPr="00204BFA">
              <w:rPr>
                <w:rFonts w:cs="Arial"/>
                <w:sz w:val="20"/>
                <w:szCs w:val="20"/>
                <w:lang w:val="en-US"/>
              </w:rPr>
              <w:t xml:space="preserve">This paper argues that feminists have yet to develop a satisfactory account </w:t>
            </w:r>
            <w:proofErr w:type="gramStart"/>
            <w:r w:rsidRPr="00204BFA">
              <w:rPr>
                <w:rFonts w:cs="Arial"/>
                <w:sz w:val="20"/>
                <w:szCs w:val="20"/>
                <w:lang w:val="en-US"/>
              </w:rPr>
              <w:t>of  power</w:t>
            </w:r>
            <w:proofErr w:type="gramEnd"/>
            <w:r w:rsidRPr="00204BFA">
              <w:rPr>
                <w:rFonts w:cs="Arial"/>
                <w:sz w:val="20"/>
                <w:szCs w:val="20"/>
                <w:lang w:val="en-US"/>
              </w:rPr>
              <w:t xml:space="preserve">. Existing feminist accounts of power tend to have a one-sided emphasis </w:t>
            </w:r>
            <w:proofErr w:type="gramStart"/>
            <w:r w:rsidRPr="00204BFA">
              <w:rPr>
                <w:rFonts w:cs="Arial"/>
                <w:sz w:val="20"/>
                <w:szCs w:val="20"/>
                <w:lang w:val="en-US"/>
              </w:rPr>
              <w:t>either  on</w:t>
            </w:r>
            <w:proofErr w:type="gramEnd"/>
            <w:r w:rsidRPr="00204BFA">
              <w:rPr>
                <w:rFonts w:cs="Arial"/>
                <w:sz w:val="20"/>
                <w:szCs w:val="20"/>
                <w:lang w:val="en-US"/>
              </w:rPr>
              <w:t xml:space="preserve"> power as domination or on power as empowerment. This conceptual one-sidedness must be overcome if feminists are to develop an account complex enough </w:t>
            </w:r>
            <w:proofErr w:type="gramStart"/>
            <w:r w:rsidRPr="00204BFA">
              <w:rPr>
                <w:rFonts w:cs="Arial"/>
                <w:sz w:val="20"/>
                <w:szCs w:val="20"/>
                <w:lang w:val="en-US"/>
              </w:rPr>
              <w:t>to  illuminate</w:t>
            </w:r>
            <w:proofErr w:type="gramEnd"/>
            <w:r w:rsidRPr="00204BFA">
              <w:rPr>
                <w:rFonts w:cs="Arial"/>
                <w:sz w:val="20"/>
                <w:szCs w:val="20"/>
                <w:lang w:val="en-US"/>
              </w:rPr>
              <w:t xml:space="preserve"> women's diverse experiences with power. </w:t>
            </w:r>
            <w:r w:rsidRPr="00204BFA">
              <w:rPr>
                <w:rFonts w:cs="Arial"/>
                <w:sz w:val="20"/>
                <w:szCs w:val="20"/>
              </w:rPr>
              <w:t xml:space="preserve">Such an </w:t>
            </w:r>
            <w:proofErr w:type="spellStart"/>
            <w:r w:rsidRPr="00204BFA">
              <w:rPr>
                <w:rFonts w:cs="Arial"/>
                <w:sz w:val="20"/>
                <w:szCs w:val="20"/>
              </w:rPr>
              <w:t>account</w:t>
            </w:r>
            <w:proofErr w:type="spellEnd"/>
            <w:r w:rsidRPr="00204BFA">
              <w:rPr>
                <w:rFonts w:cs="Arial"/>
                <w:sz w:val="20"/>
                <w:szCs w:val="20"/>
              </w:rPr>
              <w:t xml:space="preserve"> </w:t>
            </w:r>
            <w:proofErr w:type="spellStart"/>
            <w:r w:rsidRPr="00204BFA">
              <w:rPr>
                <w:rFonts w:cs="Arial"/>
                <w:sz w:val="20"/>
                <w:szCs w:val="20"/>
              </w:rPr>
              <w:t>is</w:t>
            </w:r>
            <w:proofErr w:type="spellEnd"/>
            <w:r w:rsidRPr="00204BFA">
              <w:rPr>
                <w:rFonts w:cs="Arial"/>
                <w:sz w:val="20"/>
                <w:szCs w:val="20"/>
              </w:rPr>
              <w:t xml:space="preserve"> </w:t>
            </w:r>
            <w:proofErr w:type="spellStart"/>
            <w:r w:rsidRPr="00204BFA">
              <w:rPr>
                <w:rFonts w:cs="Arial"/>
                <w:sz w:val="20"/>
                <w:szCs w:val="20"/>
              </w:rPr>
              <w:t>sketched</w:t>
            </w:r>
            <w:proofErr w:type="spellEnd"/>
            <w:r w:rsidRPr="00204BFA">
              <w:rPr>
                <w:rFonts w:cs="Arial"/>
                <w:sz w:val="20"/>
                <w:szCs w:val="20"/>
              </w:rPr>
              <w:t xml:space="preserve"> </w:t>
            </w:r>
            <w:proofErr w:type="spellStart"/>
            <w:r w:rsidRPr="00204BFA">
              <w:rPr>
                <w:rFonts w:cs="Arial"/>
                <w:sz w:val="20"/>
                <w:szCs w:val="20"/>
              </w:rPr>
              <w:t>here</w:t>
            </w:r>
            <w:proofErr w:type="spellEnd"/>
            <w:r w:rsidRPr="00204BFA">
              <w:rPr>
                <w:rFonts w:cs="Arial"/>
                <w:sz w:val="20"/>
                <w:szCs w:val="20"/>
              </w:rPr>
              <w:t xml:space="preserve">. </w:t>
            </w:r>
          </w:p>
        </w:tc>
      </w:tr>
      <w:tr w:rsidR="00DD067E" w:rsidRPr="00204BFA" w14:paraId="0E2091D0" w14:textId="77777777" w:rsidTr="00AF5792">
        <w:trPr>
          <w:trHeight w:val="855"/>
        </w:trPr>
        <w:tc>
          <w:tcPr>
            <w:tcW w:w="1140" w:type="dxa"/>
            <w:gridSpan w:val="2"/>
            <w:shd w:val="clear" w:color="auto" w:fill="DEEAF6" w:themeFill="accent5" w:themeFillTint="33"/>
            <w:hideMark/>
          </w:tcPr>
          <w:p w14:paraId="743EDD08" w14:textId="77777777" w:rsidR="00DD067E" w:rsidRPr="00FA04F8" w:rsidRDefault="00DD067E" w:rsidP="007340C0">
            <w:pPr>
              <w:spacing w:line="240" w:lineRule="auto"/>
              <w:jc w:val="left"/>
              <w:rPr>
                <w:rFonts w:cs="Arial"/>
                <w:b/>
                <w:bCs/>
                <w:sz w:val="20"/>
                <w:szCs w:val="20"/>
              </w:rPr>
            </w:pPr>
          </w:p>
        </w:tc>
        <w:tc>
          <w:tcPr>
            <w:tcW w:w="3968" w:type="dxa"/>
            <w:gridSpan w:val="2"/>
            <w:hideMark/>
          </w:tcPr>
          <w:p w14:paraId="2AB25E97" w14:textId="77777777" w:rsidR="00DD067E" w:rsidRPr="00204BFA" w:rsidRDefault="00DD067E"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my</w:t>
            </w:r>
            <w:r w:rsidRPr="00204BFA">
              <w:rPr>
                <w:rFonts w:cs="Arial"/>
                <w:sz w:val="20"/>
                <w:szCs w:val="20"/>
                <w:lang w:val="en-US"/>
              </w:rPr>
              <w:t xml:space="preserve">. 2018 [1999]. A Feminist Conception of Power. In </w:t>
            </w:r>
            <w:r w:rsidRPr="00204BFA">
              <w:rPr>
                <w:rFonts w:cs="Arial"/>
                <w:i/>
                <w:iCs/>
                <w:sz w:val="20"/>
                <w:szCs w:val="20"/>
                <w:lang w:val="en-US"/>
              </w:rPr>
              <w:t>The Power of Feminist Theory</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von Amy Allen, 119-138. New York/London:</w:t>
            </w:r>
            <w:r w:rsidRPr="00204BFA">
              <w:rPr>
                <w:rFonts w:cs="Arial"/>
                <w:sz w:val="20"/>
                <w:szCs w:val="20"/>
                <w:lang w:val="en-US"/>
              </w:rPr>
              <w:t xml:space="preserve"> Routledge</w:t>
            </w:r>
            <w:r>
              <w:rPr>
                <w:rFonts w:cs="Arial"/>
                <w:sz w:val="20"/>
                <w:szCs w:val="20"/>
                <w:lang w:val="en-US"/>
              </w:rPr>
              <w:t xml:space="preserve">. </w:t>
            </w:r>
            <w:r w:rsidRPr="00204BFA">
              <w:rPr>
                <w:rFonts w:cs="Arial"/>
                <w:sz w:val="20"/>
                <w:szCs w:val="20"/>
                <w:lang w:val="en-US"/>
              </w:rPr>
              <w:t xml:space="preserve"> </w:t>
            </w:r>
          </w:p>
        </w:tc>
        <w:tc>
          <w:tcPr>
            <w:tcW w:w="9458" w:type="dxa"/>
            <w:hideMark/>
          </w:tcPr>
          <w:p w14:paraId="17E382E0" w14:textId="77777777" w:rsidR="00DD067E" w:rsidRPr="00204BFA" w:rsidRDefault="00DD067E" w:rsidP="007340C0">
            <w:pPr>
              <w:spacing w:line="240" w:lineRule="auto"/>
              <w:jc w:val="left"/>
              <w:rPr>
                <w:rFonts w:cs="Arial"/>
                <w:sz w:val="20"/>
                <w:szCs w:val="20"/>
              </w:rPr>
            </w:pPr>
            <w:r w:rsidRPr="00204BFA">
              <w:rPr>
                <w:rFonts w:cs="Arial"/>
                <w:sz w:val="20"/>
                <w:szCs w:val="20"/>
              </w:rPr>
              <w:t>kein Abstract</w:t>
            </w:r>
          </w:p>
        </w:tc>
      </w:tr>
      <w:tr w:rsidR="00DD067E" w:rsidRPr="00352FE5" w14:paraId="6DD59C27" w14:textId="77777777" w:rsidTr="007340C0">
        <w:trPr>
          <w:trHeight w:val="409"/>
        </w:trPr>
        <w:tc>
          <w:tcPr>
            <w:tcW w:w="1140" w:type="dxa"/>
            <w:gridSpan w:val="2"/>
            <w:shd w:val="clear" w:color="auto" w:fill="DEEAF6" w:themeFill="accent5" w:themeFillTint="33"/>
          </w:tcPr>
          <w:p w14:paraId="12868227" w14:textId="77777777" w:rsidR="00DD067E" w:rsidRPr="007340C0" w:rsidRDefault="00DD067E" w:rsidP="007340C0">
            <w:pPr>
              <w:spacing w:line="240" w:lineRule="auto"/>
              <w:jc w:val="left"/>
              <w:rPr>
                <w:rFonts w:cs="Arial"/>
                <w:b/>
                <w:bCs/>
                <w:sz w:val="20"/>
                <w:szCs w:val="20"/>
                <w:lang w:val="en-US"/>
              </w:rPr>
            </w:pPr>
          </w:p>
        </w:tc>
        <w:tc>
          <w:tcPr>
            <w:tcW w:w="3968" w:type="dxa"/>
            <w:gridSpan w:val="2"/>
          </w:tcPr>
          <w:p w14:paraId="4D3BBE60" w14:textId="77777777" w:rsidR="00DD067E" w:rsidRPr="002F4C54" w:rsidRDefault="00DD067E" w:rsidP="002F4C54">
            <w:pPr>
              <w:spacing w:after="0" w:line="240" w:lineRule="auto"/>
              <w:jc w:val="left"/>
              <w:rPr>
                <w:rFonts w:cs="Arial"/>
                <w:sz w:val="20"/>
                <w:szCs w:val="20"/>
                <w:lang w:val="en-US"/>
              </w:rPr>
            </w:pPr>
            <w:r w:rsidRPr="002F4C54">
              <w:rPr>
                <w:rFonts w:cs="Arial"/>
                <w:sz w:val="20"/>
                <w:szCs w:val="20"/>
              </w:rPr>
              <w:t>Connell, R. W.</w:t>
            </w:r>
            <w:r>
              <w:rPr>
                <w:rFonts w:cs="Arial"/>
                <w:sz w:val="20"/>
                <w:szCs w:val="20"/>
              </w:rPr>
              <w:t xml:space="preserve">, und James W. </w:t>
            </w:r>
            <w:r w:rsidRPr="002F4C54">
              <w:rPr>
                <w:rFonts w:cs="Arial"/>
                <w:sz w:val="20"/>
                <w:szCs w:val="20"/>
              </w:rPr>
              <w:t>Messerschmidt</w:t>
            </w:r>
            <w:r>
              <w:rPr>
                <w:rFonts w:cs="Arial"/>
                <w:sz w:val="20"/>
                <w:szCs w:val="20"/>
              </w:rPr>
              <w:t xml:space="preserve">. </w:t>
            </w:r>
            <w:r w:rsidRPr="002F4C54">
              <w:rPr>
                <w:rFonts w:cs="Arial"/>
                <w:sz w:val="20"/>
                <w:szCs w:val="20"/>
              </w:rPr>
              <w:t xml:space="preserve">2005. </w:t>
            </w:r>
            <w:r w:rsidRPr="002F4C54">
              <w:rPr>
                <w:rFonts w:cs="Arial"/>
                <w:sz w:val="20"/>
                <w:szCs w:val="20"/>
                <w:lang w:val="en-US"/>
              </w:rPr>
              <w:t xml:space="preserve">Hegemonic Masculinity: </w:t>
            </w:r>
          </w:p>
          <w:p w14:paraId="08034929" w14:textId="77777777" w:rsidR="00DD067E" w:rsidRPr="00AF1C5A" w:rsidRDefault="00DD067E" w:rsidP="002F4C54">
            <w:pPr>
              <w:spacing w:line="240" w:lineRule="auto"/>
              <w:jc w:val="left"/>
              <w:rPr>
                <w:rFonts w:cs="Arial"/>
                <w:sz w:val="20"/>
                <w:szCs w:val="20"/>
                <w:lang w:val="en-US"/>
              </w:rPr>
            </w:pPr>
            <w:r w:rsidRPr="002F4C54">
              <w:rPr>
                <w:rFonts w:cs="Arial"/>
                <w:sz w:val="20"/>
                <w:szCs w:val="20"/>
                <w:lang w:val="en-US"/>
              </w:rPr>
              <w:t>Rethinking the Concept</w:t>
            </w:r>
            <w:r>
              <w:rPr>
                <w:rFonts w:cs="Arial"/>
                <w:sz w:val="20"/>
                <w:szCs w:val="20"/>
                <w:lang w:val="en-US"/>
              </w:rPr>
              <w:t xml:space="preserve">. </w:t>
            </w:r>
            <w:r w:rsidRPr="00950D62">
              <w:rPr>
                <w:rFonts w:cs="Arial"/>
                <w:i/>
                <w:sz w:val="20"/>
                <w:szCs w:val="20"/>
                <w:lang w:val="en-US"/>
              </w:rPr>
              <w:t>Gender &amp; Society</w:t>
            </w:r>
            <w:r w:rsidRPr="002F4C54">
              <w:rPr>
                <w:rFonts w:cs="Arial"/>
                <w:sz w:val="20"/>
                <w:szCs w:val="20"/>
                <w:lang w:val="en-US"/>
              </w:rPr>
              <w:t xml:space="preserve"> 19</w:t>
            </w:r>
            <w:r>
              <w:rPr>
                <w:rFonts w:cs="Arial"/>
                <w:sz w:val="20"/>
                <w:szCs w:val="20"/>
                <w:lang w:val="en-US"/>
              </w:rPr>
              <w:t>:</w:t>
            </w:r>
            <w:r w:rsidRPr="002F4C54">
              <w:rPr>
                <w:rFonts w:cs="Arial"/>
                <w:sz w:val="20"/>
                <w:szCs w:val="20"/>
                <w:lang w:val="en-US"/>
              </w:rPr>
              <w:t xml:space="preserve"> 829-859.</w:t>
            </w:r>
          </w:p>
        </w:tc>
        <w:tc>
          <w:tcPr>
            <w:tcW w:w="9458" w:type="dxa"/>
          </w:tcPr>
          <w:p w14:paraId="011A6D09" w14:textId="77777777" w:rsidR="00DD067E" w:rsidRPr="00204BFA" w:rsidRDefault="00DD067E" w:rsidP="007340C0">
            <w:pPr>
              <w:spacing w:line="240" w:lineRule="auto"/>
              <w:jc w:val="left"/>
              <w:rPr>
                <w:rFonts w:cs="Arial"/>
                <w:sz w:val="20"/>
                <w:szCs w:val="20"/>
                <w:lang w:val="en-US"/>
              </w:rPr>
            </w:pPr>
            <w:r w:rsidRPr="009C32B5">
              <w:rPr>
                <w:rFonts w:cs="Arial"/>
                <w:sz w:val="20"/>
                <w:szCs w:val="20"/>
                <w:lang w:val="en-US"/>
              </w:rPr>
              <w:t>The concept of hegemonic masculinity has influenced gender studies across many academic fields but has also attracted serious criticism. The authors trace the origin of the concept in a convergence of ideas in the early 1980s and map the ways it was applied when research on men and masculinities expanded. Evaluating the principal criticisms, the authors defend the underlying concept of masculinity, which in most research use is neither reified nor essentialist. However, the criticism of trait models of gender and rigid typologies is sound. The treatment of the subject in research on hegemonic masculinity can be improved with the aid of recent psychological models, although limits to discursive flexibility must be recognized. The concept of hegemonic masculinity does not equate to a model of social reproduction; we need to recognize social struggles in which subordinated masculinities influence dominant forms. Finally, the authors review what has been confirmed from early formulations (the idea of multiple masculinities, the concept of hegemony, and the emphasis on change) and what needs to be discarded (</w:t>
            </w:r>
            <w:proofErr w:type="spellStart"/>
            <w:r w:rsidRPr="009C32B5">
              <w:rPr>
                <w:rFonts w:cs="Arial"/>
                <w:sz w:val="20"/>
                <w:szCs w:val="20"/>
                <w:lang w:val="en-US"/>
              </w:rPr>
              <w:t>onedimensional</w:t>
            </w:r>
            <w:proofErr w:type="spellEnd"/>
            <w:r w:rsidRPr="009C32B5">
              <w:rPr>
                <w:rFonts w:cs="Arial"/>
                <w:sz w:val="20"/>
                <w:szCs w:val="20"/>
                <w:lang w:val="en-US"/>
              </w:rPr>
              <w:t xml:space="preserve"> treatment of hierarchy and trait conceptions of gender). The authors suggest reformulation of the concept in four areas: a more complex model of gender hierarchy, emphasizing the agency of women; explicit recognition of the geography of masculinities, emphasizing the interplay among local, regional, and global levels; a more specific treatment of embodiment in contexts of privilege and power; and a stronger emphasis on the dynamics of hegemonic masculinity, recognizing internal contradictions and the possibilities of movement toward gender democracy.</w:t>
            </w:r>
          </w:p>
        </w:tc>
      </w:tr>
      <w:tr w:rsidR="00DD067E" w:rsidRPr="007340C0" w14:paraId="46C07C90" w14:textId="77777777" w:rsidTr="007340C0">
        <w:trPr>
          <w:trHeight w:val="398"/>
        </w:trPr>
        <w:tc>
          <w:tcPr>
            <w:tcW w:w="1140" w:type="dxa"/>
            <w:gridSpan w:val="2"/>
            <w:shd w:val="clear" w:color="auto" w:fill="DEEAF6" w:themeFill="accent5" w:themeFillTint="33"/>
          </w:tcPr>
          <w:p w14:paraId="36D4729D" w14:textId="77777777" w:rsidR="00DD067E" w:rsidRPr="00FA04F8" w:rsidRDefault="00DD067E" w:rsidP="007340C0">
            <w:pPr>
              <w:spacing w:line="240" w:lineRule="auto"/>
              <w:jc w:val="left"/>
              <w:rPr>
                <w:rFonts w:cs="Arial"/>
                <w:b/>
                <w:bCs/>
                <w:sz w:val="20"/>
                <w:szCs w:val="20"/>
                <w:lang w:val="en-US"/>
              </w:rPr>
            </w:pPr>
          </w:p>
        </w:tc>
        <w:tc>
          <w:tcPr>
            <w:tcW w:w="3968" w:type="dxa"/>
            <w:gridSpan w:val="2"/>
          </w:tcPr>
          <w:p w14:paraId="0F3DCC60" w14:textId="77777777" w:rsidR="00DD067E" w:rsidRPr="00AD4289" w:rsidRDefault="00DD067E" w:rsidP="00C23C0E">
            <w:pPr>
              <w:spacing w:line="240" w:lineRule="auto"/>
              <w:jc w:val="left"/>
              <w:rPr>
                <w:rFonts w:cs="Arial"/>
                <w:sz w:val="20"/>
                <w:szCs w:val="20"/>
              </w:rPr>
            </w:pPr>
            <w:r w:rsidRPr="00AD0D26">
              <w:rPr>
                <w:rFonts w:cs="Arial"/>
                <w:sz w:val="20"/>
                <w:szCs w:val="20"/>
              </w:rPr>
              <w:t xml:space="preserve">Elias, Norbert. </w:t>
            </w:r>
            <w:r>
              <w:rPr>
                <w:rFonts w:cs="Arial"/>
                <w:sz w:val="20"/>
                <w:szCs w:val="20"/>
              </w:rPr>
              <w:t xml:space="preserve">2006. </w:t>
            </w:r>
            <w:r w:rsidRPr="00873688">
              <w:rPr>
                <w:rFonts w:cs="Arial"/>
                <w:sz w:val="20"/>
                <w:szCs w:val="20"/>
              </w:rPr>
              <w:t>Gesammelte Schriften in 19 Bänden</w:t>
            </w:r>
            <w:r>
              <w:rPr>
                <w:rFonts w:cs="Arial"/>
                <w:sz w:val="20"/>
                <w:szCs w:val="20"/>
              </w:rPr>
              <w:t xml:space="preserve">. </w:t>
            </w:r>
            <w:proofErr w:type="spellStart"/>
            <w:r>
              <w:rPr>
                <w:rFonts w:cs="Arial"/>
                <w:sz w:val="20"/>
                <w:szCs w:val="20"/>
              </w:rPr>
              <w:t>Bd</w:t>
            </w:r>
            <w:proofErr w:type="spellEnd"/>
            <w:r>
              <w:rPr>
                <w:rFonts w:cs="Arial"/>
                <w:sz w:val="20"/>
                <w:szCs w:val="20"/>
              </w:rPr>
              <w:t>,</w:t>
            </w:r>
            <w:r w:rsidRPr="00873688">
              <w:rPr>
                <w:rFonts w:cs="Arial"/>
                <w:sz w:val="20"/>
                <w:szCs w:val="20"/>
              </w:rPr>
              <w:t xml:space="preserve"> 16: Aufsätze und andere Schriften III</w:t>
            </w:r>
            <w:r>
              <w:rPr>
                <w:rFonts w:cs="Arial"/>
                <w:sz w:val="20"/>
                <w:szCs w:val="20"/>
              </w:rPr>
              <w:t xml:space="preserve">, 139-181. (Kapitel: </w:t>
            </w:r>
            <w:r w:rsidRPr="00C23C0E">
              <w:rPr>
                <w:rFonts w:cs="Arial"/>
                <w:sz w:val="20"/>
                <w:szCs w:val="20"/>
              </w:rPr>
              <w:t>Wandlungen der Machtbalance zwischen den</w:t>
            </w:r>
            <w:r>
              <w:rPr>
                <w:rFonts w:cs="Arial"/>
                <w:sz w:val="20"/>
                <w:szCs w:val="20"/>
              </w:rPr>
              <w:t xml:space="preserve"> </w:t>
            </w:r>
            <w:r w:rsidRPr="00C23C0E">
              <w:rPr>
                <w:rFonts w:cs="Arial"/>
                <w:sz w:val="20"/>
                <w:szCs w:val="20"/>
              </w:rPr>
              <w:t xml:space="preserve">Geschlechtern: Eine </w:t>
            </w:r>
            <w:proofErr w:type="spellStart"/>
            <w:r w:rsidRPr="00C23C0E">
              <w:rPr>
                <w:rFonts w:cs="Arial"/>
                <w:sz w:val="20"/>
                <w:szCs w:val="20"/>
              </w:rPr>
              <w:t>prozeßsoziologische</w:t>
            </w:r>
            <w:proofErr w:type="spellEnd"/>
            <w:r>
              <w:rPr>
                <w:rFonts w:cs="Arial"/>
                <w:sz w:val="20"/>
                <w:szCs w:val="20"/>
              </w:rPr>
              <w:t xml:space="preserve"> </w:t>
            </w:r>
            <w:r w:rsidRPr="00C23C0E">
              <w:rPr>
                <w:rFonts w:cs="Arial"/>
                <w:sz w:val="20"/>
                <w:szCs w:val="20"/>
              </w:rPr>
              <w:t>Untersuchung am Beispiel des antiken Römerstaats (1986)</w:t>
            </w:r>
            <w:r>
              <w:rPr>
                <w:rFonts w:cs="Arial"/>
                <w:sz w:val="20"/>
                <w:szCs w:val="20"/>
              </w:rPr>
              <w:t xml:space="preserve">). Berlin: Suhrkamp. </w:t>
            </w:r>
          </w:p>
        </w:tc>
        <w:tc>
          <w:tcPr>
            <w:tcW w:w="9458" w:type="dxa"/>
          </w:tcPr>
          <w:p w14:paraId="50D64276" w14:textId="77777777" w:rsidR="00DD067E" w:rsidRPr="00FA5D60" w:rsidRDefault="00DD067E" w:rsidP="007340C0">
            <w:pPr>
              <w:spacing w:line="240" w:lineRule="auto"/>
              <w:jc w:val="left"/>
              <w:rPr>
                <w:rFonts w:cs="Arial"/>
                <w:sz w:val="20"/>
                <w:szCs w:val="20"/>
              </w:rPr>
            </w:pPr>
            <w:r w:rsidRPr="00FA5D60">
              <w:rPr>
                <w:rFonts w:cs="Arial"/>
                <w:sz w:val="20"/>
                <w:szCs w:val="20"/>
              </w:rPr>
              <w:t xml:space="preserve">Erscheint es ein wenig unpassend, </w:t>
            </w:r>
            <w:proofErr w:type="spellStart"/>
            <w:r w:rsidRPr="00FA5D60">
              <w:rPr>
                <w:rFonts w:cs="Arial"/>
                <w:sz w:val="20"/>
                <w:szCs w:val="20"/>
              </w:rPr>
              <w:t>daß</w:t>
            </w:r>
            <w:proofErr w:type="spellEnd"/>
            <w:r w:rsidRPr="00FA5D60">
              <w:rPr>
                <w:rFonts w:cs="Arial"/>
                <w:sz w:val="20"/>
                <w:szCs w:val="20"/>
              </w:rPr>
              <w:t xml:space="preserve"> ich mir vorgenommen habe, über Wandlungen der Machtbalance zwischen Männern und Frauen zu sprechen? Zweifellos ist es üblicher, den Ausdruck „</w:t>
            </w:r>
            <w:proofErr w:type="spellStart"/>
            <w:r w:rsidRPr="00FA5D60">
              <w:rPr>
                <w:rFonts w:cs="Arial"/>
                <w:sz w:val="20"/>
                <w:szCs w:val="20"/>
              </w:rPr>
              <w:t>Machtbalance“auf</w:t>
            </w:r>
            <w:proofErr w:type="spellEnd"/>
            <w:r w:rsidRPr="00FA5D60">
              <w:rPr>
                <w:rFonts w:cs="Arial"/>
                <w:sz w:val="20"/>
                <w:szCs w:val="20"/>
              </w:rPr>
              <w:t xml:space="preserve"> die Beziehungen zwischen Staaten anzuwenden. Sie, mächtige Staaten, stehen einander oft bis an die Zähne bewaffnet gegenüber. Wenn einer von ihnen seine tödliche Ausrüstung verstärkt, verändert sich die Machtbalance zu seinen Gunsten. Eine rivalisierende Macht mag sich dann bedroht fühlen und ihrerseits die eigene Rüstung verstärken, wodurch die Machtbalance wieder ausgeglichen wird. Aber Frauen und Männer, ob durch die Ehe gebunden oder nicht, treten einander selten bis an die Zähne bewaffnet gegenüber. Hat es einen Sinn, auch in ihrem Fall von einer Machtbalance und deren Wandel zu reden? Ich meine, ja. Einige Beispiele mögen verdeutlichen, warum.</w:t>
            </w:r>
          </w:p>
        </w:tc>
      </w:tr>
      <w:tr w:rsidR="00DD067E" w:rsidRPr="00CA0E7E" w14:paraId="61B0DB35" w14:textId="77777777" w:rsidTr="000B0333">
        <w:trPr>
          <w:trHeight w:val="1710"/>
        </w:trPr>
        <w:tc>
          <w:tcPr>
            <w:tcW w:w="1140" w:type="dxa"/>
            <w:gridSpan w:val="2"/>
            <w:shd w:val="clear" w:color="auto" w:fill="DEEAF6" w:themeFill="accent5" w:themeFillTint="33"/>
            <w:hideMark/>
          </w:tcPr>
          <w:p w14:paraId="61777607" w14:textId="77777777" w:rsidR="00DD067E" w:rsidRPr="00FA04F8" w:rsidRDefault="00DD067E" w:rsidP="007340C0">
            <w:pPr>
              <w:spacing w:line="240" w:lineRule="auto"/>
              <w:jc w:val="left"/>
              <w:rPr>
                <w:rFonts w:cs="Arial"/>
                <w:b/>
                <w:bCs/>
                <w:sz w:val="20"/>
                <w:szCs w:val="20"/>
              </w:rPr>
            </w:pPr>
          </w:p>
        </w:tc>
        <w:tc>
          <w:tcPr>
            <w:tcW w:w="3968" w:type="dxa"/>
            <w:gridSpan w:val="2"/>
          </w:tcPr>
          <w:p w14:paraId="3EF7E2F4" w14:textId="77777777" w:rsidR="00DD067E" w:rsidRPr="00204BFA" w:rsidRDefault="00DD067E" w:rsidP="007340C0">
            <w:pPr>
              <w:spacing w:line="240" w:lineRule="auto"/>
              <w:jc w:val="left"/>
              <w:rPr>
                <w:rFonts w:cs="Arial"/>
                <w:sz w:val="20"/>
                <w:szCs w:val="20"/>
              </w:rPr>
            </w:pPr>
            <w:r w:rsidRPr="00204BFA">
              <w:rPr>
                <w:rFonts w:cs="Arial"/>
                <w:sz w:val="20"/>
                <w:szCs w:val="20"/>
                <w:lang w:val="en-US"/>
              </w:rPr>
              <w:t>Gunnarsson, L</w:t>
            </w:r>
            <w:r>
              <w:rPr>
                <w:rFonts w:cs="Arial"/>
                <w:sz w:val="20"/>
                <w:szCs w:val="20"/>
                <w:lang w:val="en-US"/>
              </w:rPr>
              <w:t>ena.</w:t>
            </w:r>
            <w:r w:rsidRPr="00204BFA">
              <w:rPr>
                <w:rFonts w:cs="Arial"/>
                <w:sz w:val="20"/>
                <w:szCs w:val="20"/>
                <w:lang w:val="en-US"/>
              </w:rPr>
              <w:t xml:space="preserve"> 2014. Loving Him for Who He Is: The Microsociology of Power</w:t>
            </w:r>
            <w:r>
              <w:rPr>
                <w:rFonts w:cs="Arial"/>
                <w:sz w:val="20"/>
                <w:szCs w:val="20"/>
                <w:lang w:val="en-US"/>
              </w:rPr>
              <w:t xml:space="preserve">. In </w:t>
            </w:r>
            <w:r w:rsidRPr="00AF1C5A">
              <w:rPr>
                <w:rFonts w:cs="Arial"/>
                <w:i/>
                <w:iCs/>
                <w:sz w:val="20"/>
                <w:szCs w:val="20"/>
                <w:lang w:val="en-US"/>
              </w:rPr>
              <w:t>Love. A Question for Feminism in the Twenty-First Century</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xml:space="preserve">. von </w:t>
            </w:r>
            <w:r w:rsidRPr="00204BFA">
              <w:rPr>
                <w:rFonts w:cs="Arial"/>
                <w:sz w:val="20"/>
                <w:szCs w:val="20"/>
                <w:lang w:val="en-US"/>
              </w:rPr>
              <w:t>Anna G. Jónasdóttir</w:t>
            </w:r>
            <w:r>
              <w:rPr>
                <w:rFonts w:cs="Arial"/>
                <w:sz w:val="20"/>
                <w:szCs w:val="20"/>
                <w:lang w:val="en-US"/>
              </w:rPr>
              <w:t xml:space="preserve"> und </w:t>
            </w:r>
            <w:r w:rsidRPr="00204BFA">
              <w:rPr>
                <w:rFonts w:cs="Arial"/>
                <w:sz w:val="20"/>
                <w:szCs w:val="20"/>
                <w:lang w:val="en-US"/>
              </w:rPr>
              <w:t>Ann Ferguson</w:t>
            </w:r>
            <w:r>
              <w:rPr>
                <w:rFonts w:cs="Arial"/>
                <w:sz w:val="20"/>
                <w:szCs w:val="20"/>
                <w:lang w:val="en-US"/>
              </w:rPr>
              <w:t xml:space="preserve">, 97-110. </w:t>
            </w:r>
            <w:r w:rsidRPr="00204BFA">
              <w:rPr>
                <w:rFonts w:cs="Arial"/>
                <w:sz w:val="20"/>
                <w:szCs w:val="20"/>
                <w:lang w:val="en-US"/>
              </w:rPr>
              <w:t>New York: Routledge</w:t>
            </w:r>
            <w:r>
              <w:rPr>
                <w:rFonts w:cs="Arial"/>
                <w:sz w:val="20"/>
                <w:szCs w:val="20"/>
                <w:lang w:val="en-US"/>
              </w:rPr>
              <w:t>.</w:t>
            </w:r>
          </w:p>
        </w:tc>
        <w:tc>
          <w:tcPr>
            <w:tcW w:w="9458" w:type="dxa"/>
          </w:tcPr>
          <w:p w14:paraId="46CA8082"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w:t>
            </w:r>
            <w:proofErr w:type="spellStart"/>
            <w:proofErr w:type="gramStart"/>
            <w:r w:rsidRPr="00204BFA">
              <w:rPr>
                <w:rFonts w:cs="Arial"/>
                <w:sz w:val="20"/>
                <w:szCs w:val="20"/>
                <w:lang w:val="en-US"/>
              </w:rPr>
              <w:t>aus</w:t>
            </w:r>
            <w:proofErr w:type="spellEnd"/>
            <w:proofErr w:type="gramEnd"/>
            <w:r w:rsidRPr="00204BFA">
              <w:rPr>
                <w:rFonts w:cs="Arial"/>
                <w:sz w:val="20"/>
                <w:szCs w:val="20"/>
                <w:lang w:val="en-US"/>
              </w:rPr>
              <w:t xml:space="preserve"> </w:t>
            </w:r>
            <w:proofErr w:type="spellStart"/>
            <w:r w:rsidRPr="00204BFA">
              <w:rPr>
                <w:rFonts w:cs="Arial"/>
                <w:sz w:val="20"/>
                <w:szCs w:val="20"/>
                <w:lang w:val="en-US"/>
              </w:rPr>
              <w:t>Einleitung</w:t>
            </w:r>
            <w:proofErr w:type="spellEnd"/>
            <w:r w:rsidRPr="00204BFA">
              <w:rPr>
                <w:rFonts w:cs="Arial"/>
                <w:sz w:val="20"/>
                <w:szCs w:val="20"/>
                <w:lang w:val="en-US"/>
              </w:rPr>
              <w:t xml:space="preserve">:) In contemporary western welfare societies power asymmetries based on gender are not legitimate. Yet, </w:t>
            </w:r>
            <w:proofErr w:type="gramStart"/>
            <w:r w:rsidRPr="00204BFA">
              <w:rPr>
                <w:rFonts w:cs="Arial"/>
                <w:sz w:val="20"/>
                <w:szCs w:val="20"/>
                <w:lang w:val="en-US"/>
              </w:rPr>
              <w:t>ideological</w:t>
            </w:r>
            <w:proofErr w:type="gramEnd"/>
            <w:r w:rsidRPr="00204BFA">
              <w:rPr>
                <w:rFonts w:cs="Arial"/>
                <w:sz w:val="20"/>
                <w:szCs w:val="20"/>
                <w:lang w:val="en-US"/>
              </w:rPr>
              <w:t xml:space="preserve"> and judicial norms of gender equality co-exist quite harmoniously with a persisting reality of gender inequality, even in the Nordic countries ruled by strong norms of equality. Heterosexual coupledom is perhaps the site where this contradiction is most marked. In western societies the forming of heterosexual couples is generally based on individual choice motivated by the mutual experience of love. Not surprisingly, this historically specific grounding of intimacy in intimacy alone has given rise to optimistic accounts of democratized love. If being together is entirely a matter of the rewards each of the </w:t>
            </w:r>
            <w:proofErr w:type="gramStart"/>
            <w:r w:rsidRPr="00204BFA">
              <w:rPr>
                <w:rFonts w:cs="Arial"/>
                <w:sz w:val="20"/>
                <w:szCs w:val="20"/>
                <w:lang w:val="en-US"/>
              </w:rPr>
              <w:t>parties</w:t>
            </w:r>
            <w:proofErr w:type="gramEnd"/>
            <w:r w:rsidRPr="00204BFA">
              <w:rPr>
                <w:rFonts w:cs="Arial"/>
                <w:sz w:val="20"/>
                <w:szCs w:val="20"/>
                <w:lang w:val="en-US"/>
              </w:rPr>
              <w:t xml:space="preserve"> experiences from this being together, then, Anthony Giddens (1992) famously argues, the lack of equality will motivate the less profiting party to end the relationship. Nonetheless, </w:t>
            </w:r>
            <w:r w:rsidRPr="00204BFA">
              <w:rPr>
                <w:rFonts w:cs="Arial"/>
                <w:sz w:val="20"/>
                <w:szCs w:val="20"/>
                <w:lang w:val="en-US"/>
              </w:rPr>
              <w:lastRenderedPageBreak/>
              <w:t>empirical research shows that the increasing lack of external impetuses for staying in relationships is not a sufficient condition for equal negotiating power within the relationship (</w:t>
            </w:r>
            <w:proofErr w:type="spellStart"/>
            <w:proofErr w:type="gramStart"/>
            <w:r w:rsidRPr="00204BFA">
              <w:rPr>
                <w:rFonts w:cs="Arial"/>
                <w:sz w:val="20"/>
                <w:szCs w:val="20"/>
                <w:lang w:val="en-US"/>
              </w:rPr>
              <w:t>eg</w:t>
            </w:r>
            <w:proofErr w:type="spellEnd"/>
            <w:proofErr w:type="gramEnd"/>
            <w:r w:rsidRPr="00204BFA">
              <w:rPr>
                <w:rFonts w:cs="Arial"/>
                <w:sz w:val="20"/>
                <w:szCs w:val="20"/>
                <w:lang w:val="en-US"/>
              </w:rPr>
              <w:t xml:space="preserve"> Dempsey 2002; Dryden 1999; Duncombe and Marsden 1993; Holmberg 1995; Jamieson 1999; Langford 1994, 1999; </w:t>
            </w:r>
            <w:proofErr w:type="spellStart"/>
            <w:r w:rsidRPr="00204BFA">
              <w:rPr>
                <w:rFonts w:cs="Arial"/>
                <w:sz w:val="20"/>
                <w:szCs w:val="20"/>
                <w:lang w:val="en-US"/>
              </w:rPr>
              <w:t>Strazdins</w:t>
            </w:r>
            <w:proofErr w:type="spellEnd"/>
            <w:r w:rsidRPr="00204BFA">
              <w:rPr>
                <w:rFonts w:cs="Arial"/>
                <w:sz w:val="20"/>
                <w:szCs w:val="20"/>
                <w:lang w:val="en-US"/>
              </w:rPr>
              <w:t xml:space="preserve"> and Broom 2004). The most poignant expression of the poor realization of norms of equal intimacy is the wide occurrence of violence in relations whose raison d’être is supposed to be love and where there are no significant economic obstacles forcing women to </w:t>
            </w:r>
            <w:proofErr w:type="spellStart"/>
            <w:proofErr w:type="gramStart"/>
            <w:r w:rsidRPr="00204BFA">
              <w:rPr>
                <w:rFonts w:cs="Arial"/>
                <w:sz w:val="20"/>
                <w:szCs w:val="20"/>
                <w:lang w:val="en-US"/>
              </w:rPr>
              <w:t>stay.In</w:t>
            </w:r>
            <w:proofErr w:type="spellEnd"/>
            <w:proofErr w:type="gramEnd"/>
            <w:r w:rsidRPr="00204BFA">
              <w:rPr>
                <w:rFonts w:cs="Arial"/>
                <w:sz w:val="20"/>
                <w:szCs w:val="20"/>
                <w:lang w:val="en-US"/>
              </w:rPr>
              <w:t xml:space="preserve"> this chapter I theorize the tension inherent in contemporary western heterosexual love between, on one hand, norms of equality and freedom to choose and, on the other, persisting inequality. A point of departure is that in a context of an ideology of gender equality experiences of inequality ought to be largely incompatible with the experience of loving and being loved, such that when asymmetries prevail there must be mechanisms making them appear legitimate if love is to survive. My focus is not the kind of outright abuse to which most people would object, but the normalized asymmetrical tendencies constitutive of contemporary western heterosexual love. </w:t>
            </w:r>
          </w:p>
        </w:tc>
      </w:tr>
      <w:tr w:rsidR="00DD067E" w:rsidRPr="00CA0E7E" w14:paraId="699114D5" w14:textId="77777777" w:rsidTr="00CA0E7E">
        <w:trPr>
          <w:trHeight w:val="56"/>
        </w:trPr>
        <w:tc>
          <w:tcPr>
            <w:tcW w:w="1140" w:type="dxa"/>
            <w:gridSpan w:val="2"/>
            <w:shd w:val="clear" w:color="auto" w:fill="DEEAF6" w:themeFill="accent5" w:themeFillTint="33"/>
          </w:tcPr>
          <w:p w14:paraId="58D6743E" w14:textId="77777777" w:rsidR="00DD067E" w:rsidRPr="00CA0E7E" w:rsidRDefault="00DD067E" w:rsidP="007340C0">
            <w:pPr>
              <w:spacing w:line="240" w:lineRule="auto"/>
              <w:jc w:val="left"/>
              <w:rPr>
                <w:rFonts w:cs="Arial"/>
                <w:b/>
                <w:bCs/>
                <w:sz w:val="20"/>
                <w:szCs w:val="20"/>
                <w:lang w:val="en-US"/>
              </w:rPr>
            </w:pPr>
          </w:p>
        </w:tc>
        <w:tc>
          <w:tcPr>
            <w:tcW w:w="3968" w:type="dxa"/>
            <w:gridSpan w:val="2"/>
          </w:tcPr>
          <w:p w14:paraId="36364F42"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Jónasdóttir, A</w:t>
            </w:r>
            <w:r>
              <w:rPr>
                <w:rFonts w:cs="Arial"/>
                <w:sz w:val="20"/>
                <w:szCs w:val="20"/>
                <w:lang w:val="en-US"/>
              </w:rPr>
              <w:t>nna</w:t>
            </w:r>
            <w:r w:rsidRPr="00204BFA">
              <w:rPr>
                <w:rFonts w:cs="Arial"/>
                <w:sz w:val="20"/>
                <w:szCs w:val="20"/>
                <w:lang w:val="en-US"/>
              </w:rPr>
              <w:t xml:space="preserve"> G. 2011. What Kind of Power is “Love Power</w:t>
            </w:r>
            <w:proofErr w:type="gramStart"/>
            <w:r w:rsidRPr="00204BFA">
              <w:rPr>
                <w:rFonts w:cs="Arial"/>
                <w:sz w:val="20"/>
                <w:szCs w:val="20"/>
                <w:lang w:val="en-US"/>
              </w:rPr>
              <w:t>”?,</w:t>
            </w:r>
            <w:proofErr w:type="gramEnd"/>
            <w:r w:rsidRPr="00204BFA">
              <w:rPr>
                <w:rFonts w:cs="Arial"/>
                <w:sz w:val="20"/>
                <w:szCs w:val="20"/>
                <w:lang w:val="en-US"/>
              </w:rPr>
              <w:t xml:space="preserve"> </w:t>
            </w:r>
            <w:r>
              <w:rPr>
                <w:rFonts w:cs="Arial"/>
                <w:sz w:val="20"/>
                <w:szCs w:val="20"/>
                <w:lang w:val="en-US"/>
              </w:rPr>
              <w:t>In</w:t>
            </w:r>
            <w:r w:rsidRPr="00204BFA">
              <w:rPr>
                <w:rFonts w:cs="Arial"/>
                <w:sz w:val="20"/>
                <w:szCs w:val="20"/>
                <w:lang w:val="en-US"/>
              </w:rPr>
              <w:t xml:space="preserve"> </w:t>
            </w:r>
            <w:r w:rsidRPr="00AF1C5A">
              <w:rPr>
                <w:rFonts w:cs="Arial"/>
                <w:i/>
                <w:iCs/>
                <w:sz w:val="20"/>
                <w:szCs w:val="20"/>
                <w:lang w:val="en-US"/>
              </w:rPr>
              <w:t>Sexuality, Gender and Power</w:t>
            </w:r>
            <w:r>
              <w:rPr>
                <w:rFonts w:cs="Arial"/>
                <w:i/>
                <w:iCs/>
                <w:sz w:val="20"/>
                <w:szCs w:val="20"/>
                <w:lang w:val="en-US"/>
              </w:rPr>
              <w:t xml:space="preserve">. </w:t>
            </w:r>
            <w:r w:rsidRPr="00AF1C5A">
              <w:rPr>
                <w:rFonts w:cs="Arial"/>
                <w:i/>
                <w:iCs/>
                <w:sz w:val="20"/>
                <w:szCs w:val="20"/>
                <w:lang w:val="en-US"/>
              </w:rPr>
              <w:t>Intersectional and Transnational Perspectives</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xml:space="preserve">. von </w:t>
            </w:r>
            <w:r w:rsidRPr="00204BFA">
              <w:rPr>
                <w:rFonts w:cs="Arial"/>
                <w:sz w:val="20"/>
                <w:szCs w:val="20"/>
                <w:lang w:val="en-US"/>
              </w:rPr>
              <w:t>Anna G. Jónasdóttir</w:t>
            </w:r>
            <w:r>
              <w:rPr>
                <w:rFonts w:cs="Arial"/>
                <w:sz w:val="20"/>
                <w:szCs w:val="20"/>
                <w:lang w:val="en-US"/>
              </w:rPr>
              <w:t>,</w:t>
            </w:r>
            <w:r w:rsidRPr="00204BFA">
              <w:rPr>
                <w:rFonts w:cs="Arial"/>
                <w:sz w:val="20"/>
                <w:szCs w:val="20"/>
                <w:lang w:val="en-US"/>
              </w:rPr>
              <w:t xml:space="preserve"> Valerie Bryson</w:t>
            </w:r>
            <w:r>
              <w:rPr>
                <w:rFonts w:cs="Arial"/>
                <w:sz w:val="20"/>
                <w:szCs w:val="20"/>
                <w:lang w:val="en-US"/>
              </w:rPr>
              <w:t xml:space="preserve"> und </w:t>
            </w:r>
            <w:r w:rsidRPr="00204BFA">
              <w:rPr>
                <w:rFonts w:cs="Arial"/>
                <w:sz w:val="20"/>
                <w:szCs w:val="20"/>
                <w:lang w:val="en-US"/>
              </w:rPr>
              <w:t>Kathleen B. Jones</w:t>
            </w:r>
            <w:r>
              <w:rPr>
                <w:rFonts w:cs="Arial"/>
                <w:sz w:val="20"/>
                <w:szCs w:val="20"/>
                <w:lang w:val="en-US"/>
              </w:rPr>
              <w:t xml:space="preserve">, </w:t>
            </w:r>
            <w:r w:rsidRPr="00AF1C5A">
              <w:rPr>
                <w:rFonts w:cs="Arial"/>
                <w:sz w:val="20"/>
                <w:szCs w:val="20"/>
                <w:lang w:val="en-US"/>
              </w:rPr>
              <w:t>45–59. New York: Routledge</w:t>
            </w:r>
            <w:r>
              <w:rPr>
                <w:rFonts w:cs="Arial"/>
                <w:sz w:val="20"/>
                <w:szCs w:val="20"/>
                <w:lang w:val="en-US"/>
              </w:rPr>
              <w:t>.</w:t>
            </w:r>
            <w:r w:rsidRPr="00AF1C5A">
              <w:rPr>
                <w:rFonts w:cs="Arial"/>
                <w:sz w:val="20"/>
                <w:szCs w:val="20"/>
                <w:lang w:val="en-US"/>
              </w:rPr>
              <w:t xml:space="preserve"> </w:t>
            </w:r>
          </w:p>
        </w:tc>
        <w:tc>
          <w:tcPr>
            <w:tcW w:w="9458" w:type="dxa"/>
          </w:tcPr>
          <w:p w14:paraId="5C8B5D8F"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w:t>
            </w:r>
            <w:proofErr w:type="spellStart"/>
            <w:proofErr w:type="gramStart"/>
            <w:r w:rsidRPr="00204BFA">
              <w:rPr>
                <w:rFonts w:cs="Arial"/>
                <w:sz w:val="20"/>
                <w:szCs w:val="20"/>
                <w:lang w:val="en-US"/>
              </w:rPr>
              <w:t>aus</w:t>
            </w:r>
            <w:proofErr w:type="spellEnd"/>
            <w:proofErr w:type="gramEnd"/>
            <w:r w:rsidRPr="00204BFA">
              <w:rPr>
                <w:rFonts w:cs="Arial"/>
                <w:sz w:val="20"/>
                <w:szCs w:val="20"/>
                <w:lang w:val="en-US"/>
              </w:rPr>
              <w:t xml:space="preserve"> </w:t>
            </w:r>
            <w:proofErr w:type="spellStart"/>
            <w:r w:rsidRPr="00204BFA">
              <w:rPr>
                <w:rFonts w:cs="Arial"/>
                <w:sz w:val="20"/>
                <w:szCs w:val="20"/>
                <w:lang w:val="en-US"/>
              </w:rPr>
              <w:t>Einleitung</w:t>
            </w:r>
            <w:proofErr w:type="spellEnd"/>
            <w:r w:rsidRPr="00204BFA">
              <w:rPr>
                <w:rFonts w:cs="Arial"/>
                <w:sz w:val="20"/>
                <w:szCs w:val="20"/>
                <w:lang w:val="en-US"/>
              </w:rPr>
              <w:t xml:space="preserve">:) Love—or, more precisely, the concept of ‘love power’—is at the center of my theoretical analysis of ‘formally equal patriarchy’, an attempt to explain why men still dominate contemporary western societies. I began this work in </w:t>
            </w:r>
            <w:proofErr w:type="gramStart"/>
            <w:r w:rsidRPr="00204BFA">
              <w:rPr>
                <w:rFonts w:cs="Arial"/>
                <w:sz w:val="20"/>
                <w:szCs w:val="20"/>
                <w:lang w:val="en-US"/>
              </w:rPr>
              <w:t>1980, and</w:t>
            </w:r>
            <w:proofErr w:type="gramEnd"/>
            <w:r w:rsidRPr="00204BFA">
              <w:rPr>
                <w:rFonts w:cs="Arial"/>
                <w:sz w:val="20"/>
                <w:szCs w:val="20"/>
                <w:lang w:val="en-US"/>
              </w:rPr>
              <w:t xml:space="preserve"> published my Love Power and Political Interests. Towards a Theory of Patriarchy in Contemporary Western Societies in 1991 (hereafter LP or, when quoted, Jónasdóttir 1994).1 Yet, ‘love’, sexual or otherwise, was not my focus at fi rst.2 I moved into the landscape of love through a critical and reconstructive application of Marx’s method (his materialist premises and general social theory) to feminist questions that arose in many different countries from the 1960s about the persistent inequality between women and men. My use of Marx’s method led me to identify love and love power as a creative/productive—and exploitable—human capacity, comparable in </w:t>
            </w:r>
            <w:proofErr w:type="spellStart"/>
            <w:r w:rsidRPr="00204BFA">
              <w:rPr>
                <w:rFonts w:cs="Arial"/>
                <w:sz w:val="20"/>
                <w:szCs w:val="20"/>
                <w:lang w:val="en-US"/>
              </w:rPr>
              <w:t>signifi</w:t>
            </w:r>
            <w:proofErr w:type="spellEnd"/>
            <w:r w:rsidRPr="00204BFA">
              <w:rPr>
                <w:rFonts w:cs="Arial"/>
                <w:sz w:val="20"/>
                <w:szCs w:val="20"/>
                <w:lang w:val="en-US"/>
              </w:rPr>
              <w:t xml:space="preserve"> </w:t>
            </w:r>
            <w:proofErr w:type="spellStart"/>
            <w:r w:rsidRPr="00204BFA">
              <w:rPr>
                <w:rFonts w:cs="Arial"/>
                <w:sz w:val="20"/>
                <w:szCs w:val="20"/>
                <w:lang w:val="en-US"/>
              </w:rPr>
              <w:t>cance</w:t>
            </w:r>
            <w:proofErr w:type="spellEnd"/>
            <w:r w:rsidRPr="00204BFA">
              <w:rPr>
                <w:rFonts w:cs="Arial"/>
                <w:sz w:val="20"/>
                <w:szCs w:val="20"/>
                <w:lang w:val="en-US"/>
              </w:rPr>
              <w:t xml:space="preserve"> to labor or labor power. In other words, sociosexual relationships (alias gender relations), love practices and the struggle and control over the use of love power in the process of the production/reproduction of people comprise a particular societal dimension, distinguishable as such for studying societies and social change. </w:t>
            </w:r>
          </w:p>
        </w:tc>
      </w:tr>
      <w:tr w:rsidR="00DD067E" w:rsidRPr="00352FE5" w14:paraId="01B4976A" w14:textId="77777777" w:rsidTr="00391D06">
        <w:trPr>
          <w:trHeight w:val="456"/>
        </w:trPr>
        <w:tc>
          <w:tcPr>
            <w:tcW w:w="1140" w:type="dxa"/>
            <w:gridSpan w:val="2"/>
            <w:shd w:val="clear" w:color="auto" w:fill="DEEAF6" w:themeFill="accent5" w:themeFillTint="33"/>
          </w:tcPr>
          <w:p w14:paraId="7DD92011" w14:textId="77777777" w:rsidR="00DD067E" w:rsidRPr="00CA0E7E" w:rsidRDefault="00DD067E" w:rsidP="007340C0">
            <w:pPr>
              <w:spacing w:line="240" w:lineRule="auto"/>
              <w:jc w:val="left"/>
              <w:rPr>
                <w:rFonts w:cs="Arial"/>
                <w:b/>
                <w:bCs/>
                <w:sz w:val="20"/>
                <w:szCs w:val="20"/>
                <w:lang w:val="en-US"/>
              </w:rPr>
            </w:pPr>
          </w:p>
        </w:tc>
        <w:tc>
          <w:tcPr>
            <w:tcW w:w="3968" w:type="dxa"/>
            <w:gridSpan w:val="2"/>
          </w:tcPr>
          <w:p w14:paraId="0DB03393" w14:textId="77777777" w:rsidR="00DD067E" w:rsidRPr="007340C0" w:rsidRDefault="00DD067E" w:rsidP="007340C0">
            <w:pPr>
              <w:spacing w:line="240" w:lineRule="auto"/>
              <w:jc w:val="left"/>
              <w:rPr>
                <w:rFonts w:cs="Arial"/>
                <w:sz w:val="20"/>
                <w:szCs w:val="20"/>
              </w:rPr>
            </w:pPr>
            <w:r w:rsidRPr="00266306">
              <w:rPr>
                <w:rFonts w:cs="Arial"/>
                <w:sz w:val="20"/>
                <w:szCs w:val="20"/>
                <w:highlight w:val="green"/>
              </w:rPr>
              <w:t xml:space="preserve">Knapp, </w:t>
            </w:r>
            <w:r w:rsidRPr="007340C0">
              <w:rPr>
                <w:rFonts w:cs="Arial"/>
                <w:sz w:val="20"/>
                <w:szCs w:val="20"/>
                <w:highlight w:val="green"/>
              </w:rPr>
              <w:t>Gudrun-Axeli.</w:t>
            </w:r>
            <w:r>
              <w:rPr>
                <w:rFonts w:cs="Arial"/>
                <w:sz w:val="20"/>
                <w:szCs w:val="20"/>
              </w:rPr>
              <w:t xml:space="preserve"> 2012. </w:t>
            </w:r>
            <w:r>
              <w:rPr>
                <w:rFonts w:cs="Arial"/>
                <w:i/>
                <w:sz w:val="20"/>
                <w:szCs w:val="20"/>
              </w:rPr>
              <w:t xml:space="preserve">Im Widerstreit. Feministische Theorie in Bewegung. </w:t>
            </w:r>
            <w:r>
              <w:rPr>
                <w:rFonts w:cs="Arial"/>
                <w:sz w:val="20"/>
                <w:szCs w:val="20"/>
              </w:rPr>
              <w:t xml:space="preserve">Geschlecht und Gesellschaft, Bd. 49. Wiesbaden: Springer VS. (Kapitel: </w:t>
            </w:r>
            <w:r w:rsidRPr="008C2230">
              <w:rPr>
                <w:rFonts w:cs="Arial"/>
                <w:sz w:val="20"/>
                <w:szCs w:val="20"/>
              </w:rPr>
              <w:t>Macht und Geschlecht. Neuere Entwicklungen in der feministischen Macht- und Herrschaftsdiskussion</w:t>
            </w:r>
            <w:r>
              <w:rPr>
                <w:rFonts w:cs="Arial"/>
                <w:sz w:val="20"/>
                <w:szCs w:val="20"/>
              </w:rPr>
              <w:t xml:space="preserve">, </w:t>
            </w:r>
            <w:r w:rsidRPr="006E024A">
              <w:rPr>
                <w:rFonts w:cs="Arial"/>
                <w:sz w:val="20"/>
                <w:szCs w:val="20"/>
              </w:rPr>
              <w:t>225–259</w:t>
            </w:r>
            <w:r>
              <w:rPr>
                <w:rFonts w:cs="Arial"/>
                <w:sz w:val="20"/>
                <w:szCs w:val="20"/>
              </w:rPr>
              <w:t xml:space="preserve">). </w:t>
            </w:r>
          </w:p>
        </w:tc>
        <w:tc>
          <w:tcPr>
            <w:tcW w:w="9458" w:type="dxa"/>
          </w:tcPr>
          <w:p w14:paraId="3BB74A92" w14:textId="77777777" w:rsidR="00DD067E" w:rsidRPr="00204BFA" w:rsidRDefault="00DD067E" w:rsidP="007340C0">
            <w:pPr>
              <w:spacing w:line="240" w:lineRule="auto"/>
              <w:jc w:val="left"/>
              <w:rPr>
                <w:rFonts w:cs="Arial"/>
                <w:sz w:val="20"/>
                <w:szCs w:val="20"/>
                <w:lang w:val="en-US"/>
              </w:rPr>
            </w:pPr>
            <w:r>
              <w:rPr>
                <w:rFonts w:cs="Arial"/>
                <w:sz w:val="20"/>
                <w:szCs w:val="20"/>
                <w:lang w:val="en-US"/>
              </w:rPr>
              <w:t>Kein Abstract</w:t>
            </w:r>
          </w:p>
        </w:tc>
      </w:tr>
      <w:tr w:rsidR="00DD067E" w:rsidRPr="007340C0" w14:paraId="741B9BC4" w14:textId="77777777" w:rsidTr="00CA0E7E">
        <w:trPr>
          <w:trHeight w:val="846"/>
        </w:trPr>
        <w:tc>
          <w:tcPr>
            <w:tcW w:w="1140" w:type="dxa"/>
            <w:gridSpan w:val="2"/>
            <w:shd w:val="clear" w:color="auto" w:fill="DEEAF6" w:themeFill="accent5" w:themeFillTint="33"/>
          </w:tcPr>
          <w:p w14:paraId="08215EDB" w14:textId="77777777" w:rsidR="00DD067E" w:rsidRPr="00FA04F8" w:rsidRDefault="00DD067E" w:rsidP="007340C0">
            <w:pPr>
              <w:spacing w:line="240" w:lineRule="auto"/>
              <w:jc w:val="left"/>
              <w:rPr>
                <w:rFonts w:cs="Arial"/>
                <w:b/>
                <w:bCs/>
                <w:sz w:val="20"/>
                <w:szCs w:val="20"/>
                <w:lang w:val="en-US"/>
              </w:rPr>
            </w:pPr>
          </w:p>
        </w:tc>
        <w:tc>
          <w:tcPr>
            <w:tcW w:w="3968" w:type="dxa"/>
            <w:gridSpan w:val="2"/>
          </w:tcPr>
          <w:p w14:paraId="0340A486" w14:textId="77777777" w:rsidR="00DD067E" w:rsidRPr="007340C0" w:rsidRDefault="00DD067E" w:rsidP="007340C0">
            <w:pPr>
              <w:spacing w:line="240" w:lineRule="auto"/>
              <w:jc w:val="left"/>
              <w:rPr>
                <w:rFonts w:cs="Arial"/>
                <w:sz w:val="20"/>
                <w:szCs w:val="20"/>
                <w:lang w:val="en-US"/>
              </w:rPr>
            </w:pPr>
            <w:commentRangeStart w:id="11"/>
            <w:r w:rsidRPr="00204BFA">
              <w:rPr>
                <w:rFonts w:cs="Arial"/>
                <w:sz w:val="20"/>
                <w:szCs w:val="20"/>
                <w:lang w:val="en-US"/>
              </w:rPr>
              <w:t>Tichenor</w:t>
            </w:r>
            <w:commentRangeEnd w:id="11"/>
            <w:r>
              <w:rPr>
                <w:rStyle w:val="Kommentarzeichen"/>
              </w:rPr>
              <w:commentReference w:id="11"/>
            </w:r>
            <w:r w:rsidRPr="00204BFA">
              <w:rPr>
                <w:rFonts w:cs="Arial"/>
                <w:sz w:val="20"/>
                <w:szCs w:val="20"/>
                <w:lang w:val="en-US"/>
              </w:rPr>
              <w:t>, V</w:t>
            </w:r>
            <w:r>
              <w:rPr>
                <w:rFonts w:cs="Arial"/>
                <w:sz w:val="20"/>
                <w:szCs w:val="20"/>
                <w:lang w:val="en-US"/>
              </w:rPr>
              <w:t>eronica Jaris.</w:t>
            </w:r>
            <w:r w:rsidRPr="00204BFA">
              <w:rPr>
                <w:rFonts w:cs="Arial"/>
                <w:sz w:val="20"/>
                <w:szCs w:val="20"/>
                <w:lang w:val="en-US"/>
              </w:rPr>
              <w:t xml:space="preserve"> 2011</w:t>
            </w:r>
            <w:r w:rsidRPr="00FA04F8">
              <w:rPr>
                <w:rFonts w:cs="Arial"/>
                <w:i/>
                <w:iCs/>
                <w:sz w:val="20"/>
                <w:szCs w:val="20"/>
                <w:lang w:val="en-US"/>
              </w:rPr>
              <w:t>. Earning More and Getting Less. Why Successful Wives Can't Buy Equality.</w:t>
            </w:r>
            <w:r>
              <w:rPr>
                <w:rFonts w:cs="Arial"/>
                <w:sz w:val="20"/>
                <w:szCs w:val="20"/>
                <w:lang w:val="en-US"/>
              </w:rPr>
              <w:t xml:space="preserve"> (</w:t>
            </w:r>
            <w:proofErr w:type="spellStart"/>
            <w:r>
              <w:rPr>
                <w:rFonts w:cs="Arial"/>
                <w:sz w:val="20"/>
                <w:szCs w:val="20"/>
                <w:lang w:val="en-US"/>
              </w:rPr>
              <w:t>Kapitel</w:t>
            </w:r>
            <w:proofErr w:type="spellEnd"/>
            <w:r>
              <w:rPr>
                <w:rFonts w:cs="Arial"/>
                <w:sz w:val="20"/>
                <w:szCs w:val="20"/>
                <w:lang w:val="en-US"/>
              </w:rPr>
              <w:t xml:space="preserve"> 2: </w:t>
            </w:r>
            <w:r w:rsidRPr="00204BFA">
              <w:rPr>
                <w:rFonts w:cs="Arial"/>
                <w:sz w:val="20"/>
                <w:szCs w:val="20"/>
                <w:lang w:val="en-US"/>
              </w:rPr>
              <w:t>Thinking about Gender and Power in Marriage</w:t>
            </w:r>
            <w:r>
              <w:rPr>
                <w:rFonts w:cs="Arial"/>
                <w:sz w:val="20"/>
                <w:szCs w:val="20"/>
                <w:lang w:val="en-US"/>
              </w:rPr>
              <w:t xml:space="preserve">, </w:t>
            </w:r>
            <w:r w:rsidRPr="00AF1C5A">
              <w:rPr>
                <w:rFonts w:cs="Arial"/>
                <w:sz w:val="20"/>
                <w:szCs w:val="20"/>
                <w:lang w:val="en-US"/>
              </w:rPr>
              <w:t>12-32</w:t>
            </w:r>
            <w:r>
              <w:rPr>
                <w:rFonts w:cs="Arial"/>
                <w:sz w:val="20"/>
                <w:szCs w:val="20"/>
                <w:lang w:val="en-US"/>
              </w:rPr>
              <w:t xml:space="preserve">). New Brunswick/New Jersey/London: Rutgers University Press. </w:t>
            </w:r>
          </w:p>
        </w:tc>
        <w:tc>
          <w:tcPr>
            <w:tcW w:w="9458" w:type="dxa"/>
          </w:tcPr>
          <w:p w14:paraId="61F44C2F" w14:textId="77777777" w:rsidR="00DD067E" w:rsidRPr="007340C0" w:rsidRDefault="00DD067E" w:rsidP="007340C0">
            <w:pPr>
              <w:spacing w:line="240" w:lineRule="auto"/>
              <w:jc w:val="left"/>
              <w:rPr>
                <w:rFonts w:cs="Arial"/>
                <w:sz w:val="20"/>
                <w:szCs w:val="20"/>
                <w:lang w:val="en-US"/>
              </w:rPr>
            </w:pPr>
            <w:r w:rsidRPr="00204BFA">
              <w:rPr>
                <w:rFonts w:cs="Arial"/>
                <w:sz w:val="20"/>
                <w:szCs w:val="20"/>
                <w:lang w:val="en-US"/>
              </w:rPr>
              <w:t>Thinking about power within marriage requires examining the gendered assumptions upon which marriage as an institution is built, as well as the difficulties researchers face in trying to conceptualize and measure power within marriage. In this chapter, I examine how power has been routinely conceptualized and measured within marriage, adapt these accepted measures to my work, and offer an alternative conceptualization of power that can illuminate more subtle dynamics in these marriages.</w:t>
            </w:r>
          </w:p>
        </w:tc>
      </w:tr>
      <w:tr w:rsidR="00DD067E" w:rsidRPr="00FB75B4" w14:paraId="06CABECF" w14:textId="77777777" w:rsidTr="007340C0">
        <w:trPr>
          <w:trHeight w:val="285"/>
        </w:trPr>
        <w:tc>
          <w:tcPr>
            <w:tcW w:w="1140" w:type="dxa"/>
            <w:gridSpan w:val="2"/>
            <w:shd w:val="clear" w:color="auto" w:fill="DEEAF6" w:themeFill="accent5" w:themeFillTint="33"/>
          </w:tcPr>
          <w:p w14:paraId="62339F58" w14:textId="77777777" w:rsidR="00DD067E" w:rsidRPr="008E0211" w:rsidRDefault="00DD067E" w:rsidP="007340C0">
            <w:pPr>
              <w:spacing w:line="240" w:lineRule="auto"/>
              <w:jc w:val="left"/>
              <w:rPr>
                <w:rFonts w:cs="Arial"/>
                <w:b/>
                <w:bCs/>
                <w:sz w:val="20"/>
                <w:szCs w:val="20"/>
                <w:lang w:val="en-US"/>
              </w:rPr>
            </w:pPr>
          </w:p>
        </w:tc>
        <w:tc>
          <w:tcPr>
            <w:tcW w:w="3968" w:type="dxa"/>
            <w:gridSpan w:val="2"/>
          </w:tcPr>
          <w:p w14:paraId="7174D798" w14:textId="77777777" w:rsidR="00DD067E" w:rsidRPr="00A430BE" w:rsidRDefault="00DD067E" w:rsidP="007340C0">
            <w:pPr>
              <w:spacing w:line="240" w:lineRule="auto"/>
              <w:jc w:val="left"/>
              <w:rPr>
                <w:rFonts w:cs="Arial"/>
                <w:sz w:val="20"/>
                <w:szCs w:val="20"/>
                <w:lang w:val="en-US"/>
              </w:rPr>
            </w:pPr>
            <w:r w:rsidRPr="00A430BE">
              <w:rPr>
                <w:sz w:val="20"/>
                <w:szCs w:val="20"/>
                <w:lang w:val="en-US"/>
              </w:rPr>
              <w:t>Watson, C</w:t>
            </w:r>
            <w:r w:rsidRPr="00A430BE">
              <w:rPr>
                <w:sz w:val="20"/>
                <w:szCs w:val="20"/>
                <w:lang w:val="en-US"/>
              </w:rPr>
              <w:t xml:space="preserve">arol. </w:t>
            </w:r>
            <w:r w:rsidRPr="00A430BE">
              <w:rPr>
                <w:sz w:val="20"/>
                <w:szCs w:val="20"/>
                <w:lang w:val="en-US"/>
              </w:rPr>
              <w:t>1994. Gender versus Power as a Predictor of Negotiation Behavior and Outcomes</w:t>
            </w:r>
            <w:r w:rsidRPr="00A430BE">
              <w:rPr>
                <w:sz w:val="20"/>
                <w:szCs w:val="20"/>
                <w:lang w:val="en-US"/>
              </w:rPr>
              <w:t>.</w:t>
            </w:r>
            <w:r w:rsidRPr="00A430BE">
              <w:rPr>
                <w:sz w:val="20"/>
                <w:szCs w:val="20"/>
                <w:lang w:val="en-US"/>
              </w:rPr>
              <w:t xml:space="preserve"> </w:t>
            </w:r>
            <w:r w:rsidRPr="00A430BE">
              <w:rPr>
                <w:i/>
                <w:iCs/>
                <w:sz w:val="20"/>
                <w:szCs w:val="20"/>
                <w:lang w:val="en-US"/>
              </w:rPr>
              <w:t>Negotiation</w:t>
            </w:r>
            <w:r w:rsidRPr="00A430BE">
              <w:rPr>
                <w:sz w:val="20"/>
                <w:szCs w:val="20"/>
                <w:lang w:val="en-US"/>
              </w:rPr>
              <w:t xml:space="preserve"> </w:t>
            </w:r>
            <w:r w:rsidRPr="00A430BE">
              <w:rPr>
                <w:i/>
                <w:iCs/>
                <w:sz w:val="20"/>
                <w:szCs w:val="20"/>
                <w:lang w:val="en-US"/>
              </w:rPr>
              <w:t>Journal</w:t>
            </w:r>
            <w:r w:rsidRPr="00A430BE">
              <w:rPr>
                <w:i/>
                <w:iCs/>
                <w:sz w:val="20"/>
                <w:szCs w:val="20"/>
                <w:lang w:val="en-US"/>
              </w:rPr>
              <w:t xml:space="preserve"> </w:t>
            </w:r>
            <w:r w:rsidRPr="00A430BE">
              <w:rPr>
                <w:sz w:val="20"/>
                <w:szCs w:val="20"/>
                <w:lang w:val="en-US"/>
              </w:rPr>
              <w:t>10</w:t>
            </w:r>
            <w:r w:rsidRPr="00A430BE">
              <w:rPr>
                <w:sz w:val="20"/>
                <w:szCs w:val="20"/>
                <w:lang w:val="en-US"/>
              </w:rPr>
              <w:t xml:space="preserve"> </w:t>
            </w:r>
            <w:r w:rsidRPr="00A430BE">
              <w:rPr>
                <w:sz w:val="20"/>
                <w:szCs w:val="20"/>
                <w:lang w:val="en-US"/>
              </w:rPr>
              <w:t>(2)</w:t>
            </w:r>
            <w:r w:rsidRPr="00A430BE">
              <w:rPr>
                <w:sz w:val="20"/>
                <w:szCs w:val="20"/>
                <w:lang w:val="en-US"/>
              </w:rPr>
              <w:t>:</w:t>
            </w:r>
            <w:r w:rsidRPr="00A430BE">
              <w:rPr>
                <w:sz w:val="20"/>
                <w:szCs w:val="20"/>
                <w:lang w:val="en-US"/>
              </w:rPr>
              <w:t xml:space="preserve"> 117-127. doi:0748- 4526/94/0400-0117507,00/0</w:t>
            </w:r>
          </w:p>
        </w:tc>
        <w:tc>
          <w:tcPr>
            <w:tcW w:w="9458" w:type="dxa"/>
          </w:tcPr>
          <w:p w14:paraId="2A7FE040" w14:textId="77777777" w:rsidR="00DD067E" w:rsidRPr="003A47FA" w:rsidRDefault="00DD067E" w:rsidP="007340C0">
            <w:pPr>
              <w:spacing w:line="240" w:lineRule="auto"/>
              <w:jc w:val="left"/>
              <w:rPr>
                <w:rFonts w:cs="Arial"/>
                <w:sz w:val="20"/>
                <w:szCs w:val="20"/>
                <w:lang w:val="en-US"/>
              </w:rPr>
            </w:pPr>
            <w:r w:rsidRPr="003A47FA">
              <w:rPr>
                <w:rFonts w:cs="Arial"/>
                <w:sz w:val="20"/>
                <w:szCs w:val="20"/>
                <w:lang w:val="en-US"/>
              </w:rPr>
              <w:t xml:space="preserve">Reviewed 8 research studies that addressed the topic of gender differences in negotiation, conflict, or power to determine support for 4 competing explanations of the origin of gender differences in negotiation behavior: gender-role socialization, situational power, </w:t>
            </w:r>
            <w:proofErr w:type="gramStart"/>
            <w:r w:rsidRPr="003A47FA">
              <w:rPr>
                <w:rFonts w:cs="Arial"/>
                <w:sz w:val="20"/>
                <w:szCs w:val="20"/>
                <w:lang w:val="en-US"/>
              </w:rPr>
              <w:t>gender</w:t>
            </w:r>
            <w:proofErr w:type="gramEnd"/>
            <w:r w:rsidRPr="003A47FA">
              <w:rPr>
                <w:rFonts w:cs="Arial"/>
                <w:sz w:val="20"/>
                <w:szCs w:val="20"/>
                <w:lang w:val="en-US"/>
              </w:rPr>
              <w:t xml:space="preserve"> and power combined, or the expectation states theory. Situational power appeared to be a better predictor of negotiation behavior and outcomes than did gender. Although gender did not affect tactical behavior, it did lead to differences in negotiators' confidence. Gender also interacted with situational power and other contextual factors in ways that did not affect behavior and outcomes. The gender of the negotiator's opponent also affected negotiation behavior, and women were particularly sensitive to an opponent's gender.</w:t>
            </w:r>
          </w:p>
        </w:tc>
      </w:tr>
      <w:tr w:rsidR="00BB55FA" w:rsidRPr="00352FE5" w14:paraId="0219415A" w14:textId="77777777" w:rsidTr="007340C0">
        <w:trPr>
          <w:trHeight w:val="423"/>
        </w:trPr>
        <w:tc>
          <w:tcPr>
            <w:tcW w:w="1140" w:type="dxa"/>
            <w:gridSpan w:val="2"/>
            <w:shd w:val="clear" w:color="auto" w:fill="DEEAF6" w:themeFill="accent5" w:themeFillTint="33"/>
          </w:tcPr>
          <w:p w14:paraId="5E0165F0" w14:textId="54D9C960" w:rsidR="00BB55FA" w:rsidRPr="007340C0" w:rsidRDefault="00BB55FA" w:rsidP="007340C0">
            <w:pPr>
              <w:spacing w:line="240" w:lineRule="auto"/>
              <w:jc w:val="left"/>
              <w:rPr>
                <w:rFonts w:cs="Arial"/>
                <w:b/>
                <w:bCs/>
                <w:sz w:val="20"/>
                <w:szCs w:val="20"/>
                <w:lang w:val="en-US"/>
              </w:rPr>
            </w:pPr>
          </w:p>
        </w:tc>
        <w:tc>
          <w:tcPr>
            <w:tcW w:w="3968" w:type="dxa"/>
            <w:gridSpan w:val="2"/>
          </w:tcPr>
          <w:p w14:paraId="76B093DB" w14:textId="2CC58A67" w:rsidR="00BB55FA" w:rsidRPr="00AF1C5A" w:rsidRDefault="00BB55FA" w:rsidP="007340C0">
            <w:pPr>
              <w:spacing w:line="240" w:lineRule="auto"/>
              <w:jc w:val="left"/>
              <w:rPr>
                <w:rFonts w:cs="Arial"/>
                <w:sz w:val="20"/>
                <w:szCs w:val="20"/>
                <w:lang w:val="en-US"/>
              </w:rPr>
            </w:pPr>
          </w:p>
        </w:tc>
        <w:tc>
          <w:tcPr>
            <w:tcW w:w="9458" w:type="dxa"/>
          </w:tcPr>
          <w:p w14:paraId="6F25396F" w14:textId="15605C67" w:rsidR="00BB55FA" w:rsidRPr="00204BFA" w:rsidRDefault="00BB55FA" w:rsidP="007340C0">
            <w:pPr>
              <w:spacing w:line="240" w:lineRule="auto"/>
              <w:jc w:val="left"/>
              <w:rPr>
                <w:rFonts w:cs="Arial"/>
                <w:sz w:val="20"/>
                <w:szCs w:val="20"/>
                <w:lang w:val="en-US"/>
              </w:rPr>
            </w:pPr>
          </w:p>
        </w:tc>
      </w:tr>
      <w:tr w:rsidR="00096E4B" w:rsidRPr="008E0211" w14:paraId="17477ECB" w14:textId="77777777" w:rsidTr="00962670">
        <w:trPr>
          <w:trHeight w:val="285"/>
        </w:trPr>
        <w:tc>
          <w:tcPr>
            <w:tcW w:w="14566" w:type="dxa"/>
            <w:gridSpan w:val="5"/>
            <w:shd w:val="clear" w:color="auto" w:fill="FFCCFF"/>
            <w:hideMark/>
          </w:tcPr>
          <w:p w14:paraId="6A2B3970" w14:textId="4A85E9FB" w:rsidR="00096E4B" w:rsidRPr="008E0211" w:rsidRDefault="00096E4B" w:rsidP="007340C0">
            <w:pPr>
              <w:spacing w:line="240" w:lineRule="auto"/>
              <w:jc w:val="left"/>
              <w:rPr>
                <w:rFonts w:cs="Arial"/>
                <w:sz w:val="20"/>
                <w:szCs w:val="20"/>
              </w:rPr>
            </w:pPr>
            <w:r w:rsidRPr="00950D62">
              <w:rPr>
                <w:rFonts w:cs="Arial"/>
                <w:b/>
                <w:bCs/>
                <w:sz w:val="20"/>
                <w:szCs w:val="20"/>
                <w:lang w:val="en-US"/>
              </w:rPr>
              <w:t> </w:t>
            </w:r>
            <w:r w:rsidRPr="00FA04F8">
              <w:rPr>
                <w:rFonts w:cs="Arial"/>
                <w:b/>
                <w:bCs/>
                <w:sz w:val="20"/>
                <w:szCs w:val="20"/>
              </w:rPr>
              <w:t>Macht &amp; Herrschaft</w:t>
            </w:r>
          </w:p>
        </w:tc>
      </w:tr>
      <w:tr w:rsidR="00CD0F63" w:rsidRPr="008E0211" w14:paraId="75383872" w14:textId="77777777" w:rsidTr="00CD0F63">
        <w:trPr>
          <w:trHeight w:val="285"/>
        </w:trPr>
        <w:tc>
          <w:tcPr>
            <w:tcW w:w="14566" w:type="dxa"/>
            <w:gridSpan w:val="5"/>
            <w:shd w:val="clear" w:color="auto" w:fill="538135" w:themeFill="accent6" w:themeFillShade="BF"/>
          </w:tcPr>
          <w:p w14:paraId="5437A16A" w14:textId="3B4355DA" w:rsidR="00CD0F63" w:rsidRPr="00CD0F63" w:rsidRDefault="00CD0F63" w:rsidP="00CD0F63">
            <w:pPr>
              <w:spacing w:line="240" w:lineRule="auto"/>
              <w:jc w:val="left"/>
              <w:rPr>
                <w:rFonts w:cs="Arial"/>
                <w:b/>
                <w:bCs/>
                <w:color w:val="FFFFFF" w:themeColor="background1"/>
                <w:sz w:val="20"/>
                <w:szCs w:val="20"/>
              </w:rPr>
            </w:pPr>
            <w:r w:rsidRPr="00CD0F63">
              <w:rPr>
                <w:rFonts w:cs="Arial"/>
                <w:b/>
                <w:bCs/>
                <w:color w:val="FFFFFF" w:themeColor="background1"/>
                <w:sz w:val="20"/>
                <w:szCs w:val="20"/>
              </w:rPr>
              <w:t>Primärliteratur/Soziologische Klassiker/</w:t>
            </w:r>
            <w:proofErr w:type="gramStart"/>
            <w:r w:rsidRPr="00CD0F63">
              <w:rPr>
                <w:rFonts w:cs="Arial"/>
                <w:b/>
                <w:bCs/>
                <w:color w:val="FFFFFF" w:themeColor="background1"/>
                <w:sz w:val="20"/>
                <w:szCs w:val="20"/>
              </w:rPr>
              <w:t>Häufig</w:t>
            </w:r>
            <w:proofErr w:type="gramEnd"/>
            <w:r w:rsidRPr="00CD0F63">
              <w:rPr>
                <w:rFonts w:cs="Arial"/>
                <w:b/>
                <w:bCs/>
                <w:color w:val="FFFFFF" w:themeColor="background1"/>
                <w:sz w:val="20"/>
                <w:szCs w:val="20"/>
              </w:rPr>
              <w:t xml:space="preserve"> zitierte Werke</w:t>
            </w:r>
          </w:p>
        </w:tc>
      </w:tr>
      <w:tr w:rsidR="00BB55FA" w:rsidRPr="00204BFA" w14:paraId="303D80B3" w14:textId="77777777" w:rsidTr="00AF5792">
        <w:trPr>
          <w:trHeight w:val="285"/>
        </w:trPr>
        <w:tc>
          <w:tcPr>
            <w:tcW w:w="1140" w:type="dxa"/>
            <w:gridSpan w:val="2"/>
            <w:shd w:val="clear" w:color="auto" w:fill="A8D08D" w:themeFill="accent6" w:themeFillTint="99"/>
          </w:tcPr>
          <w:p w14:paraId="19F75459" w14:textId="77777777" w:rsidR="00BB55FA" w:rsidRPr="00FA04F8" w:rsidRDefault="00BB55FA" w:rsidP="00CD0F63">
            <w:pPr>
              <w:spacing w:line="240" w:lineRule="auto"/>
              <w:jc w:val="left"/>
              <w:rPr>
                <w:rFonts w:cs="Arial"/>
                <w:b/>
                <w:bCs/>
                <w:sz w:val="20"/>
                <w:szCs w:val="20"/>
              </w:rPr>
            </w:pPr>
          </w:p>
        </w:tc>
        <w:tc>
          <w:tcPr>
            <w:tcW w:w="3968" w:type="dxa"/>
            <w:gridSpan w:val="2"/>
          </w:tcPr>
          <w:p w14:paraId="406B9108" w14:textId="77777777" w:rsidR="00BB55FA" w:rsidRDefault="00BB55FA" w:rsidP="00CD0F63">
            <w:pPr>
              <w:spacing w:line="240" w:lineRule="auto"/>
              <w:jc w:val="left"/>
              <w:rPr>
                <w:rFonts w:cs="Arial"/>
                <w:sz w:val="20"/>
                <w:szCs w:val="20"/>
              </w:rPr>
            </w:pPr>
          </w:p>
        </w:tc>
        <w:tc>
          <w:tcPr>
            <w:tcW w:w="9458" w:type="dxa"/>
          </w:tcPr>
          <w:p w14:paraId="79A7AA4F" w14:textId="77777777" w:rsidR="00BB55FA" w:rsidRDefault="00BB55FA" w:rsidP="00CD0F63">
            <w:pPr>
              <w:spacing w:line="240" w:lineRule="auto"/>
              <w:jc w:val="left"/>
              <w:rPr>
                <w:rFonts w:cs="Arial"/>
                <w:sz w:val="20"/>
                <w:szCs w:val="20"/>
              </w:rPr>
            </w:pPr>
          </w:p>
        </w:tc>
      </w:tr>
      <w:tr w:rsidR="00BB55FA" w:rsidRPr="00204BFA" w14:paraId="355FC3BD" w14:textId="77777777" w:rsidTr="00AF5792">
        <w:trPr>
          <w:trHeight w:val="285"/>
        </w:trPr>
        <w:tc>
          <w:tcPr>
            <w:tcW w:w="1140" w:type="dxa"/>
            <w:gridSpan w:val="2"/>
            <w:shd w:val="clear" w:color="auto" w:fill="A8D08D" w:themeFill="accent6" w:themeFillTint="99"/>
          </w:tcPr>
          <w:p w14:paraId="2B7D2488" w14:textId="77777777" w:rsidR="00BB55FA" w:rsidRPr="00FA04F8" w:rsidRDefault="00BB55FA" w:rsidP="00CD0F63">
            <w:pPr>
              <w:spacing w:line="240" w:lineRule="auto"/>
              <w:jc w:val="left"/>
              <w:rPr>
                <w:rFonts w:cs="Arial"/>
                <w:b/>
                <w:bCs/>
                <w:sz w:val="20"/>
                <w:szCs w:val="20"/>
              </w:rPr>
            </w:pPr>
          </w:p>
        </w:tc>
        <w:tc>
          <w:tcPr>
            <w:tcW w:w="3968" w:type="dxa"/>
            <w:gridSpan w:val="2"/>
          </w:tcPr>
          <w:p w14:paraId="7AEF3F35" w14:textId="77777777" w:rsidR="00BB55FA" w:rsidRDefault="00BB55FA" w:rsidP="00CD0F63">
            <w:pPr>
              <w:spacing w:line="240" w:lineRule="auto"/>
              <w:jc w:val="left"/>
              <w:rPr>
                <w:rFonts w:cs="Arial"/>
                <w:sz w:val="20"/>
                <w:szCs w:val="20"/>
              </w:rPr>
            </w:pPr>
          </w:p>
        </w:tc>
        <w:tc>
          <w:tcPr>
            <w:tcW w:w="9458" w:type="dxa"/>
          </w:tcPr>
          <w:p w14:paraId="4758D13C" w14:textId="77777777" w:rsidR="00BB55FA" w:rsidRDefault="00BB55FA" w:rsidP="00CD0F63">
            <w:pPr>
              <w:spacing w:line="240" w:lineRule="auto"/>
              <w:jc w:val="left"/>
              <w:rPr>
                <w:rFonts w:cs="Arial"/>
                <w:sz w:val="20"/>
                <w:szCs w:val="20"/>
              </w:rPr>
            </w:pPr>
          </w:p>
        </w:tc>
      </w:tr>
      <w:tr w:rsidR="00BB55FA" w:rsidRPr="00204BFA" w14:paraId="1A69A2AC" w14:textId="77777777" w:rsidTr="00AF5792">
        <w:trPr>
          <w:trHeight w:val="285"/>
        </w:trPr>
        <w:tc>
          <w:tcPr>
            <w:tcW w:w="1140" w:type="dxa"/>
            <w:gridSpan w:val="2"/>
            <w:shd w:val="clear" w:color="auto" w:fill="A8D08D" w:themeFill="accent6" w:themeFillTint="99"/>
          </w:tcPr>
          <w:p w14:paraId="072E5A96" w14:textId="77777777" w:rsidR="00BB55FA" w:rsidRPr="00FA04F8" w:rsidRDefault="00BB55FA" w:rsidP="00CD0F63">
            <w:pPr>
              <w:spacing w:line="240" w:lineRule="auto"/>
              <w:jc w:val="left"/>
              <w:rPr>
                <w:rFonts w:cs="Arial"/>
                <w:b/>
                <w:bCs/>
                <w:sz w:val="20"/>
                <w:szCs w:val="20"/>
              </w:rPr>
            </w:pPr>
          </w:p>
        </w:tc>
        <w:tc>
          <w:tcPr>
            <w:tcW w:w="3968" w:type="dxa"/>
            <w:gridSpan w:val="2"/>
          </w:tcPr>
          <w:p w14:paraId="1855DE8C" w14:textId="77777777" w:rsidR="00BB55FA" w:rsidRDefault="00BB55FA" w:rsidP="00CD0F63">
            <w:pPr>
              <w:spacing w:line="240" w:lineRule="auto"/>
              <w:jc w:val="left"/>
              <w:rPr>
                <w:rFonts w:cs="Arial"/>
                <w:sz w:val="20"/>
                <w:szCs w:val="20"/>
              </w:rPr>
            </w:pPr>
          </w:p>
        </w:tc>
        <w:tc>
          <w:tcPr>
            <w:tcW w:w="9458" w:type="dxa"/>
          </w:tcPr>
          <w:p w14:paraId="31476139" w14:textId="77777777" w:rsidR="00BB55FA" w:rsidRDefault="00BB55FA" w:rsidP="00CD0F63">
            <w:pPr>
              <w:spacing w:line="240" w:lineRule="auto"/>
              <w:jc w:val="left"/>
              <w:rPr>
                <w:rFonts w:cs="Arial"/>
                <w:sz w:val="20"/>
                <w:szCs w:val="20"/>
              </w:rPr>
            </w:pPr>
          </w:p>
        </w:tc>
      </w:tr>
      <w:tr w:rsidR="00BB55FA" w:rsidRPr="00204BFA" w14:paraId="0E78DB96" w14:textId="77777777" w:rsidTr="00AF5792">
        <w:trPr>
          <w:trHeight w:val="285"/>
        </w:trPr>
        <w:tc>
          <w:tcPr>
            <w:tcW w:w="1140" w:type="dxa"/>
            <w:gridSpan w:val="2"/>
            <w:shd w:val="clear" w:color="auto" w:fill="A8D08D" w:themeFill="accent6" w:themeFillTint="99"/>
          </w:tcPr>
          <w:p w14:paraId="224EFA92" w14:textId="77777777" w:rsidR="00BB55FA" w:rsidRPr="00FA04F8" w:rsidRDefault="00BB55FA" w:rsidP="00CD0F63">
            <w:pPr>
              <w:spacing w:line="240" w:lineRule="auto"/>
              <w:jc w:val="left"/>
              <w:rPr>
                <w:rFonts w:cs="Arial"/>
                <w:b/>
                <w:bCs/>
                <w:sz w:val="20"/>
                <w:szCs w:val="20"/>
              </w:rPr>
            </w:pPr>
          </w:p>
        </w:tc>
        <w:tc>
          <w:tcPr>
            <w:tcW w:w="3968" w:type="dxa"/>
            <w:gridSpan w:val="2"/>
          </w:tcPr>
          <w:p w14:paraId="4AEF6E02" w14:textId="77777777" w:rsidR="00BB55FA" w:rsidRDefault="00BB55FA" w:rsidP="00CD0F63">
            <w:pPr>
              <w:spacing w:line="240" w:lineRule="auto"/>
              <w:jc w:val="left"/>
              <w:rPr>
                <w:rFonts w:cs="Arial"/>
                <w:sz w:val="20"/>
                <w:szCs w:val="20"/>
              </w:rPr>
            </w:pPr>
          </w:p>
        </w:tc>
        <w:tc>
          <w:tcPr>
            <w:tcW w:w="9458" w:type="dxa"/>
          </w:tcPr>
          <w:p w14:paraId="5E5C1AB1" w14:textId="77777777" w:rsidR="00BB55FA" w:rsidRDefault="00BB55FA" w:rsidP="00CD0F63">
            <w:pPr>
              <w:spacing w:line="240" w:lineRule="auto"/>
              <w:jc w:val="left"/>
              <w:rPr>
                <w:rFonts w:cs="Arial"/>
                <w:sz w:val="20"/>
                <w:szCs w:val="20"/>
              </w:rPr>
            </w:pPr>
          </w:p>
        </w:tc>
      </w:tr>
      <w:tr w:rsidR="00CD0F63" w:rsidRPr="00204BFA" w14:paraId="5E067C2F" w14:textId="77777777" w:rsidTr="0047558B">
        <w:trPr>
          <w:trHeight w:val="285"/>
        </w:trPr>
        <w:tc>
          <w:tcPr>
            <w:tcW w:w="14566" w:type="dxa"/>
            <w:gridSpan w:val="5"/>
            <w:shd w:val="clear" w:color="auto" w:fill="538135" w:themeFill="accent6" w:themeFillShade="BF"/>
          </w:tcPr>
          <w:p w14:paraId="5970F8D2" w14:textId="54D851C3"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Grundlagentexte/Einführungsliteratur/Sekundärliteratur/Begriffsdefinitionen</w:t>
            </w:r>
          </w:p>
        </w:tc>
      </w:tr>
      <w:tr w:rsidR="00DD067E" w:rsidRPr="00204BFA" w14:paraId="3DCE761C" w14:textId="77777777" w:rsidTr="00AF5792">
        <w:trPr>
          <w:trHeight w:val="285"/>
        </w:trPr>
        <w:tc>
          <w:tcPr>
            <w:tcW w:w="1140" w:type="dxa"/>
            <w:gridSpan w:val="2"/>
            <w:shd w:val="clear" w:color="auto" w:fill="A8D08D" w:themeFill="accent6" w:themeFillTint="99"/>
            <w:hideMark/>
          </w:tcPr>
          <w:p w14:paraId="38200C3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p w14:paraId="408117F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3380EF84" w14:textId="77777777" w:rsidR="00DD067E" w:rsidRPr="00204BFA" w:rsidRDefault="00DD067E" w:rsidP="00CD0F63">
            <w:pPr>
              <w:spacing w:line="240" w:lineRule="auto"/>
              <w:jc w:val="left"/>
              <w:rPr>
                <w:rFonts w:cs="Arial"/>
                <w:sz w:val="20"/>
                <w:szCs w:val="20"/>
              </w:rPr>
            </w:pPr>
            <w:r>
              <w:rPr>
                <w:rFonts w:cs="Arial"/>
                <w:sz w:val="20"/>
                <w:szCs w:val="20"/>
              </w:rPr>
              <w:t xml:space="preserve">Becker, Michael. 2012. </w:t>
            </w:r>
            <w:r w:rsidRPr="00862C5A">
              <w:rPr>
                <w:rFonts w:cs="Arial"/>
                <w:sz w:val="20"/>
                <w:szCs w:val="20"/>
              </w:rPr>
              <w:t>Die Eigensinnigkeit des Politischen – Hannah Arendt und Jürgen Habermas über Macht und Herrschaft</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862C5A">
              <w:rPr>
                <w:rFonts w:cs="Arial"/>
                <w:sz w:val="20"/>
                <w:szCs w:val="20"/>
              </w:rPr>
              <w:t>217–246</w:t>
            </w:r>
            <w:r>
              <w:rPr>
                <w:rFonts w:cs="Arial"/>
                <w:sz w:val="20"/>
                <w:szCs w:val="20"/>
              </w:rPr>
              <w:t>. Wiesbaden: Springer VS.</w:t>
            </w:r>
            <w:r>
              <w:rPr>
                <w:rFonts w:cs="Arial"/>
                <w:sz w:val="20"/>
                <w:szCs w:val="20"/>
              </w:rPr>
              <w:t xml:space="preserve"> </w:t>
            </w:r>
            <w:r w:rsidRPr="009507EE">
              <w:rPr>
                <w:rFonts w:cs="Arial"/>
                <w:sz w:val="20"/>
                <w:szCs w:val="20"/>
              </w:rPr>
              <w:t>DOI 10.1007/978-3-531-93469-3_11</w:t>
            </w:r>
          </w:p>
        </w:tc>
        <w:tc>
          <w:tcPr>
            <w:tcW w:w="9458" w:type="dxa"/>
            <w:hideMark/>
          </w:tcPr>
          <w:p w14:paraId="747168CD"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C74A6E">
              <w:rPr>
                <w:rFonts w:cs="Arial"/>
                <w:sz w:val="20"/>
                <w:szCs w:val="20"/>
              </w:rPr>
              <w:t>In der normativen politischen Philosophie, der Rechtsphilosophie und auch der Demokratietheorie ist es weitgehend unumstritten, dass es Kriterien der Anerkennungswürdigkeit und Legitimität politischer Ordnungen gibt. Als unverzichtbare Elemente dieser Ordnungen werden in der Regel Grundrechte oder ein Grundrecht, aus dem andere abzuleiten sind, inklusive eines diesbezüglichen Begründungsarrangements angesehen. Wie im Kontext der so beschaffenen Verfassungen politische Macht entsteht bzw. worin sie besteht, wird dagegen weniger oft thematisiert. Wenn überhaupt, dann fällt dies in die Zuständigkeit der politischen Philosophie, da sie, anders als die vorrangig auf Normen fixierte Rechtsphilosophie, auch Prozesse der Normsetzung – die Verfassung ‚in Bewegung‘ sozusagen – analysiert.</w:t>
            </w:r>
          </w:p>
        </w:tc>
      </w:tr>
      <w:tr w:rsidR="00DD067E" w:rsidRPr="00204BFA" w14:paraId="2FD2F864" w14:textId="77777777" w:rsidTr="00AF5792">
        <w:trPr>
          <w:trHeight w:val="2280"/>
        </w:trPr>
        <w:tc>
          <w:tcPr>
            <w:tcW w:w="1140" w:type="dxa"/>
            <w:gridSpan w:val="2"/>
            <w:shd w:val="clear" w:color="auto" w:fill="A8D08D" w:themeFill="accent6" w:themeFillTint="99"/>
            <w:hideMark/>
          </w:tcPr>
          <w:p w14:paraId="3495F0E8"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7747BADC" w14:textId="77777777" w:rsidR="00DD067E" w:rsidRPr="00204BFA" w:rsidRDefault="00DD067E" w:rsidP="00CD0F63">
            <w:pPr>
              <w:spacing w:line="240" w:lineRule="auto"/>
              <w:jc w:val="left"/>
              <w:rPr>
                <w:rFonts w:cs="Arial"/>
                <w:sz w:val="20"/>
                <w:szCs w:val="20"/>
              </w:rPr>
            </w:pPr>
            <w:proofErr w:type="spellStart"/>
            <w:r w:rsidRPr="00204BFA">
              <w:rPr>
                <w:rFonts w:cs="Arial"/>
                <w:sz w:val="20"/>
                <w:szCs w:val="20"/>
              </w:rPr>
              <w:t>Hösler</w:t>
            </w:r>
            <w:proofErr w:type="spellEnd"/>
            <w:r w:rsidRPr="00204BFA">
              <w:rPr>
                <w:rFonts w:cs="Arial"/>
                <w:sz w:val="20"/>
                <w:szCs w:val="20"/>
              </w:rPr>
              <w:t>, J</w:t>
            </w:r>
            <w:r>
              <w:rPr>
                <w:rFonts w:cs="Arial"/>
                <w:sz w:val="20"/>
                <w:szCs w:val="20"/>
              </w:rPr>
              <w:t xml:space="preserve">oachim. </w:t>
            </w:r>
            <w:r w:rsidRPr="00204BFA">
              <w:rPr>
                <w:rFonts w:cs="Arial"/>
                <w:sz w:val="20"/>
                <w:szCs w:val="20"/>
              </w:rPr>
              <w:t>2012. Vom Traum zum Bewusstsein einer Sache gelangen– Analyse und Kritik von Macht und Herrschaft durch Karl Marx und Friedrich Engels. I</w:t>
            </w:r>
            <w:r>
              <w:rPr>
                <w:rFonts w:cs="Arial"/>
                <w:sz w:val="20"/>
                <w:szCs w:val="20"/>
              </w:rPr>
              <w:t xml:space="preserve">n </w:t>
            </w:r>
            <w:r>
              <w:rPr>
                <w:rFonts w:cs="Arial"/>
                <w:i/>
                <w:sz w:val="20"/>
                <w:szCs w:val="20"/>
              </w:rPr>
              <w:t>Macht und Herrschaft</w:t>
            </w:r>
            <w:r>
              <w:rPr>
                <w:rFonts w:cs="Arial"/>
                <w:sz w:val="20"/>
                <w:szCs w:val="20"/>
              </w:rPr>
              <w:t>, hrsg. von Peter Imbusch, 55-71. Wiesbaden: Springer VS.</w:t>
            </w:r>
            <w:r w:rsidRPr="00204BFA">
              <w:rPr>
                <w:rFonts w:cs="Arial"/>
                <w:sz w:val="20"/>
                <w:szCs w:val="20"/>
              </w:rPr>
              <w:t xml:space="preserve"> https://doi.org/10.1007/978-3-531-93469-3_3</w:t>
            </w:r>
          </w:p>
        </w:tc>
        <w:tc>
          <w:tcPr>
            <w:tcW w:w="9458" w:type="dxa"/>
            <w:hideMark/>
          </w:tcPr>
          <w:p w14:paraId="15D88E2C" w14:textId="77777777" w:rsidR="00DD067E" w:rsidRPr="00204BFA" w:rsidRDefault="00DD067E" w:rsidP="00CD0F63">
            <w:pPr>
              <w:spacing w:line="240" w:lineRule="auto"/>
              <w:jc w:val="left"/>
              <w:rPr>
                <w:rFonts w:cs="Arial"/>
                <w:sz w:val="20"/>
                <w:szCs w:val="20"/>
              </w:rPr>
            </w:pPr>
            <w:r w:rsidRPr="00204BFA">
              <w:rPr>
                <w:rFonts w:cs="Arial"/>
                <w:sz w:val="20"/>
                <w:szCs w:val="20"/>
              </w:rPr>
              <w:t>(aus Einleitung:)Das Werk von Karl Marx (1818-1883) und Friedrich Engels (1820-1895) war wie kein anderes im 19. und 20. Jahrhundert in politischen Machtkämpfen und in Herrschaftssystemen präsent. Erwartet man aber, dass ‘Macht’ und ‘Herrschaft’ in ihrem Denken klar definiert waren, so überrascht der Blick in relevante deutschsprachige Nachschlagewerke: Oft bleibt die Suche nach dem Machtbegriff erfolglos</w:t>
            </w:r>
            <w:proofErr w:type="gramStart"/>
            <w:r w:rsidRPr="00204BFA">
              <w:rPr>
                <w:rFonts w:cs="Arial"/>
                <w:sz w:val="20"/>
                <w:szCs w:val="20"/>
              </w:rPr>
              <w:t>1 ,</w:t>
            </w:r>
            <w:proofErr w:type="gramEnd"/>
            <w:r w:rsidRPr="00204BFA">
              <w:rPr>
                <w:rFonts w:cs="Arial"/>
                <w:sz w:val="20"/>
                <w:szCs w:val="20"/>
              </w:rPr>
              <w:t xml:space="preserve"> der Herrschaftsbegriff ist nur in wenigen Enzyklopädien zu finden.2 Es dominieren die Verweise auf angrenzende Problemfelder wie Anarchie, Ideologie, Kommunismus und Staat (Kumpf 1983), Klassenherrschaft, herrschende Klasse, Herrschaftsverhältnisse (Fetscher 1976) </w:t>
            </w:r>
            <w:proofErr w:type="spellStart"/>
            <w:r w:rsidRPr="00204BFA">
              <w:rPr>
                <w:rFonts w:cs="Arial"/>
                <w:sz w:val="20"/>
                <w:szCs w:val="20"/>
              </w:rPr>
              <w:t>u.a</w:t>
            </w:r>
            <w:proofErr w:type="spellEnd"/>
          </w:p>
        </w:tc>
      </w:tr>
      <w:tr w:rsidR="00DD067E" w:rsidRPr="00204BFA" w14:paraId="6A3648F2" w14:textId="77777777" w:rsidTr="006270BF">
        <w:trPr>
          <w:trHeight w:val="2537"/>
        </w:trPr>
        <w:tc>
          <w:tcPr>
            <w:tcW w:w="1140" w:type="dxa"/>
            <w:gridSpan w:val="2"/>
            <w:shd w:val="clear" w:color="auto" w:fill="A8D08D" w:themeFill="accent6" w:themeFillTint="99"/>
            <w:hideMark/>
          </w:tcPr>
          <w:p w14:paraId="4B8FD5F7"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68104310" w14:textId="77777777" w:rsidR="00DD067E" w:rsidRPr="00204BFA" w:rsidRDefault="00DD067E" w:rsidP="00CD0F63">
            <w:pPr>
              <w:spacing w:line="240" w:lineRule="auto"/>
              <w:jc w:val="left"/>
              <w:rPr>
                <w:rFonts w:cs="Arial"/>
                <w:sz w:val="20"/>
                <w:szCs w:val="20"/>
              </w:rPr>
            </w:pPr>
            <w:r w:rsidRPr="00204BFA">
              <w:rPr>
                <w:rFonts w:cs="Arial"/>
                <w:sz w:val="20"/>
                <w:szCs w:val="20"/>
              </w:rPr>
              <w:t>Hülst, D</w:t>
            </w:r>
            <w:r>
              <w:rPr>
                <w:rFonts w:cs="Arial"/>
                <w:sz w:val="20"/>
                <w:szCs w:val="20"/>
              </w:rPr>
              <w:t xml:space="preserve">irk. </w:t>
            </w:r>
            <w:r w:rsidRPr="00204BFA">
              <w:rPr>
                <w:rFonts w:cs="Arial"/>
                <w:sz w:val="20"/>
                <w:szCs w:val="20"/>
              </w:rPr>
              <w:t xml:space="preserve">2012. ‘Nicht bei sich </w:t>
            </w:r>
            <w:proofErr w:type="gramStart"/>
            <w:r w:rsidRPr="00204BFA">
              <w:rPr>
                <w:rFonts w:cs="Arial"/>
                <w:sz w:val="20"/>
                <w:szCs w:val="20"/>
              </w:rPr>
              <w:t>selber</w:t>
            </w:r>
            <w:proofErr w:type="gramEnd"/>
            <w:r w:rsidRPr="00204BFA">
              <w:rPr>
                <w:rFonts w:cs="Arial"/>
                <w:sz w:val="20"/>
                <w:szCs w:val="20"/>
              </w:rPr>
              <w:t xml:space="preserve"> zu Hause sein’ – Macht und Herrschaft bei Horkheimer und Adorno. I</w:t>
            </w:r>
            <w:r>
              <w:rPr>
                <w:rFonts w:cs="Arial"/>
                <w:sz w:val="20"/>
                <w:szCs w:val="20"/>
              </w:rPr>
              <w:t xml:space="preserve">n </w:t>
            </w:r>
            <w:r>
              <w:rPr>
                <w:rFonts w:cs="Arial"/>
                <w:i/>
                <w:sz w:val="20"/>
                <w:szCs w:val="20"/>
              </w:rPr>
              <w:t>Macht und Herrschaft</w:t>
            </w:r>
            <w:r>
              <w:rPr>
                <w:rFonts w:cs="Arial"/>
                <w:sz w:val="20"/>
                <w:szCs w:val="20"/>
              </w:rPr>
              <w:t>, hrsg. von Peter Imbusch, 115-136. Wiesbaden: Springer VS.</w:t>
            </w:r>
            <w:r w:rsidRPr="00204BFA">
              <w:rPr>
                <w:rFonts w:cs="Arial"/>
                <w:sz w:val="20"/>
                <w:szCs w:val="20"/>
              </w:rPr>
              <w:t xml:space="preserve">  https://doi.org/10.1007/978-3-531-93469-3_6</w:t>
            </w:r>
          </w:p>
        </w:tc>
        <w:tc>
          <w:tcPr>
            <w:tcW w:w="9458" w:type="dxa"/>
            <w:hideMark/>
          </w:tcPr>
          <w:p w14:paraId="52E9B0F3" w14:textId="77777777" w:rsidR="00DD067E" w:rsidRPr="00204BFA" w:rsidRDefault="00DD067E" w:rsidP="00CD0F63">
            <w:pPr>
              <w:spacing w:line="240" w:lineRule="auto"/>
              <w:jc w:val="left"/>
              <w:rPr>
                <w:rFonts w:cs="Arial"/>
                <w:sz w:val="20"/>
                <w:szCs w:val="20"/>
              </w:rPr>
            </w:pPr>
            <w:r w:rsidRPr="00204BFA">
              <w:rPr>
                <w:rFonts w:cs="Arial"/>
                <w:sz w:val="20"/>
                <w:szCs w:val="20"/>
              </w:rPr>
              <w:t>(aus Kapitel): Macht und Herrschaft besitzen nicht den Stellenwert von wohldefinierten Grundbegriffen der Kritischen Theorie, sie dienen weder als tragende Stützen im Aufbau des theoretischen Denkens der Autoren noch fungieren sie als explizit forschungsleitende Gedankenwerkzeuge, – das zeigt bereits ein flüchtiger Blick auf die, zentrale Themen und Begriffe zusammenfassende Vortragssammlung Soziologische Exkurse (Institut für Sozialforschung (IfS) 1956) und, etwas eingehender, der Blick in die Register der Gesamtausgaben der Schriften von Horkheimer und von Adorno. Dass Stichworte zu Macht und Herrschaft hier fehlen, heißt jedoch nicht, dass die von den Begriffen bezeichneten Phänomene menschlichen Zusammenlebens im Werk der beiden Sozialphilosophen ignoriert worden wären. Im Gegenteil: Die folgenden Ausführungen werden sichtbar machen, dass ihre Gesellschaftstheorie als eine grundsätzliche und generelle Kritik relevanter Kristallisationszentren der gesellschaftlichen Macht aufgefasst werden kann.</w:t>
            </w:r>
          </w:p>
        </w:tc>
      </w:tr>
      <w:tr w:rsidR="00DD067E" w:rsidRPr="00204BFA" w14:paraId="3AF6CDEC" w14:textId="77777777" w:rsidTr="00AF5792">
        <w:trPr>
          <w:trHeight w:val="285"/>
        </w:trPr>
        <w:tc>
          <w:tcPr>
            <w:tcW w:w="1140" w:type="dxa"/>
            <w:gridSpan w:val="2"/>
            <w:shd w:val="clear" w:color="auto" w:fill="A8D08D" w:themeFill="accent6" w:themeFillTint="99"/>
            <w:hideMark/>
          </w:tcPr>
          <w:p w14:paraId="3F99509E"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77B69C08" w14:textId="77777777" w:rsidR="00DD067E" w:rsidRPr="00204BFA" w:rsidRDefault="00DD067E" w:rsidP="00CD0F63">
            <w:pPr>
              <w:spacing w:line="240" w:lineRule="auto"/>
              <w:jc w:val="left"/>
              <w:rPr>
                <w:rFonts w:cs="Arial"/>
                <w:sz w:val="20"/>
                <w:szCs w:val="20"/>
              </w:rPr>
            </w:pPr>
            <w:r w:rsidRPr="00E05BC0">
              <w:rPr>
                <w:rFonts w:cs="Arial"/>
                <w:sz w:val="20"/>
                <w:szCs w:val="20"/>
                <w:highlight w:val="yellow"/>
              </w:rPr>
              <w:t>Imbusch</w:t>
            </w:r>
            <w:r>
              <w:rPr>
                <w:rFonts w:cs="Arial"/>
                <w:sz w:val="20"/>
                <w:szCs w:val="20"/>
              </w:rPr>
              <w:t xml:space="preserve">, Peter. 2012. </w:t>
            </w:r>
            <w:r w:rsidRPr="00913FBD">
              <w:rPr>
                <w:rFonts w:cs="Arial"/>
                <w:sz w:val="20"/>
                <w:szCs w:val="20"/>
              </w:rPr>
              <w:t>Macht und Herrschaft in der wissenschaftlichen Kontroverse</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Pr>
                <w:rFonts w:cs="Arial"/>
                <w:sz w:val="20"/>
                <w:szCs w:val="20"/>
              </w:rPr>
              <w:t>9-35</w:t>
            </w:r>
            <w:r>
              <w:rPr>
                <w:rFonts w:cs="Arial"/>
                <w:sz w:val="20"/>
                <w:szCs w:val="20"/>
              </w:rPr>
              <w:t>. Wiesbaden: Springer VS.</w:t>
            </w:r>
            <w:r>
              <w:rPr>
                <w:rFonts w:cs="Arial"/>
                <w:sz w:val="20"/>
                <w:szCs w:val="20"/>
              </w:rPr>
              <w:t xml:space="preserve"> </w:t>
            </w:r>
            <w:r w:rsidRPr="00E05BC0">
              <w:rPr>
                <w:rFonts w:cs="Arial"/>
                <w:sz w:val="20"/>
                <w:szCs w:val="20"/>
              </w:rPr>
              <w:t>DOI 10.1007/978-3-531-93469-3_1</w:t>
            </w:r>
          </w:p>
        </w:tc>
        <w:tc>
          <w:tcPr>
            <w:tcW w:w="9458" w:type="dxa"/>
            <w:hideMark/>
          </w:tcPr>
          <w:p w14:paraId="338CC88E" w14:textId="77777777" w:rsidR="00DD067E" w:rsidRPr="00204BFA" w:rsidRDefault="00DD067E" w:rsidP="00CD0F63">
            <w:pPr>
              <w:spacing w:line="240" w:lineRule="auto"/>
              <w:jc w:val="left"/>
              <w:rPr>
                <w:rFonts w:cs="Arial"/>
                <w:sz w:val="20"/>
                <w:szCs w:val="20"/>
              </w:rPr>
            </w:pPr>
          </w:p>
        </w:tc>
      </w:tr>
      <w:tr w:rsidR="00DD067E" w:rsidRPr="00204BFA" w14:paraId="38AC15D4" w14:textId="77777777" w:rsidTr="00AF5792">
        <w:trPr>
          <w:trHeight w:val="2850"/>
        </w:trPr>
        <w:tc>
          <w:tcPr>
            <w:tcW w:w="1140" w:type="dxa"/>
            <w:gridSpan w:val="2"/>
            <w:shd w:val="clear" w:color="auto" w:fill="A8D08D" w:themeFill="accent6" w:themeFillTint="99"/>
            <w:hideMark/>
          </w:tcPr>
          <w:p w14:paraId="2946A483"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1621FDE6" w14:textId="77777777" w:rsidR="00DD067E" w:rsidRPr="00204BFA" w:rsidRDefault="00DD067E" w:rsidP="00CD0F63">
            <w:pPr>
              <w:spacing w:line="240" w:lineRule="auto"/>
              <w:jc w:val="left"/>
              <w:rPr>
                <w:rFonts w:cs="Arial"/>
                <w:sz w:val="20"/>
                <w:szCs w:val="20"/>
              </w:rPr>
            </w:pPr>
            <w:r w:rsidRPr="00204BFA">
              <w:rPr>
                <w:rFonts w:cs="Arial"/>
                <w:sz w:val="20"/>
                <w:szCs w:val="20"/>
              </w:rPr>
              <w:t>Imbusch, P</w:t>
            </w:r>
            <w:r>
              <w:rPr>
                <w:rFonts w:cs="Arial"/>
                <w:sz w:val="20"/>
                <w:szCs w:val="20"/>
              </w:rPr>
              <w:t xml:space="preserve">eter. </w:t>
            </w:r>
            <w:r w:rsidRPr="00204BFA">
              <w:rPr>
                <w:rFonts w:cs="Arial"/>
                <w:sz w:val="20"/>
                <w:szCs w:val="20"/>
              </w:rPr>
              <w:t>2012. Machtfigurationen und Herrschaftsprozesse bei Norbert Elias. I</w:t>
            </w:r>
            <w:r>
              <w:rPr>
                <w:rFonts w:cs="Arial"/>
                <w:sz w:val="20"/>
                <w:szCs w:val="20"/>
              </w:rPr>
              <w:t xml:space="preserve">n </w:t>
            </w:r>
            <w:r>
              <w:rPr>
                <w:rFonts w:cs="Arial"/>
                <w:i/>
                <w:sz w:val="20"/>
                <w:szCs w:val="20"/>
              </w:rPr>
              <w:t>Macht und Herrschaft</w:t>
            </w:r>
            <w:r>
              <w:rPr>
                <w:rFonts w:cs="Arial"/>
                <w:sz w:val="20"/>
                <w:szCs w:val="20"/>
              </w:rPr>
              <w:t>, hrsg. von Peter Imbusch, 169-193. Wiesbaden: Springer VS. h</w:t>
            </w:r>
            <w:r w:rsidRPr="00204BFA">
              <w:rPr>
                <w:rFonts w:cs="Arial"/>
                <w:sz w:val="20"/>
                <w:szCs w:val="20"/>
              </w:rPr>
              <w:t>ttps://doi.org/10.1007/978-3-531-93469-3_9</w:t>
            </w:r>
          </w:p>
        </w:tc>
        <w:tc>
          <w:tcPr>
            <w:tcW w:w="9458" w:type="dxa"/>
            <w:hideMark/>
          </w:tcPr>
          <w:p w14:paraId="31161EE5" w14:textId="77777777" w:rsidR="00DD067E" w:rsidRPr="00204BFA" w:rsidRDefault="00DD067E" w:rsidP="00CD0F63">
            <w:pPr>
              <w:spacing w:line="240" w:lineRule="auto"/>
              <w:jc w:val="left"/>
              <w:rPr>
                <w:rFonts w:cs="Arial"/>
                <w:sz w:val="20"/>
                <w:szCs w:val="20"/>
              </w:rPr>
            </w:pPr>
            <w:r w:rsidRPr="00204BFA">
              <w:rPr>
                <w:rFonts w:cs="Arial"/>
                <w:sz w:val="20"/>
                <w:szCs w:val="20"/>
              </w:rPr>
              <w:t>(aus Kapitel:) Gleichwohl wird ein zentraler Aspekt der Schriften von Norbert Elias bis heute vernachlässigt – das ist seine intensive Auseinandersetzung mit Phänomenen und Prozessen von Macht und Herrschaft. Elias selbst hat dazu einmal gesagt, dass er es nicht als seine Aufgabe sehe, das Problem der Macht zu lösen, sondern es aus der Versenkung holen wolle, um einen Zugang zu „einem der Zentralprobleme der soziologischen Arbeit … zu eröffnen.“ (Elias 1970: 97; vgl. Elias 1990: 184) Vielleicht ist es gerade das Faktum, dass sich seine Auseinandersetzung mit Macht und Herrschaft wie ein roter Faden durch seine Schriften hindurch zieht, vielleicht gerade seine beharrliche Unaufdringlichkeit der Thematisierung dieser Phänomene, die letztendlich deren zentrale Bedeutung etwas verschleiern. Dabei werden Macht und Herrschaft nicht nur an einer Vielzahl von Anwendungsbeispielen exemplifiziert, sondern es finden sich auch systematische Erörterungen des Autors zu deren Bedeutung.</w:t>
            </w:r>
          </w:p>
        </w:tc>
      </w:tr>
      <w:tr w:rsidR="00DD067E" w:rsidRPr="00204BFA" w14:paraId="2CDE45D9" w14:textId="77777777" w:rsidTr="00AF5792">
        <w:trPr>
          <w:trHeight w:val="285"/>
        </w:trPr>
        <w:tc>
          <w:tcPr>
            <w:tcW w:w="1140" w:type="dxa"/>
            <w:gridSpan w:val="2"/>
            <w:shd w:val="clear" w:color="auto" w:fill="A8D08D" w:themeFill="accent6" w:themeFillTint="99"/>
            <w:hideMark/>
          </w:tcPr>
          <w:p w14:paraId="3CCE294D"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4C134D28" w14:textId="77777777" w:rsidR="00DD067E" w:rsidRPr="00204BFA" w:rsidRDefault="00DD067E" w:rsidP="00CD0F63">
            <w:pPr>
              <w:spacing w:line="240" w:lineRule="auto"/>
              <w:jc w:val="left"/>
              <w:rPr>
                <w:rFonts w:cs="Arial"/>
                <w:sz w:val="20"/>
                <w:szCs w:val="20"/>
              </w:rPr>
            </w:pPr>
            <w:r>
              <w:rPr>
                <w:rFonts w:cs="Arial"/>
                <w:sz w:val="20"/>
                <w:szCs w:val="20"/>
              </w:rPr>
              <w:t xml:space="preserve">König, Alexandra, und Oliver Berli. 2012. </w:t>
            </w:r>
            <w:r w:rsidRPr="00575C47">
              <w:rPr>
                <w:rFonts w:cs="Arial"/>
                <w:sz w:val="20"/>
                <w:szCs w:val="20"/>
              </w:rPr>
              <w:t>Das Paradox der Doxa – Macht und Herrschaft als Leitmotiv der Soziologie Pierre Bourdieus</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75C47">
              <w:rPr>
                <w:rFonts w:cs="Arial"/>
                <w:sz w:val="20"/>
                <w:szCs w:val="20"/>
              </w:rPr>
              <w:t>303–333</w:t>
            </w:r>
            <w:r>
              <w:rPr>
                <w:rFonts w:cs="Arial"/>
                <w:sz w:val="20"/>
                <w:szCs w:val="20"/>
              </w:rPr>
              <w:t>. Wiesbaden: Springer VS.</w:t>
            </w:r>
            <w:r>
              <w:rPr>
                <w:rFonts w:cs="Arial"/>
                <w:sz w:val="20"/>
                <w:szCs w:val="20"/>
              </w:rPr>
              <w:t xml:space="preserve"> </w:t>
            </w:r>
            <w:r w:rsidRPr="00DC6E87">
              <w:rPr>
                <w:rFonts w:cs="Arial"/>
                <w:sz w:val="20"/>
                <w:szCs w:val="20"/>
              </w:rPr>
              <w:t>DOI 10.1007/978-3-531-93469-3_15</w:t>
            </w:r>
          </w:p>
        </w:tc>
        <w:tc>
          <w:tcPr>
            <w:tcW w:w="9458" w:type="dxa"/>
            <w:hideMark/>
          </w:tcPr>
          <w:p w14:paraId="1B83DDBC"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DC6E87">
              <w:rPr>
                <w:rFonts w:cs="Arial"/>
                <w:sz w:val="20"/>
                <w:szCs w:val="20"/>
              </w:rPr>
              <w:t>Pierre Bourdieu beschäftigt sich in seinem umfangreichen Werk mit einer Fülle unterschiedlicher Themen – etwa der kolonialen Situation in Algerien, der Bildung, den ästhetischen Praktiken und Präferenzen, der Kunst und Wissenschaft – und nimmt dabei stets eine grundlegend herrschaftssoziologische Perspektive ein.</w:t>
            </w:r>
          </w:p>
        </w:tc>
      </w:tr>
      <w:tr w:rsidR="00DD067E" w:rsidRPr="00204BFA" w14:paraId="3BA1AD85" w14:textId="77777777" w:rsidTr="00AF5792">
        <w:trPr>
          <w:trHeight w:val="1140"/>
        </w:trPr>
        <w:tc>
          <w:tcPr>
            <w:tcW w:w="1140" w:type="dxa"/>
            <w:gridSpan w:val="2"/>
            <w:shd w:val="clear" w:color="auto" w:fill="A8D08D" w:themeFill="accent6" w:themeFillTint="99"/>
            <w:hideMark/>
          </w:tcPr>
          <w:p w14:paraId="662A536C"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00CF3BEB" w14:textId="77777777" w:rsidR="00DD067E" w:rsidRPr="00204BFA" w:rsidRDefault="00DD067E" w:rsidP="00CD0F63">
            <w:pPr>
              <w:spacing w:line="240" w:lineRule="auto"/>
              <w:jc w:val="left"/>
              <w:rPr>
                <w:rFonts w:cs="Arial"/>
                <w:sz w:val="20"/>
                <w:szCs w:val="20"/>
              </w:rPr>
            </w:pPr>
            <w:r w:rsidRPr="00204BFA">
              <w:rPr>
                <w:rFonts w:cs="Arial"/>
                <w:sz w:val="20"/>
                <w:szCs w:val="20"/>
              </w:rPr>
              <w:t>Neuenhaus-Luciano, P. 2012. Amorphe Macht und Herrschaftsgehäuse – Max Weber. I</w:t>
            </w:r>
            <w:r>
              <w:rPr>
                <w:rFonts w:cs="Arial"/>
                <w:sz w:val="20"/>
                <w:szCs w:val="20"/>
              </w:rPr>
              <w:t xml:space="preserve">n </w:t>
            </w:r>
            <w:r>
              <w:rPr>
                <w:rFonts w:cs="Arial"/>
                <w:i/>
                <w:sz w:val="20"/>
                <w:szCs w:val="20"/>
              </w:rPr>
              <w:t>Macht und Herrschaft</w:t>
            </w:r>
            <w:r>
              <w:rPr>
                <w:rFonts w:cs="Arial"/>
                <w:sz w:val="20"/>
                <w:szCs w:val="20"/>
              </w:rPr>
              <w:t>, hrsg. von Peter Imbusch, 97-114. Wiesbaden: Springer VS.</w:t>
            </w:r>
            <w:r w:rsidRPr="00204BFA">
              <w:rPr>
                <w:rFonts w:cs="Arial"/>
                <w:sz w:val="20"/>
                <w:szCs w:val="20"/>
              </w:rPr>
              <w:t xml:space="preserve"> </w:t>
            </w:r>
            <w:r>
              <w:rPr>
                <w:rFonts w:cs="Arial"/>
                <w:sz w:val="20"/>
                <w:szCs w:val="20"/>
              </w:rPr>
              <w:t>h</w:t>
            </w:r>
            <w:r w:rsidRPr="00204BFA">
              <w:rPr>
                <w:rFonts w:cs="Arial"/>
                <w:sz w:val="20"/>
                <w:szCs w:val="20"/>
              </w:rPr>
              <w:t>ttps://doi.org/10.1007/978-3-531-93469-3_5</w:t>
            </w:r>
          </w:p>
        </w:tc>
        <w:tc>
          <w:tcPr>
            <w:tcW w:w="9458" w:type="dxa"/>
            <w:hideMark/>
          </w:tcPr>
          <w:p w14:paraId="293A4624" w14:textId="77777777" w:rsidR="00DD067E" w:rsidRPr="00204BFA" w:rsidRDefault="00DD067E" w:rsidP="00CD0F63">
            <w:pPr>
              <w:spacing w:line="240" w:lineRule="auto"/>
              <w:jc w:val="left"/>
              <w:rPr>
                <w:rFonts w:cs="Arial"/>
                <w:sz w:val="20"/>
                <w:szCs w:val="20"/>
              </w:rPr>
            </w:pPr>
            <w:r w:rsidRPr="00204BFA">
              <w:rPr>
                <w:rFonts w:cs="Arial"/>
                <w:sz w:val="20"/>
                <w:szCs w:val="20"/>
              </w:rPr>
              <w:t>Macht ist für Weber eine zugleich diabolische und, im Hinblick auf das starre Gehäuse der Herrschaft, in das uns die Moderne gezwungen hat, rettende Kraft. Er definiert sie als „Chance, innerhalb einer sozialen Beziehung den eigenen Willen auch gegen Widerstreben durchzusetzen, gleichviel worauf diese Chance beruht.“</w:t>
            </w:r>
          </w:p>
        </w:tc>
      </w:tr>
      <w:tr w:rsidR="00DD067E" w:rsidRPr="00204BFA" w14:paraId="7ABCB0DA" w14:textId="77777777" w:rsidTr="00CD0F63">
        <w:trPr>
          <w:trHeight w:val="351"/>
        </w:trPr>
        <w:tc>
          <w:tcPr>
            <w:tcW w:w="1140" w:type="dxa"/>
            <w:gridSpan w:val="2"/>
            <w:shd w:val="clear" w:color="auto" w:fill="A8D08D" w:themeFill="accent6" w:themeFillTint="99"/>
          </w:tcPr>
          <w:p w14:paraId="448A8F83" w14:textId="77777777" w:rsidR="00DD067E" w:rsidRPr="00FA04F8" w:rsidRDefault="00DD067E" w:rsidP="00CD0F63">
            <w:pPr>
              <w:spacing w:line="240" w:lineRule="auto"/>
              <w:jc w:val="left"/>
              <w:rPr>
                <w:rFonts w:cs="Arial"/>
                <w:b/>
                <w:bCs/>
                <w:sz w:val="20"/>
                <w:szCs w:val="20"/>
              </w:rPr>
            </w:pPr>
          </w:p>
        </w:tc>
        <w:tc>
          <w:tcPr>
            <w:tcW w:w="3968" w:type="dxa"/>
            <w:gridSpan w:val="2"/>
          </w:tcPr>
          <w:p w14:paraId="12B05BA0" w14:textId="77777777" w:rsidR="00DD067E" w:rsidRDefault="00DD067E" w:rsidP="00CD0F63">
            <w:pPr>
              <w:spacing w:line="240" w:lineRule="auto"/>
              <w:jc w:val="left"/>
              <w:rPr>
                <w:rFonts w:cs="Arial"/>
                <w:i/>
                <w:sz w:val="20"/>
                <w:szCs w:val="20"/>
              </w:rPr>
            </w:pPr>
            <w:commentRangeStart w:id="12"/>
            <w:r>
              <w:rPr>
                <w:rFonts w:cs="Arial"/>
                <w:sz w:val="20"/>
                <w:szCs w:val="20"/>
              </w:rPr>
              <w:t>Strecker</w:t>
            </w:r>
            <w:commentRangeEnd w:id="12"/>
            <w:r>
              <w:rPr>
                <w:rStyle w:val="Kommentarzeichen"/>
              </w:rPr>
              <w:commentReference w:id="12"/>
            </w:r>
            <w:r>
              <w:rPr>
                <w:rFonts w:cs="Arial"/>
                <w:sz w:val="20"/>
                <w:szCs w:val="20"/>
              </w:rPr>
              <w:t xml:space="preserve">, David. 2020. Macht und Herrschaft. In </w:t>
            </w:r>
            <w:r>
              <w:rPr>
                <w:rFonts w:cs="Arial"/>
                <w:i/>
                <w:sz w:val="20"/>
                <w:szCs w:val="20"/>
              </w:rPr>
              <w:t xml:space="preserve">Max-Weber-Handbuch. Leben – </w:t>
            </w:r>
          </w:p>
          <w:p w14:paraId="12B7C419" w14:textId="77777777" w:rsidR="00DD067E" w:rsidRPr="00204BFA" w:rsidRDefault="00DD067E" w:rsidP="00CD0F63">
            <w:pPr>
              <w:spacing w:line="240" w:lineRule="auto"/>
              <w:jc w:val="left"/>
              <w:rPr>
                <w:rFonts w:cs="Arial"/>
                <w:sz w:val="20"/>
                <w:szCs w:val="20"/>
              </w:rPr>
            </w:pPr>
            <w:r>
              <w:rPr>
                <w:rFonts w:cs="Arial"/>
                <w:i/>
                <w:sz w:val="20"/>
                <w:szCs w:val="20"/>
              </w:rPr>
              <w:t xml:space="preserve">Werk – Wirkung, </w:t>
            </w:r>
            <w:r>
              <w:rPr>
                <w:rFonts w:cs="Arial"/>
                <w:sz w:val="20"/>
                <w:szCs w:val="20"/>
              </w:rPr>
              <w:t xml:space="preserve">hrsg. von Hans-Peter Müller und Steffen Sigmund, 120-122. Stuttgart: J. B. Metzler.  </w:t>
            </w:r>
          </w:p>
        </w:tc>
        <w:tc>
          <w:tcPr>
            <w:tcW w:w="9458" w:type="dxa"/>
          </w:tcPr>
          <w:p w14:paraId="2EEAA4B0" w14:textId="77777777" w:rsidR="00DD067E" w:rsidRPr="00204BFA" w:rsidRDefault="00DD067E" w:rsidP="00CD0F63">
            <w:pPr>
              <w:spacing w:line="240" w:lineRule="auto"/>
              <w:jc w:val="left"/>
              <w:rPr>
                <w:rFonts w:cs="Arial"/>
                <w:sz w:val="20"/>
                <w:szCs w:val="20"/>
              </w:rPr>
            </w:pPr>
            <w:r>
              <w:rPr>
                <w:rFonts w:cs="Arial"/>
                <w:sz w:val="20"/>
                <w:szCs w:val="20"/>
              </w:rPr>
              <w:t xml:space="preserve">Kein Abstract </w:t>
            </w:r>
          </w:p>
        </w:tc>
      </w:tr>
      <w:tr w:rsidR="00CD0F63" w:rsidRPr="00204BFA" w14:paraId="25F60239" w14:textId="77777777" w:rsidTr="00CD0F63">
        <w:trPr>
          <w:trHeight w:val="351"/>
        </w:trPr>
        <w:tc>
          <w:tcPr>
            <w:tcW w:w="1140" w:type="dxa"/>
            <w:gridSpan w:val="2"/>
            <w:shd w:val="clear" w:color="auto" w:fill="A8D08D" w:themeFill="accent6" w:themeFillTint="99"/>
          </w:tcPr>
          <w:p w14:paraId="50DE66B5" w14:textId="77777777" w:rsidR="00CD0F63" w:rsidRPr="00FA04F8" w:rsidRDefault="00CD0F63" w:rsidP="00CD0F63">
            <w:pPr>
              <w:spacing w:line="240" w:lineRule="auto"/>
              <w:jc w:val="left"/>
              <w:rPr>
                <w:rFonts w:cs="Arial"/>
                <w:b/>
                <w:bCs/>
                <w:sz w:val="20"/>
                <w:szCs w:val="20"/>
              </w:rPr>
            </w:pPr>
          </w:p>
        </w:tc>
        <w:tc>
          <w:tcPr>
            <w:tcW w:w="3968" w:type="dxa"/>
            <w:gridSpan w:val="2"/>
          </w:tcPr>
          <w:p w14:paraId="7F171766" w14:textId="77777777" w:rsidR="00CD0F63" w:rsidRPr="00204BFA" w:rsidRDefault="00CD0F63" w:rsidP="00CD0F63">
            <w:pPr>
              <w:spacing w:line="240" w:lineRule="auto"/>
              <w:jc w:val="left"/>
              <w:rPr>
                <w:rFonts w:cs="Arial"/>
                <w:sz w:val="20"/>
                <w:szCs w:val="20"/>
              </w:rPr>
            </w:pPr>
          </w:p>
        </w:tc>
        <w:tc>
          <w:tcPr>
            <w:tcW w:w="9458" w:type="dxa"/>
          </w:tcPr>
          <w:p w14:paraId="33E9A89B" w14:textId="77777777" w:rsidR="00CD0F63" w:rsidRPr="00204BFA" w:rsidRDefault="00CD0F63" w:rsidP="00CD0F63">
            <w:pPr>
              <w:spacing w:line="240" w:lineRule="auto"/>
              <w:jc w:val="left"/>
              <w:rPr>
                <w:rFonts w:cs="Arial"/>
                <w:sz w:val="20"/>
                <w:szCs w:val="20"/>
              </w:rPr>
            </w:pPr>
          </w:p>
        </w:tc>
      </w:tr>
      <w:tr w:rsidR="00CD0F63" w:rsidRPr="00204BFA" w14:paraId="0ED4C4DA" w14:textId="77777777" w:rsidTr="00CD0F63">
        <w:trPr>
          <w:trHeight w:val="272"/>
        </w:trPr>
        <w:tc>
          <w:tcPr>
            <w:tcW w:w="1140" w:type="dxa"/>
            <w:gridSpan w:val="2"/>
            <w:shd w:val="clear" w:color="auto" w:fill="A8D08D" w:themeFill="accent6" w:themeFillTint="99"/>
          </w:tcPr>
          <w:p w14:paraId="79133312" w14:textId="77777777" w:rsidR="00CD0F63" w:rsidRPr="00FA04F8" w:rsidRDefault="00CD0F63" w:rsidP="00CD0F63">
            <w:pPr>
              <w:spacing w:line="240" w:lineRule="auto"/>
              <w:jc w:val="left"/>
              <w:rPr>
                <w:rFonts w:cs="Arial"/>
                <w:b/>
                <w:bCs/>
                <w:sz w:val="20"/>
                <w:szCs w:val="20"/>
              </w:rPr>
            </w:pPr>
          </w:p>
        </w:tc>
        <w:tc>
          <w:tcPr>
            <w:tcW w:w="3968" w:type="dxa"/>
            <w:gridSpan w:val="2"/>
          </w:tcPr>
          <w:p w14:paraId="709B2AAE" w14:textId="77777777" w:rsidR="00CD0F63" w:rsidRPr="00204BFA" w:rsidRDefault="00CD0F63" w:rsidP="00CD0F63">
            <w:pPr>
              <w:spacing w:line="240" w:lineRule="auto"/>
              <w:jc w:val="left"/>
              <w:rPr>
                <w:rFonts w:cs="Arial"/>
                <w:sz w:val="20"/>
                <w:szCs w:val="20"/>
              </w:rPr>
            </w:pPr>
          </w:p>
        </w:tc>
        <w:tc>
          <w:tcPr>
            <w:tcW w:w="9458" w:type="dxa"/>
          </w:tcPr>
          <w:p w14:paraId="0BC139D8" w14:textId="77777777" w:rsidR="00CD0F63" w:rsidRPr="00204BFA" w:rsidRDefault="00CD0F63" w:rsidP="00CD0F63">
            <w:pPr>
              <w:spacing w:line="240" w:lineRule="auto"/>
              <w:jc w:val="left"/>
              <w:rPr>
                <w:rFonts w:cs="Arial"/>
                <w:sz w:val="20"/>
                <w:szCs w:val="20"/>
              </w:rPr>
            </w:pPr>
          </w:p>
        </w:tc>
      </w:tr>
      <w:tr w:rsidR="00CD0F63" w:rsidRPr="00204BFA" w14:paraId="40124369" w14:textId="77777777" w:rsidTr="00CD0F63">
        <w:trPr>
          <w:trHeight w:val="289"/>
        </w:trPr>
        <w:tc>
          <w:tcPr>
            <w:tcW w:w="14566" w:type="dxa"/>
            <w:gridSpan w:val="5"/>
            <w:shd w:val="clear" w:color="auto" w:fill="538135" w:themeFill="accent6" w:themeFillShade="BF"/>
          </w:tcPr>
          <w:p w14:paraId="3DB4118E" w14:textId="597F5B8D"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Literatur/Debatten aus Feministischen Studien/Gender Studies</w:t>
            </w:r>
          </w:p>
        </w:tc>
      </w:tr>
      <w:tr w:rsidR="00BB55FA" w:rsidRPr="00204BFA" w14:paraId="635C8975" w14:textId="77777777" w:rsidTr="00AF5792">
        <w:trPr>
          <w:trHeight w:val="285"/>
        </w:trPr>
        <w:tc>
          <w:tcPr>
            <w:tcW w:w="1140" w:type="dxa"/>
            <w:gridSpan w:val="2"/>
            <w:shd w:val="clear" w:color="auto" w:fill="A8D08D" w:themeFill="accent6" w:themeFillTint="99"/>
            <w:hideMark/>
          </w:tcPr>
          <w:p w14:paraId="770FA9EC" w14:textId="33B131AB" w:rsidR="00BB55FA" w:rsidRPr="00FA04F8" w:rsidRDefault="00BB55FA" w:rsidP="00CD0F63">
            <w:pPr>
              <w:spacing w:line="240" w:lineRule="auto"/>
              <w:jc w:val="left"/>
              <w:rPr>
                <w:rFonts w:cs="Arial"/>
                <w:b/>
                <w:bCs/>
                <w:sz w:val="20"/>
                <w:szCs w:val="20"/>
              </w:rPr>
            </w:pPr>
          </w:p>
        </w:tc>
        <w:tc>
          <w:tcPr>
            <w:tcW w:w="3968" w:type="dxa"/>
            <w:gridSpan w:val="2"/>
            <w:hideMark/>
          </w:tcPr>
          <w:p w14:paraId="2EF6BCB8" w14:textId="77777777" w:rsidR="00BB55FA" w:rsidRPr="00204BFA" w:rsidRDefault="00BB55FA" w:rsidP="00CD0F63">
            <w:pPr>
              <w:spacing w:line="240" w:lineRule="auto"/>
              <w:jc w:val="left"/>
              <w:rPr>
                <w:rFonts w:cs="Arial"/>
                <w:sz w:val="20"/>
                <w:szCs w:val="20"/>
              </w:rPr>
            </w:pPr>
            <w:commentRangeStart w:id="13"/>
            <w:r>
              <w:rPr>
                <w:rFonts w:cs="Arial"/>
                <w:sz w:val="20"/>
                <w:szCs w:val="20"/>
              </w:rPr>
              <w:t>Sauer</w:t>
            </w:r>
            <w:commentRangeEnd w:id="13"/>
            <w:r>
              <w:rPr>
                <w:rStyle w:val="Kommentarzeichen"/>
              </w:rPr>
              <w:commentReference w:id="13"/>
            </w:r>
            <w:r>
              <w:rPr>
                <w:rFonts w:cs="Arial"/>
                <w:sz w:val="20"/>
                <w:szCs w:val="20"/>
              </w:rPr>
              <w:t xml:space="preserve">, </w:t>
            </w:r>
            <w:r w:rsidRPr="00E05BC0">
              <w:rPr>
                <w:rFonts w:cs="Arial"/>
                <w:sz w:val="20"/>
                <w:szCs w:val="20"/>
                <w:highlight w:val="yellow"/>
              </w:rPr>
              <w:t>Birgit</w:t>
            </w:r>
            <w:r>
              <w:rPr>
                <w:rFonts w:cs="Arial"/>
                <w:sz w:val="20"/>
                <w:szCs w:val="20"/>
              </w:rPr>
              <w:t xml:space="preserve">. 2012. </w:t>
            </w:r>
            <w:r w:rsidRPr="005D0393">
              <w:rPr>
                <w:rFonts w:cs="Arial"/>
                <w:sz w:val="20"/>
                <w:szCs w:val="20"/>
              </w:rPr>
              <w:t>„Die hypnotische Macht der Herrschaft“ – Feministische Perspektiven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D0393">
              <w:rPr>
                <w:rFonts w:cs="Arial"/>
                <w:sz w:val="20"/>
                <w:szCs w:val="20"/>
              </w:rPr>
              <w:t>379–398</w:t>
            </w:r>
            <w:r>
              <w:rPr>
                <w:rFonts w:cs="Arial"/>
                <w:sz w:val="20"/>
                <w:szCs w:val="20"/>
              </w:rPr>
              <w:t>. Wiesbaden: Springer VS.</w:t>
            </w:r>
            <w:r>
              <w:rPr>
                <w:rFonts w:cs="Arial"/>
                <w:sz w:val="20"/>
                <w:szCs w:val="20"/>
              </w:rPr>
              <w:t xml:space="preserve"> </w:t>
            </w:r>
            <w:r w:rsidRPr="004B038C">
              <w:rPr>
                <w:rFonts w:cs="Arial"/>
                <w:sz w:val="20"/>
                <w:szCs w:val="20"/>
              </w:rPr>
              <w:t>DOI 10.1007/978-3-531-93469-3_18</w:t>
            </w:r>
          </w:p>
        </w:tc>
        <w:tc>
          <w:tcPr>
            <w:tcW w:w="9458" w:type="dxa"/>
            <w:hideMark/>
          </w:tcPr>
          <w:p w14:paraId="4AB2AD98" w14:textId="77777777" w:rsidR="00BB55FA" w:rsidRPr="005D0393" w:rsidRDefault="00BB55FA" w:rsidP="00CD0F63">
            <w:pPr>
              <w:spacing w:line="240" w:lineRule="auto"/>
              <w:jc w:val="left"/>
              <w:rPr>
                <w:rFonts w:cs="Arial"/>
                <w:sz w:val="20"/>
                <w:szCs w:val="20"/>
              </w:rPr>
            </w:pPr>
            <w:r>
              <w:rPr>
                <w:rFonts w:cs="Arial"/>
                <w:sz w:val="20"/>
                <w:szCs w:val="20"/>
              </w:rPr>
              <w:t xml:space="preserve">(aus Einleitung): </w:t>
            </w:r>
            <w:r w:rsidRPr="005D0393">
              <w:rPr>
                <w:rFonts w:cs="Arial"/>
                <w:sz w:val="20"/>
                <w:szCs w:val="20"/>
              </w:rPr>
              <w:t>Das politische Ziel des Feminismus seit dem 19. Jahrhundert ist die Beseitigung von Unterdrückung, Ausbeutung und Ausgrenzung von Frauen aufgrund ihres Geschlechts, also ihre Befreiung bzw.</w:t>
            </w:r>
            <w:r w:rsidRPr="00B83249">
              <w:t xml:space="preserve"> </w:t>
            </w:r>
            <w:r w:rsidRPr="00B83249">
              <w:rPr>
                <w:rFonts w:cs="Arial"/>
                <w:sz w:val="20"/>
                <w:szCs w:val="20"/>
              </w:rPr>
              <w:t>Emanzipation aus geschlechtsspezifischen Herrschaftsverhältnissen (</w:t>
            </w:r>
            <w:proofErr w:type="spellStart"/>
            <w:r w:rsidRPr="00B83249">
              <w:rPr>
                <w:rFonts w:cs="Arial"/>
                <w:sz w:val="20"/>
                <w:szCs w:val="20"/>
              </w:rPr>
              <w:t>Yeatman</w:t>
            </w:r>
            <w:proofErr w:type="spellEnd"/>
            <w:r w:rsidRPr="00B83249">
              <w:rPr>
                <w:rFonts w:cs="Arial"/>
                <w:sz w:val="20"/>
                <w:szCs w:val="20"/>
              </w:rPr>
              <w:t xml:space="preserve"> 1997: 144). Herrschaft von Männern über Frauen in allen gesellschaftlichen Bereichen gilt der Frauenbewegung als Skandalon und als durch nichts zu rechtfertigen. Diese frauenbewegte Macht- und Herrschaftskritik war stets mit der Vision eines herrschafts- und gewaltfreien Lebens aller Menschen verknüpft. Die zweite Frauenbewegung seit den 1960er Jahren kämpfte zunächst dafür, Herrschaft und Gewalt im Geschlechterverhältnis sichtbar zu machen.</w:t>
            </w:r>
          </w:p>
          <w:p w14:paraId="43BA7663" w14:textId="77777777" w:rsidR="00BB55FA" w:rsidRPr="00204BFA" w:rsidRDefault="00BB55FA" w:rsidP="00CD0F63">
            <w:pPr>
              <w:spacing w:line="240" w:lineRule="auto"/>
              <w:jc w:val="left"/>
              <w:rPr>
                <w:rFonts w:cs="Arial"/>
                <w:sz w:val="20"/>
                <w:szCs w:val="20"/>
              </w:rPr>
            </w:pPr>
          </w:p>
        </w:tc>
      </w:tr>
      <w:tr w:rsidR="00BB55FA" w:rsidRPr="00204BFA" w14:paraId="094DC609" w14:textId="77777777" w:rsidTr="00CD0F63">
        <w:trPr>
          <w:trHeight w:val="285"/>
        </w:trPr>
        <w:tc>
          <w:tcPr>
            <w:tcW w:w="1140" w:type="dxa"/>
            <w:gridSpan w:val="2"/>
            <w:shd w:val="clear" w:color="auto" w:fill="A8D08D" w:themeFill="accent6" w:themeFillTint="99"/>
          </w:tcPr>
          <w:p w14:paraId="70123102" w14:textId="5A7A276B" w:rsidR="00BB55FA" w:rsidRPr="00FA04F8" w:rsidRDefault="00BB55FA" w:rsidP="00CD0F63">
            <w:pPr>
              <w:spacing w:line="240" w:lineRule="auto"/>
              <w:jc w:val="left"/>
              <w:rPr>
                <w:rFonts w:cs="Arial"/>
                <w:b/>
                <w:bCs/>
                <w:sz w:val="20"/>
                <w:szCs w:val="20"/>
              </w:rPr>
            </w:pPr>
          </w:p>
        </w:tc>
        <w:tc>
          <w:tcPr>
            <w:tcW w:w="3968" w:type="dxa"/>
            <w:gridSpan w:val="2"/>
          </w:tcPr>
          <w:p w14:paraId="5F44C4F0" w14:textId="43359542" w:rsidR="00BB55FA" w:rsidRPr="009D45EF" w:rsidRDefault="00BB55FA" w:rsidP="00CD0F63">
            <w:pPr>
              <w:spacing w:line="240" w:lineRule="auto"/>
              <w:jc w:val="left"/>
              <w:rPr>
                <w:rFonts w:cs="Arial"/>
                <w:sz w:val="20"/>
                <w:szCs w:val="20"/>
              </w:rPr>
            </w:pPr>
          </w:p>
        </w:tc>
        <w:tc>
          <w:tcPr>
            <w:tcW w:w="9458" w:type="dxa"/>
          </w:tcPr>
          <w:p w14:paraId="6C440A58" w14:textId="77777777" w:rsidR="00BB55FA" w:rsidRPr="00204BFA" w:rsidRDefault="00BB55FA" w:rsidP="00CD0F63">
            <w:pPr>
              <w:spacing w:line="240" w:lineRule="auto"/>
              <w:jc w:val="left"/>
              <w:rPr>
                <w:rFonts w:cs="Arial"/>
                <w:sz w:val="20"/>
                <w:szCs w:val="20"/>
              </w:rPr>
            </w:pPr>
          </w:p>
        </w:tc>
      </w:tr>
      <w:tr w:rsidR="000F1DA3" w:rsidRPr="00204BFA" w14:paraId="5F4E7122" w14:textId="77777777" w:rsidTr="000E267C">
        <w:trPr>
          <w:trHeight w:val="285"/>
        </w:trPr>
        <w:tc>
          <w:tcPr>
            <w:tcW w:w="14566" w:type="dxa"/>
            <w:gridSpan w:val="5"/>
            <w:shd w:val="clear" w:color="auto" w:fill="FFCCFF"/>
            <w:hideMark/>
          </w:tcPr>
          <w:p w14:paraId="5584B632" w14:textId="2848BBD0" w:rsidR="000F1DA3" w:rsidRPr="00204BFA" w:rsidRDefault="000F1DA3" w:rsidP="00CD0F63">
            <w:pPr>
              <w:spacing w:line="240" w:lineRule="auto"/>
              <w:jc w:val="left"/>
              <w:rPr>
                <w:rFonts w:cs="Arial"/>
                <w:sz w:val="20"/>
                <w:szCs w:val="20"/>
              </w:rPr>
            </w:pPr>
            <w:r w:rsidRPr="00FA04F8">
              <w:rPr>
                <w:rFonts w:cs="Arial"/>
                <w:b/>
                <w:bCs/>
                <w:sz w:val="20"/>
                <w:szCs w:val="20"/>
              </w:rPr>
              <w:t>Herrschaft</w:t>
            </w:r>
          </w:p>
        </w:tc>
      </w:tr>
      <w:tr w:rsidR="000F1DA3" w:rsidRPr="00204BFA" w14:paraId="54B6DF55" w14:textId="77777777" w:rsidTr="000F1DA3">
        <w:trPr>
          <w:trHeight w:val="285"/>
        </w:trPr>
        <w:tc>
          <w:tcPr>
            <w:tcW w:w="14566" w:type="dxa"/>
            <w:gridSpan w:val="5"/>
            <w:shd w:val="clear" w:color="auto" w:fill="FFE599" w:themeFill="accent4" w:themeFillTint="66"/>
            <w:hideMark/>
          </w:tcPr>
          <w:p w14:paraId="3D3C7DE7" w14:textId="239A7ED2" w:rsidR="000F1DA3" w:rsidRPr="00204BFA" w:rsidRDefault="000F1DA3" w:rsidP="000F1DA3">
            <w:pPr>
              <w:spacing w:line="240" w:lineRule="auto"/>
              <w:jc w:val="left"/>
              <w:rPr>
                <w:rFonts w:cs="Arial"/>
                <w:sz w:val="20"/>
                <w:szCs w:val="20"/>
              </w:rPr>
            </w:pPr>
            <w:r>
              <w:rPr>
                <w:rFonts w:cs="Arial"/>
                <w:b/>
                <w:bCs/>
                <w:sz w:val="20"/>
                <w:szCs w:val="20"/>
              </w:rPr>
              <w:t>Primärliteratur/Soziologische Klassiker/</w:t>
            </w:r>
            <w:proofErr w:type="gramStart"/>
            <w:r>
              <w:rPr>
                <w:rFonts w:cs="Arial"/>
                <w:b/>
                <w:bCs/>
                <w:sz w:val="20"/>
                <w:szCs w:val="20"/>
              </w:rPr>
              <w:t>Häufig</w:t>
            </w:r>
            <w:proofErr w:type="gramEnd"/>
            <w:r>
              <w:rPr>
                <w:rFonts w:cs="Arial"/>
                <w:b/>
                <w:bCs/>
                <w:sz w:val="20"/>
                <w:szCs w:val="20"/>
              </w:rPr>
              <w:t xml:space="preserve"> zitierte Werke</w:t>
            </w:r>
          </w:p>
        </w:tc>
      </w:tr>
      <w:tr w:rsidR="00DD067E" w:rsidRPr="00204BFA" w14:paraId="51A48D2B" w14:textId="77777777" w:rsidTr="00AF5792">
        <w:trPr>
          <w:trHeight w:val="285"/>
        </w:trPr>
        <w:tc>
          <w:tcPr>
            <w:tcW w:w="1140" w:type="dxa"/>
            <w:gridSpan w:val="2"/>
            <w:shd w:val="clear" w:color="auto" w:fill="FFF2CC" w:themeFill="accent4" w:themeFillTint="33"/>
            <w:hideMark/>
          </w:tcPr>
          <w:p w14:paraId="5D0CC781"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4E4E785A" w14:textId="77777777" w:rsidR="00DD067E" w:rsidRPr="00BA77E2" w:rsidRDefault="00DD067E" w:rsidP="00CF3B80">
            <w:pPr>
              <w:spacing w:line="240" w:lineRule="auto"/>
              <w:jc w:val="left"/>
            </w:pPr>
            <w:commentRangeStart w:id="14"/>
            <w:r w:rsidRPr="00BA77E2">
              <w:rPr>
                <w:sz w:val="20"/>
                <w:szCs w:val="20"/>
              </w:rPr>
              <w:t>Weber</w:t>
            </w:r>
            <w:commentRangeEnd w:id="14"/>
            <w:r>
              <w:rPr>
                <w:rStyle w:val="Kommentarzeichen"/>
              </w:rPr>
              <w:commentReference w:id="14"/>
            </w:r>
            <w:r w:rsidRPr="00BA77E2">
              <w:rPr>
                <w:sz w:val="20"/>
                <w:szCs w:val="20"/>
              </w:rPr>
              <w:t>,</w:t>
            </w:r>
            <w:r w:rsidRPr="00BA77E2">
              <w:rPr>
                <w:sz w:val="20"/>
                <w:szCs w:val="20"/>
              </w:rPr>
              <w:t xml:space="preserve"> Max</w:t>
            </w:r>
            <w:r w:rsidRPr="00BA77E2">
              <w:rPr>
                <w:sz w:val="20"/>
                <w:szCs w:val="20"/>
              </w:rPr>
              <w:t xml:space="preserve">. </w:t>
            </w:r>
            <w:r w:rsidRPr="00BA77E2">
              <w:rPr>
                <w:sz w:val="20"/>
                <w:szCs w:val="20"/>
              </w:rPr>
              <w:t>1976</w:t>
            </w:r>
            <w:r w:rsidRPr="00BA77E2">
              <w:rPr>
                <w:sz w:val="20"/>
                <w:szCs w:val="20"/>
              </w:rPr>
              <w:t>.</w:t>
            </w:r>
            <w:r w:rsidRPr="00BA77E2">
              <w:rPr>
                <w:sz w:val="20"/>
                <w:szCs w:val="20"/>
              </w:rPr>
              <w:t xml:space="preserve"> </w:t>
            </w:r>
            <w:r w:rsidRPr="00BA77E2">
              <w:rPr>
                <w:i/>
                <w:iCs/>
                <w:sz w:val="20"/>
                <w:szCs w:val="20"/>
              </w:rPr>
              <w:t>Wirtschaft und Gesellschaft</w:t>
            </w:r>
            <w:r w:rsidRPr="00BA77E2">
              <w:rPr>
                <w:i/>
                <w:iCs/>
                <w:sz w:val="20"/>
                <w:szCs w:val="20"/>
              </w:rPr>
              <w:t xml:space="preserve">, </w:t>
            </w:r>
            <w:r w:rsidRPr="00BA77E2">
              <w:rPr>
                <w:sz w:val="20"/>
                <w:szCs w:val="20"/>
              </w:rPr>
              <w:t>654-669</w:t>
            </w:r>
            <w:r>
              <w:rPr>
                <w:sz w:val="20"/>
                <w:szCs w:val="20"/>
              </w:rPr>
              <w:t xml:space="preserve"> (Kapitel: Die charismatische Herrschaft und ihre Umbildung)</w:t>
            </w:r>
            <w:r w:rsidRPr="00BA77E2">
              <w:rPr>
                <w:i/>
                <w:iCs/>
                <w:sz w:val="20"/>
                <w:szCs w:val="20"/>
              </w:rPr>
              <w:t>.</w:t>
            </w:r>
            <w:r w:rsidRPr="00BA77E2">
              <w:rPr>
                <w:sz w:val="20"/>
                <w:szCs w:val="20"/>
              </w:rPr>
              <w:t xml:space="preserve"> Tübingen: Mohr (Siebeck)</w:t>
            </w:r>
            <w:r w:rsidRPr="00BA77E2">
              <w:rPr>
                <w:sz w:val="20"/>
                <w:szCs w:val="20"/>
              </w:rPr>
              <w:t xml:space="preserve">. </w:t>
            </w:r>
          </w:p>
        </w:tc>
        <w:tc>
          <w:tcPr>
            <w:tcW w:w="9458" w:type="dxa"/>
            <w:hideMark/>
          </w:tcPr>
          <w:p w14:paraId="336C0264" w14:textId="77777777" w:rsidR="00DD067E" w:rsidRPr="00204BFA" w:rsidRDefault="00DD067E" w:rsidP="00CF3B80">
            <w:pPr>
              <w:spacing w:line="240" w:lineRule="auto"/>
              <w:jc w:val="left"/>
              <w:rPr>
                <w:rFonts w:cs="Arial"/>
                <w:sz w:val="20"/>
                <w:szCs w:val="20"/>
              </w:rPr>
            </w:pPr>
            <w:r>
              <w:rPr>
                <w:rFonts w:cs="Arial"/>
                <w:sz w:val="20"/>
                <w:szCs w:val="20"/>
              </w:rPr>
              <w:t xml:space="preserve">Soziologisches Wesen der charismatischen </w:t>
            </w:r>
            <w:r w:rsidRPr="004F0854">
              <w:rPr>
                <w:rFonts w:cs="Arial"/>
                <w:sz w:val="20"/>
                <w:szCs w:val="20"/>
                <w:highlight w:val="yellow"/>
              </w:rPr>
              <w:t>Autorität</w:t>
            </w:r>
            <w:r>
              <w:rPr>
                <w:rFonts w:cs="Arial"/>
                <w:sz w:val="20"/>
                <w:szCs w:val="20"/>
              </w:rPr>
              <w:t xml:space="preserve">, Grundlagen und Labilität ihres Bestandes, Revolutionärer Charakter </w:t>
            </w:r>
            <w:proofErr w:type="gramStart"/>
            <w:r>
              <w:rPr>
                <w:rFonts w:cs="Arial"/>
                <w:sz w:val="20"/>
                <w:szCs w:val="20"/>
              </w:rPr>
              <w:t>des Charisma</w:t>
            </w:r>
            <w:proofErr w:type="gramEnd"/>
            <w:r>
              <w:rPr>
                <w:rFonts w:cs="Arial"/>
                <w:sz w:val="20"/>
                <w:szCs w:val="20"/>
              </w:rPr>
              <w:t xml:space="preserve">, Sein Geltungsbereich, Soziale Eigenart der charismatischen Strukturform, „Kommunistische“ Güterversorgung der charismatischen Gemeinschaft </w:t>
            </w:r>
          </w:p>
        </w:tc>
      </w:tr>
      <w:tr w:rsidR="00DD067E" w:rsidRPr="00204BFA" w14:paraId="176DA80C" w14:textId="77777777" w:rsidTr="00AF5792">
        <w:trPr>
          <w:trHeight w:val="285"/>
        </w:trPr>
        <w:tc>
          <w:tcPr>
            <w:tcW w:w="1140" w:type="dxa"/>
            <w:gridSpan w:val="2"/>
            <w:shd w:val="clear" w:color="auto" w:fill="FFF2CC" w:themeFill="accent4" w:themeFillTint="33"/>
            <w:hideMark/>
          </w:tcPr>
          <w:p w14:paraId="30C89878"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1A8DF203" w14:textId="77777777" w:rsidR="00DD067E" w:rsidRPr="00204BFA" w:rsidRDefault="00DD067E" w:rsidP="00CF3B80">
            <w:pPr>
              <w:spacing w:line="240" w:lineRule="auto"/>
              <w:jc w:val="left"/>
              <w:rPr>
                <w:rFonts w:cs="Arial"/>
                <w:sz w:val="20"/>
                <w:szCs w:val="20"/>
              </w:rPr>
            </w:pPr>
            <w:commentRangeStart w:id="15"/>
            <w:commentRangeStart w:id="16"/>
            <w:r w:rsidRPr="002D18FA">
              <w:rPr>
                <w:sz w:val="20"/>
                <w:szCs w:val="20"/>
              </w:rPr>
              <w:t>Weber</w:t>
            </w:r>
            <w:commentRangeEnd w:id="15"/>
            <w:r>
              <w:rPr>
                <w:rStyle w:val="Kommentarzeichen"/>
              </w:rPr>
              <w:commentReference w:id="15"/>
            </w:r>
            <w:commentRangeEnd w:id="16"/>
            <w:r>
              <w:rPr>
                <w:rStyle w:val="Kommentarzeichen"/>
              </w:rPr>
              <w:commentReference w:id="16"/>
            </w:r>
            <w:r w:rsidRPr="002D18FA">
              <w:rPr>
                <w:sz w:val="20"/>
                <w:szCs w:val="20"/>
              </w:rPr>
              <w:t>, Max</w:t>
            </w:r>
            <w:r>
              <w:rPr>
                <w:sz w:val="20"/>
                <w:szCs w:val="20"/>
              </w:rPr>
              <w:t>. 1</w:t>
            </w:r>
            <w:r w:rsidRPr="002D18FA">
              <w:rPr>
                <w:sz w:val="20"/>
                <w:szCs w:val="20"/>
              </w:rPr>
              <w:t xml:space="preserve">988. Die drei </w:t>
            </w:r>
            <w:r>
              <w:rPr>
                <w:sz w:val="20"/>
                <w:szCs w:val="20"/>
              </w:rPr>
              <w:t xml:space="preserve">reinen </w:t>
            </w:r>
            <w:r w:rsidRPr="002D18FA">
              <w:rPr>
                <w:sz w:val="20"/>
                <w:szCs w:val="20"/>
              </w:rPr>
              <w:t>Typen der legitimen Herrschaft.</w:t>
            </w:r>
            <w:r>
              <w:rPr>
                <w:sz w:val="20"/>
                <w:szCs w:val="20"/>
              </w:rPr>
              <w:t xml:space="preserve"> In </w:t>
            </w:r>
            <w:r>
              <w:rPr>
                <w:i/>
                <w:sz w:val="20"/>
                <w:szCs w:val="20"/>
              </w:rPr>
              <w:t xml:space="preserve">Max Weber: </w:t>
            </w:r>
            <w:r w:rsidRPr="00AD53DF">
              <w:rPr>
                <w:i/>
                <w:sz w:val="20"/>
                <w:szCs w:val="20"/>
              </w:rPr>
              <w:t>Gesammelte Aufsätze zur Wissenschaftslehre</w:t>
            </w:r>
            <w:r>
              <w:rPr>
                <w:sz w:val="20"/>
                <w:szCs w:val="20"/>
              </w:rPr>
              <w:t xml:space="preserve">, hrsg. von Johannes Winckelmann, </w:t>
            </w:r>
            <w:r w:rsidRPr="002D18FA">
              <w:rPr>
                <w:sz w:val="20"/>
                <w:szCs w:val="20"/>
              </w:rPr>
              <w:t>475- 488. Tübingen: Mohr (Siebeck).</w:t>
            </w:r>
          </w:p>
        </w:tc>
        <w:tc>
          <w:tcPr>
            <w:tcW w:w="9458" w:type="dxa"/>
            <w:hideMark/>
          </w:tcPr>
          <w:p w14:paraId="528A1C54" w14:textId="77777777" w:rsidR="00DD067E" w:rsidRPr="00204BFA" w:rsidRDefault="00DD067E" w:rsidP="00CF3B80">
            <w:pPr>
              <w:spacing w:line="240" w:lineRule="auto"/>
              <w:jc w:val="left"/>
              <w:rPr>
                <w:rFonts w:cs="Arial"/>
                <w:sz w:val="20"/>
                <w:szCs w:val="20"/>
              </w:rPr>
            </w:pPr>
            <w:r>
              <w:rPr>
                <w:rFonts w:cs="Arial"/>
                <w:bCs/>
                <w:sz w:val="20"/>
                <w:szCs w:val="20"/>
              </w:rPr>
              <w:t xml:space="preserve">Zu Legitimität der Herrschaft, Legitimitätsgründe, I. Legale Herrschaft, II. Traditionelle </w:t>
            </w:r>
            <w:proofErr w:type="spellStart"/>
            <w:r>
              <w:rPr>
                <w:rFonts w:cs="Arial"/>
                <w:bCs/>
                <w:sz w:val="20"/>
                <w:szCs w:val="20"/>
              </w:rPr>
              <w:t>Herrrschaft</w:t>
            </w:r>
            <w:proofErr w:type="spellEnd"/>
            <w:r>
              <w:rPr>
                <w:rFonts w:cs="Arial"/>
                <w:bCs/>
                <w:sz w:val="20"/>
                <w:szCs w:val="20"/>
              </w:rPr>
              <w:t>, III. Charismatische Herrschaft</w:t>
            </w:r>
          </w:p>
        </w:tc>
      </w:tr>
      <w:tr w:rsidR="00E53FA6" w:rsidRPr="00204BFA" w14:paraId="4498A348" w14:textId="77777777" w:rsidTr="00AF5792">
        <w:trPr>
          <w:trHeight w:val="285"/>
        </w:trPr>
        <w:tc>
          <w:tcPr>
            <w:tcW w:w="1140" w:type="dxa"/>
            <w:gridSpan w:val="2"/>
            <w:shd w:val="clear" w:color="auto" w:fill="FFF2CC" w:themeFill="accent4" w:themeFillTint="33"/>
          </w:tcPr>
          <w:p w14:paraId="46F8A941" w14:textId="2F98225D" w:rsidR="00E53FA6" w:rsidRPr="00FA04F8" w:rsidRDefault="00E53FA6" w:rsidP="00CF3B80">
            <w:pPr>
              <w:spacing w:line="240" w:lineRule="auto"/>
              <w:jc w:val="left"/>
              <w:rPr>
                <w:rFonts w:cs="Arial"/>
                <w:b/>
                <w:bCs/>
                <w:sz w:val="20"/>
                <w:szCs w:val="20"/>
              </w:rPr>
            </w:pPr>
          </w:p>
        </w:tc>
        <w:tc>
          <w:tcPr>
            <w:tcW w:w="3968" w:type="dxa"/>
            <w:gridSpan w:val="2"/>
          </w:tcPr>
          <w:p w14:paraId="4C820106" w14:textId="77777777" w:rsidR="00E53FA6" w:rsidRPr="00204BFA" w:rsidRDefault="00E53FA6" w:rsidP="00CF3B80">
            <w:pPr>
              <w:spacing w:line="240" w:lineRule="auto"/>
              <w:jc w:val="left"/>
              <w:rPr>
                <w:rFonts w:cs="Arial"/>
                <w:sz w:val="20"/>
                <w:szCs w:val="20"/>
              </w:rPr>
            </w:pPr>
          </w:p>
        </w:tc>
        <w:tc>
          <w:tcPr>
            <w:tcW w:w="9458" w:type="dxa"/>
          </w:tcPr>
          <w:p w14:paraId="326E17ED" w14:textId="77777777" w:rsidR="00E53FA6" w:rsidRPr="00204BFA" w:rsidRDefault="00E53FA6" w:rsidP="00CF3B80">
            <w:pPr>
              <w:spacing w:line="240" w:lineRule="auto"/>
              <w:jc w:val="left"/>
              <w:rPr>
                <w:rFonts w:cs="Arial"/>
                <w:sz w:val="20"/>
                <w:szCs w:val="20"/>
              </w:rPr>
            </w:pPr>
          </w:p>
        </w:tc>
      </w:tr>
      <w:tr w:rsidR="00E53FA6" w:rsidRPr="00204BFA" w14:paraId="23640640" w14:textId="77777777" w:rsidTr="00AF5792">
        <w:trPr>
          <w:trHeight w:val="285"/>
        </w:trPr>
        <w:tc>
          <w:tcPr>
            <w:tcW w:w="1140" w:type="dxa"/>
            <w:gridSpan w:val="2"/>
            <w:shd w:val="clear" w:color="auto" w:fill="FFF2CC" w:themeFill="accent4" w:themeFillTint="33"/>
          </w:tcPr>
          <w:p w14:paraId="2DD8B8FF" w14:textId="1DFBBA50" w:rsidR="00E53FA6" w:rsidRPr="00FA04F8" w:rsidRDefault="00E53FA6" w:rsidP="00CF3B80">
            <w:pPr>
              <w:spacing w:line="240" w:lineRule="auto"/>
              <w:jc w:val="left"/>
              <w:rPr>
                <w:rFonts w:cs="Arial"/>
                <w:b/>
                <w:bCs/>
                <w:sz w:val="20"/>
                <w:szCs w:val="20"/>
              </w:rPr>
            </w:pPr>
          </w:p>
        </w:tc>
        <w:tc>
          <w:tcPr>
            <w:tcW w:w="3968" w:type="dxa"/>
            <w:gridSpan w:val="2"/>
          </w:tcPr>
          <w:p w14:paraId="6E3DE361" w14:textId="77777777" w:rsidR="00E53FA6" w:rsidRPr="00204BFA" w:rsidRDefault="00E53FA6" w:rsidP="00CF3B80">
            <w:pPr>
              <w:spacing w:line="240" w:lineRule="auto"/>
              <w:jc w:val="left"/>
              <w:rPr>
                <w:rFonts w:cs="Arial"/>
                <w:sz w:val="20"/>
                <w:szCs w:val="20"/>
              </w:rPr>
            </w:pPr>
          </w:p>
        </w:tc>
        <w:tc>
          <w:tcPr>
            <w:tcW w:w="9458" w:type="dxa"/>
          </w:tcPr>
          <w:p w14:paraId="5748EAC9" w14:textId="77777777" w:rsidR="00E53FA6" w:rsidRPr="00204BFA" w:rsidRDefault="00E53FA6" w:rsidP="00CF3B80">
            <w:pPr>
              <w:spacing w:line="240" w:lineRule="auto"/>
              <w:jc w:val="left"/>
              <w:rPr>
                <w:rFonts w:cs="Arial"/>
                <w:sz w:val="20"/>
                <w:szCs w:val="20"/>
              </w:rPr>
            </w:pPr>
          </w:p>
        </w:tc>
      </w:tr>
      <w:tr w:rsidR="00E53FA6" w:rsidRPr="00204BFA" w14:paraId="56DC51C3" w14:textId="77777777" w:rsidTr="00AF5792">
        <w:trPr>
          <w:trHeight w:val="285"/>
        </w:trPr>
        <w:tc>
          <w:tcPr>
            <w:tcW w:w="1140" w:type="dxa"/>
            <w:gridSpan w:val="2"/>
            <w:shd w:val="clear" w:color="auto" w:fill="FFF2CC" w:themeFill="accent4" w:themeFillTint="33"/>
          </w:tcPr>
          <w:p w14:paraId="17E28066" w14:textId="01F2182D" w:rsidR="00E53FA6" w:rsidRPr="00FA04F8" w:rsidRDefault="00E53FA6" w:rsidP="00CF3B80">
            <w:pPr>
              <w:spacing w:line="240" w:lineRule="auto"/>
              <w:jc w:val="left"/>
              <w:rPr>
                <w:rFonts w:cs="Arial"/>
                <w:b/>
                <w:bCs/>
                <w:sz w:val="20"/>
                <w:szCs w:val="20"/>
              </w:rPr>
            </w:pPr>
          </w:p>
        </w:tc>
        <w:tc>
          <w:tcPr>
            <w:tcW w:w="3968" w:type="dxa"/>
            <w:gridSpan w:val="2"/>
          </w:tcPr>
          <w:p w14:paraId="67647C74" w14:textId="77777777" w:rsidR="00E53FA6" w:rsidRPr="00204BFA" w:rsidRDefault="00E53FA6" w:rsidP="00CF3B80">
            <w:pPr>
              <w:spacing w:line="240" w:lineRule="auto"/>
              <w:jc w:val="left"/>
              <w:rPr>
                <w:rFonts w:cs="Arial"/>
                <w:sz w:val="20"/>
                <w:szCs w:val="20"/>
              </w:rPr>
            </w:pPr>
          </w:p>
        </w:tc>
        <w:tc>
          <w:tcPr>
            <w:tcW w:w="9458" w:type="dxa"/>
          </w:tcPr>
          <w:p w14:paraId="15075F36" w14:textId="77777777" w:rsidR="00E53FA6" w:rsidRPr="00204BFA" w:rsidRDefault="00E53FA6" w:rsidP="00CF3B80">
            <w:pPr>
              <w:spacing w:line="240" w:lineRule="auto"/>
              <w:jc w:val="left"/>
              <w:rPr>
                <w:rFonts w:cs="Arial"/>
                <w:sz w:val="20"/>
                <w:szCs w:val="20"/>
              </w:rPr>
            </w:pPr>
          </w:p>
        </w:tc>
      </w:tr>
      <w:tr w:rsidR="00E53FA6" w:rsidRPr="00204BFA" w14:paraId="7395D596" w14:textId="77777777" w:rsidTr="00AF5792">
        <w:trPr>
          <w:trHeight w:val="285"/>
        </w:trPr>
        <w:tc>
          <w:tcPr>
            <w:tcW w:w="1140" w:type="dxa"/>
            <w:gridSpan w:val="2"/>
            <w:shd w:val="clear" w:color="auto" w:fill="FFF2CC" w:themeFill="accent4" w:themeFillTint="33"/>
            <w:hideMark/>
          </w:tcPr>
          <w:p w14:paraId="6363165E" w14:textId="210C6DCA" w:rsidR="00E53FA6" w:rsidRPr="00FA04F8" w:rsidRDefault="00E53FA6" w:rsidP="00CF3B80">
            <w:pPr>
              <w:spacing w:line="240" w:lineRule="auto"/>
              <w:jc w:val="left"/>
              <w:rPr>
                <w:rFonts w:cs="Arial"/>
                <w:b/>
                <w:bCs/>
                <w:sz w:val="20"/>
                <w:szCs w:val="20"/>
              </w:rPr>
            </w:pPr>
          </w:p>
        </w:tc>
        <w:tc>
          <w:tcPr>
            <w:tcW w:w="3968" w:type="dxa"/>
            <w:gridSpan w:val="2"/>
            <w:hideMark/>
          </w:tcPr>
          <w:p w14:paraId="6B5E054A" w14:textId="77777777" w:rsidR="00E53FA6" w:rsidRPr="00204BFA" w:rsidRDefault="00E53FA6" w:rsidP="00CF3B80">
            <w:pPr>
              <w:spacing w:line="240" w:lineRule="auto"/>
              <w:jc w:val="left"/>
              <w:rPr>
                <w:rFonts w:cs="Arial"/>
                <w:sz w:val="20"/>
                <w:szCs w:val="20"/>
              </w:rPr>
            </w:pPr>
          </w:p>
        </w:tc>
        <w:tc>
          <w:tcPr>
            <w:tcW w:w="9458" w:type="dxa"/>
            <w:hideMark/>
          </w:tcPr>
          <w:p w14:paraId="10FDCC5D" w14:textId="77777777" w:rsidR="00E53FA6" w:rsidRPr="00204BFA" w:rsidRDefault="00E53FA6" w:rsidP="00CF3B80">
            <w:pPr>
              <w:spacing w:line="240" w:lineRule="auto"/>
              <w:jc w:val="left"/>
              <w:rPr>
                <w:rFonts w:cs="Arial"/>
                <w:sz w:val="20"/>
                <w:szCs w:val="20"/>
              </w:rPr>
            </w:pPr>
          </w:p>
        </w:tc>
      </w:tr>
      <w:tr w:rsidR="00CF3B80" w:rsidRPr="00204BFA" w14:paraId="46A41D5C" w14:textId="77777777" w:rsidTr="000F1DA3">
        <w:trPr>
          <w:trHeight w:val="285"/>
        </w:trPr>
        <w:tc>
          <w:tcPr>
            <w:tcW w:w="14566" w:type="dxa"/>
            <w:gridSpan w:val="5"/>
            <w:shd w:val="clear" w:color="auto" w:fill="FFE599" w:themeFill="accent4" w:themeFillTint="66"/>
            <w:hideMark/>
          </w:tcPr>
          <w:p w14:paraId="3494AC56" w14:textId="37C75D6A" w:rsidR="00CF3B80" w:rsidRPr="00204BFA" w:rsidRDefault="00CF3B80" w:rsidP="00CF3B80">
            <w:pPr>
              <w:spacing w:line="240" w:lineRule="auto"/>
              <w:jc w:val="left"/>
              <w:rPr>
                <w:rFonts w:cs="Arial"/>
                <w:sz w:val="20"/>
                <w:szCs w:val="20"/>
              </w:rPr>
            </w:pPr>
            <w:r>
              <w:rPr>
                <w:rFonts w:cs="Arial"/>
                <w:b/>
                <w:bCs/>
                <w:sz w:val="20"/>
                <w:szCs w:val="20"/>
              </w:rPr>
              <w:t>Grundlagentexte/Einführungsliteratur/Sekundärliteratur/Begriffsdefinitionen</w:t>
            </w:r>
          </w:p>
        </w:tc>
      </w:tr>
      <w:tr w:rsidR="00DD067E" w:rsidRPr="00204BFA" w14:paraId="1243B27A" w14:textId="77777777" w:rsidTr="00AF5792">
        <w:trPr>
          <w:trHeight w:val="285"/>
        </w:trPr>
        <w:tc>
          <w:tcPr>
            <w:tcW w:w="1140" w:type="dxa"/>
            <w:gridSpan w:val="2"/>
            <w:shd w:val="clear" w:color="auto" w:fill="FFF2CC" w:themeFill="accent4" w:themeFillTint="33"/>
            <w:hideMark/>
          </w:tcPr>
          <w:p w14:paraId="31C7FD37"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6049F97A" w14:textId="77777777" w:rsidR="00DD067E" w:rsidRPr="00204BFA" w:rsidRDefault="00DD067E" w:rsidP="00CF3B80">
            <w:pPr>
              <w:spacing w:line="240" w:lineRule="auto"/>
              <w:jc w:val="left"/>
              <w:rPr>
                <w:rFonts w:cs="Arial"/>
                <w:sz w:val="20"/>
                <w:szCs w:val="20"/>
              </w:rPr>
            </w:pPr>
            <w:r>
              <w:rPr>
                <w:rFonts w:cs="Arial"/>
                <w:sz w:val="20"/>
                <w:szCs w:val="20"/>
              </w:rPr>
              <w:t xml:space="preserve">Merz-Benz, Peter-Ulrich. 2021. Systemtheorie, Biologie der Sozialität – und das Thema „Herrschaft“. </w:t>
            </w:r>
            <w:r>
              <w:rPr>
                <w:rFonts w:cs="Arial"/>
                <w:sz w:val="20"/>
                <w:szCs w:val="20"/>
              </w:rPr>
              <w:t xml:space="preserve">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DB5DE9">
              <w:rPr>
                <w:rFonts w:cs="Arial"/>
                <w:sz w:val="20"/>
                <w:szCs w:val="20"/>
              </w:rPr>
              <w:t>469–483</w:t>
            </w:r>
            <w:r>
              <w:rPr>
                <w:rFonts w:cs="Arial"/>
                <w:sz w:val="20"/>
                <w:szCs w:val="20"/>
              </w:rPr>
              <w:t>. Wiesbaden: Springer VS.</w:t>
            </w:r>
          </w:p>
        </w:tc>
        <w:tc>
          <w:tcPr>
            <w:tcW w:w="9458" w:type="dxa"/>
            <w:hideMark/>
          </w:tcPr>
          <w:p w14:paraId="10F496A3" w14:textId="77777777" w:rsidR="00DD067E" w:rsidRPr="00204BFA" w:rsidRDefault="00DD067E" w:rsidP="00CF3B80">
            <w:pPr>
              <w:spacing w:line="240" w:lineRule="auto"/>
              <w:jc w:val="left"/>
              <w:rPr>
                <w:rFonts w:cs="Arial"/>
                <w:sz w:val="20"/>
                <w:szCs w:val="20"/>
              </w:rPr>
            </w:pPr>
            <w:r>
              <w:rPr>
                <w:rFonts w:cs="Arial"/>
                <w:sz w:val="20"/>
                <w:szCs w:val="20"/>
              </w:rPr>
              <w:t xml:space="preserve">(aus Einleitung): </w:t>
            </w:r>
            <w:r w:rsidRPr="00E53FA6">
              <w:rPr>
                <w:rFonts w:cs="Arial"/>
                <w:sz w:val="20"/>
                <w:szCs w:val="20"/>
              </w:rPr>
              <w:t>Eigentlich ist seit Max Weber und Ferdinand Tönnies alles klar: „Herrschaft soll heißen“ – gemäß der bekannten Bestimmung bei Weber – „die Chance, für einen Befehl bestimmten Inhalts bei angebbaren Personen Gehorsam zu finden“. Realisierungen solcher Chancen, d. h. bestehende Herrschaftszusammenhänge, sind konstituiert im wertgeleiteten und sinnhaften Handeln der Menschen oder, was dasselbe meint, in teleologisch-rationalem Handeln, wie es Persönlichkeiten auszeichnet. Kurz: Herrschaftszusammenhänge bestehen in der Sphäre sozialen Handelns, jenseits des naturhaften Geschehens, jenseits des biotischen Lebens, wie es allein den vegetativen Untergrund des persönlichen Lebens ausmacht, von diesem höchstens gleichsam äußerlich (mit-)bedingt.</w:t>
            </w:r>
          </w:p>
        </w:tc>
      </w:tr>
      <w:tr w:rsidR="00DD067E" w:rsidRPr="00204BFA" w14:paraId="6542DA2B" w14:textId="77777777" w:rsidTr="00AF5792">
        <w:trPr>
          <w:trHeight w:val="285"/>
        </w:trPr>
        <w:tc>
          <w:tcPr>
            <w:tcW w:w="1140" w:type="dxa"/>
            <w:gridSpan w:val="2"/>
            <w:shd w:val="clear" w:color="auto" w:fill="FFF2CC" w:themeFill="accent4" w:themeFillTint="33"/>
            <w:hideMark/>
          </w:tcPr>
          <w:p w14:paraId="4A229BD5" w14:textId="77777777" w:rsidR="00DD067E" w:rsidRPr="00FA04F8" w:rsidRDefault="00DD067E" w:rsidP="00CF3B80">
            <w:pPr>
              <w:spacing w:line="240" w:lineRule="auto"/>
              <w:jc w:val="left"/>
              <w:rPr>
                <w:rFonts w:cs="Arial"/>
                <w:b/>
                <w:bCs/>
                <w:sz w:val="20"/>
                <w:szCs w:val="20"/>
              </w:rPr>
            </w:pPr>
            <w:r w:rsidRPr="00FA04F8">
              <w:rPr>
                <w:rFonts w:cs="Arial"/>
                <w:b/>
                <w:bCs/>
                <w:sz w:val="20"/>
                <w:szCs w:val="20"/>
              </w:rPr>
              <w:t> </w:t>
            </w:r>
          </w:p>
          <w:p w14:paraId="2CC105FC" w14:textId="77777777" w:rsidR="00DD067E" w:rsidRPr="00FA04F8" w:rsidRDefault="00DD067E" w:rsidP="00CF3B80">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040F5297" w14:textId="77777777" w:rsidR="00DD067E" w:rsidRPr="00204BFA" w:rsidRDefault="00DD067E" w:rsidP="00CF3B80">
            <w:pPr>
              <w:spacing w:line="240" w:lineRule="auto"/>
              <w:jc w:val="left"/>
              <w:rPr>
                <w:rFonts w:cs="Arial"/>
                <w:sz w:val="20"/>
                <w:szCs w:val="20"/>
              </w:rPr>
            </w:pPr>
            <w:r>
              <w:rPr>
                <w:rFonts w:cs="Arial"/>
                <w:sz w:val="20"/>
                <w:szCs w:val="20"/>
              </w:rPr>
              <w:t xml:space="preserve">Wagner, Gerhards. 2021. </w:t>
            </w:r>
            <w:r w:rsidRPr="00827780">
              <w:rPr>
                <w:rFonts w:cs="Arial"/>
                <w:sz w:val="20"/>
                <w:szCs w:val="20"/>
              </w:rPr>
              <w:t>Herrschaft und soziales Handeln – eine Notiz zur Systematisierung zweier soziologischer Grundbegriffe</w:t>
            </w:r>
            <w:r>
              <w:rPr>
                <w:rFonts w:cs="Arial"/>
                <w:sz w:val="20"/>
                <w:szCs w:val="20"/>
              </w:rPr>
              <w:t xml:space="preserve">.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943625">
              <w:rPr>
                <w:rFonts w:cs="Arial"/>
                <w:sz w:val="20"/>
                <w:szCs w:val="20"/>
              </w:rPr>
              <w:t>55–63</w:t>
            </w:r>
            <w:r>
              <w:rPr>
                <w:rFonts w:cs="Arial"/>
                <w:sz w:val="20"/>
                <w:szCs w:val="20"/>
              </w:rPr>
              <w:t>. Wiesbaden: Springer VS.</w:t>
            </w:r>
          </w:p>
        </w:tc>
        <w:tc>
          <w:tcPr>
            <w:tcW w:w="9458" w:type="dxa"/>
            <w:hideMark/>
          </w:tcPr>
          <w:p w14:paraId="5AE02D9E" w14:textId="77777777" w:rsidR="00DD067E" w:rsidRPr="00204BFA" w:rsidRDefault="00DD067E" w:rsidP="00943625">
            <w:pPr>
              <w:spacing w:line="240" w:lineRule="auto"/>
              <w:jc w:val="left"/>
              <w:rPr>
                <w:rFonts w:cs="Arial"/>
                <w:sz w:val="20"/>
                <w:szCs w:val="20"/>
              </w:rPr>
            </w:pPr>
            <w:r>
              <w:rPr>
                <w:rFonts w:cs="Arial"/>
                <w:sz w:val="20"/>
                <w:szCs w:val="20"/>
              </w:rPr>
              <w:t xml:space="preserve">(aus Einleitung): </w:t>
            </w:r>
            <w:r w:rsidRPr="00943625">
              <w:rPr>
                <w:rFonts w:cs="Arial"/>
                <w:sz w:val="20"/>
                <w:szCs w:val="20"/>
              </w:rPr>
              <w:t>Max Weber beginnt seinen Aufsatz „Die drei reinen Typen der legitimen Herrschaft“ mit einer kurzen Definition des Herrschaftsbegriffs: „Herrschaft, d. h. die Chance, Gehorsam für einen bestimmten Befehl zu finden“. Eine etwas ausführlichere Definition findet sich in seinem Text „Soziologische Grundbegriffe“, und zwar im § 16: „Herrschaft soll heißen die Chance, für einen Befehl bestimmten Inhalts bei angebbaren Personen Gehorsam zu finden“. Tatsächlich empfiehlt es sich für ein besseres Verständnis, Webers Ausführungen zu den drei reinen Typen der legitimen Herrschaft auf der Folie seiner Grundbegriffe zu lesen und dabei besonders den Begriff des Handelns bzw. sozialen Handelns heranzuziehen. Dies mag auf den ersten Blick kaum hilfreich erscheinen, denn Weber arbeitet mit vier Typen des Handelns, aber nur mit drei Typen der Herrschaft. Allein, dieses scheinbare Missverhältnis ist systematisch begründet, wie im Folgenden gezeigt werden soll.</w:t>
            </w:r>
          </w:p>
        </w:tc>
      </w:tr>
      <w:tr w:rsidR="00E53FA6" w:rsidRPr="00204BFA" w14:paraId="5EFAD0F4" w14:textId="77777777" w:rsidTr="00AF5792">
        <w:trPr>
          <w:trHeight w:val="285"/>
        </w:trPr>
        <w:tc>
          <w:tcPr>
            <w:tcW w:w="1140" w:type="dxa"/>
            <w:gridSpan w:val="2"/>
            <w:shd w:val="clear" w:color="auto" w:fill="FFF2CC" w:themeFill="accent4" w:themeFillTint="33"/>
          </w:tcPr>
          <w:p w14:paraId="718F82C7" w14:textId="77777777" w:rsidR="00E53FA6" w:rsidRPr="00FA04F8" w:rsidRDefault="00E53FA6" w:rsidP="00CF3B80">
            <w:pPr>
              <w:spacing w:line="240" w:lineRule="auto"/>
              <w:jc w:val="left"/>
              <w:rPr>
                <w:rFonts w:cs="Arial"/>
                <w:b/>
                <w:bCs/>
                <w:sz w:val="20"/>
                <w:szCs w:val="20"/>
              </w:rPr>
            </w:pPr>
          </w:p>
        </w:tc>
        <w:tc>
          <w:tcPr>
            <w:tcW w:w="3968" w:type="dxa"/>
            <w:gridSpan w:val="2"/>
          </w:tcPr>
          <w:p w14:paraId="29990082" w14:textId="77777777" w:rsidR="00E53FA6" w:rsidRDefault="00E53FA6" w:rsidP="00CF3B80">
            <w:pPr>
              <w:spacing w:line="240" w:lineRule="auto"/>
              <w:jc w:val="left"/>
              <w:rPr>
                <w:rFonts w:cs="Arial"/>
                <w:sz w:val="20"/>
                <w:szCs w:val="20"/>
              </w:rPr>
            </w:pPr>
          </w:p>
        </w:tc>
        <w:tc>
          <w:tcPr>
            <w:tcW w:w="9458" w:type="dxa"/>
          </w:tcPr>
          <w:p w14:paraId="6DB54A93" w14:textId="77777777" w:rsidR="00E53FA6" w:rsidRDefault="00E53FA6" w:rsidP="00CF3B80">
            <w:pPr>
              <w:spacing w:line="240" w:lineRule="auto"/>
              <w:jc w:val="left"/>
              <w:rPr>
                <w:rFonts w:cs="Arial"/>
                <w:sz w:val="20"/>
                <w:szCs w:val="20"/>
              </w:rPr>
            </w:pPr>
          </w:p>
        </w:tc>
      </w:tr>
      <w:tr w:rsidR="00CF3B80" w:rsidRPr="00204BFA" w14:paraId="33BE6D6F" w14:textId="77777777" w:rsidTr="000F1DA3">
        <w:trPr>
          <w:trHeight w:val="285"/>
        </w:trPr>
        <w:tc>
          <w:tcPr>
            <w:tcW w:w="14566" w:type="dxa"/>
            <w:gridSpan w:val="5"/>
            <w:shd w:val="clear" w:color="auto" w:fill="FFE599" w:themeFill="accent4" w:themeFillTint="66"/>
          </w:tcPr>
          <w:p w14:paraId="13796904" w14:textId="6EE99AA1" w:rsidR="00CF3B80" w:rsidRPr="00204BFA" w:rsidRDefault="00CF3B80" w:rsidP="00CF3B80">
            <w:pPr>
              <w:spacing w:line="240" w:lineRule="auto"/>
              <w:jc w:val="left"/>
              <w:rPr>
                <w:rFonts w:cs="Arial"/>
                <w:sz w:val="20"/>
                <w:szCs w:val="20"/>
              </w:rPr>
            </w:pPr>
            <w:r>
              <w:rPr>
                <w:rFonts w:cs="Arial"/>
                <w:b/>
                <w:bCs/>
                <w:sz w:val="20"/>
                <w:szCs w:val="20"/>
              </w:rPr>
              <w:t>Literatur/Debatten aus Feministischen Studien/Gender Studies</w:t>
            </w:r>
          </w:p>
        </w:tc>
      </w:tr>
      <w:tr w:rsidR="00E53FA6" w:rsidRPr="00204BFA" w14:paraId="4954BA4E" w14:textId="77777777" w:rsidTr="00AF5792">
        <w:trPr>
          <w:trHeight w:val="285"/>
        </w:trPr>
        <w:tc>
          <w:tcPr>
            <w:tcW w:w="1140" w:type="dxa"/>
            <w:gridSpan w:val="2"/>
            <w:shd w:val="clear" w:color="auto" w:fill="FFF2CC" w:themeFill="accent4" w:themeFillTint="33"/>
          </w:tcPr>
          <w:p w14:paraId="75B399DC" w14:textId="6D215756" w:rsidR="00E53FA6" w:rsidRPr="00FA04F8" w:rsidRDefault="00E53FA6" w:rsidP="00CF3B80">
            <w:pPr>
              <w:spacing w:line="240" w:lineRule="auto"/>
              <w:jc w:val="left"/>
              <w:rPr>
                <w:rFonts w:cs="Arial"/>
                <w:b/>
                <w:bCs/>
                <w:sz w:val="20"/>
                <w:szCs w:val="20"/>
              </w:rPr>
            </w:pPr>
          </w:p>
        </w:tc>
        <w:tc>
          <w:tcPr>
            <w:tcW w:w="3968" w:type="dxa"/>
            <w:gridSpan w:val="2"/>
          </w:tcPr>
          <w:p w14:paraId="06228808" w14:textId="595FA7D2" w:rsidR="00E53FA6" w:rsidRPr="00204BFA" w:rsidRDefault="003C366E" w:rsidP="00CF3B80">
            <w:pPr>
              <w:spacing w:line="240" w:lineRule="auto"/>
              <w:jc w:val="left"/>
              <w:rPr>
                <w:rFonts w:cs="Arial"/>
                <w:sz w:val="20"/>
                <w:szCs w:val="20"/>
              </w:rPr>
            </w:pPr>
            <w:commentRangeStart w:id="17"/>
            <w:r>
              <w:rPr>
                <w:rFonts w:cs="Arial"/>
                <w:sz w:val="20"/>
                <w:szCs w:val="20"/>
              </w:rPr>
              <w:t>Becker</w:t>
            </w:r>
            <w:commentRangeEnd w:id="17"/>
            <w:r w:rsidR="00C17DD4">
              <w:rPr>
                <w:rStyle w:val="Kommentarzeichen"/>
              </w:rPr>
              <w:commentReference w:id="17"/>
            </w:r>
            <w:r>
              <w:rPr>
                <w:rFonts w:cs="Arial"/>
                <w:sz w:val="20"/>
                <w:szCs w:val="20"/>
              </w:rPr>
              <w:t xml:space="preserve">-Schmidt, Regina. 1992. Geschlechterverhältnis als Herrschaftsgefüge. </w:t>
            </w:r>
            <w:r w:rsidR="00814047">
              <w:rPr>
                <w:rFonts w:cs="Arial"/>
                <w:sz w:val="20"/>
                <w:szCs w:val="20"/>
              </w:rPr>
              <w:t xml:space="preserve">In </w:t>
            </w:r>
            <w:r w:rsidR="00814047" w:rsidRPr="00814047">
              <w:rPr>
                <w:rFonts w:cs="Arial"/>
                <w:i/>
                <w:iCs/>
                <w:sz w:val="20"/>
                <w:szCs w:val="20"/>
              </w:rPr>
              <w:t xml:space="preserve">Wider das schlichte Vergessen Der deutsch-deutsche </w:t>
            </w:r>
            <w:proofErr w:type="spellStart"/>
            <w:r w:rsidR="00814047" w:rsidRPr="00814047">
              <w:rPr>
                <w:rFonts w:cs="Arial"/>
                <w:i/>
                <w:iCs/>
                <w:sz w:val="20"/>
                <w:szCs w:val="20"/>
              </w:rPr>
              <w:t>Einigungsprozeß</w:t>
            </w:r>
            <w:proofErr w:type="spellEnd"/>
            <w:r w:rsidR="00814047" w:rsidRPr="00814047">
              <w:rPr>
                <w:rFonts w:cs="Arial"/>
                <w:i/>
                <w:iCs/>
                <w:sz w:val="20"/>
                <w:szCs w:val="20"/>
              </w:rPr>
              <w:t>: Frauen im Dialog</w:t>
            </w:r>
            <w:r w:rsidR="006708DE">
              <w:rPr>
                <w:rFonts w:cs="Arial"/>
                <w:i/>
                <w:iCs/>
                <w:sz w:val="20"/>
                <w:szCs w:val="20"/>
              </w:rPr>
              <w:t>,</w:t>
            </w:r>
            <w:r w:rsidR="006708DE">
              <w:rPr>
                <w:rFonts w:cs="Arial"/>
                <w:iCs/>
                <w:sz w:val="20"/>
                <w:szCs w:val="20"/>
              </w:rPr>
              <w:t xml:space="preserve"> hrsg. von </w:t>
            </w:r>
            <w:r w:rsidR="0047278C">
              <w:rPr>
                <w:rFonts w:cs="Arial"/>
                <w:iCs/>
                <w:sz w:val="20"/>
                <w:szCs w:val="20"/>
              </w:rPr>
              <w:t>Christine Kulke, Heidi Kopp-</w:t>
            </w:r>
            <w:proofErr w:type="spellStart"/>
            <w:r w:rsidR="0047278C">
              <w:rPr>
                <w:rFonts w:cs="Arial"/>
                <w:iCs/>
                <w:sz w:val="20"/>
                <w:szCs w:val="20"/>
              </w:rPr>
              <w:t>Degethoff</w:t>
            </w:r>
            <w:proofErr w:type="spellEnd"/>
            <w:r w:rsidR="0047278C">
              <w:rPr>
                <w:rFonts w:cs="Arial"/>
                <w:iCs/>
                <w:sz w:val="20"/>
                <w:szCs w:val="20"/>
              </w:rPr>
              <w:t xml:space="preserve"> und Ulrike </w:t>
            </w:r>
            <w:proofErr w:type="spellStart"/>
            <w:r w:rsidR="0047278C">
              <w:rPr>
                <w:rFonts w:cs="Arial"/>
                <w:iCs/>
                <w:sz w:val="20"/>
                <w:szCs w:val="20"/>
              </w:rPr>
              <w:t>Rammin</w:t>
            </w:r>
            <w:proofErr w:type="spellEnd"/>
            <w:r w:rsidR="0047278C">
              <w:rPr>
                <w:rFonts w:cs="Arial"/>
                <w:iCs/>
                <w:sz w:val="20"/>
                <w:szCs w:val="20"/>
              </w:rPr>
              <w:t>.</w:t>
            </w:r>
            <w:r w:rsidR="00814047">
              <w:rPr>
                <w:rFonts w:cs="Arial"/>
                <w:sz w:val="20"/>
                <w:szCs w:val="20"/>
              </w:rPr>
              <w:t xml:space="preserve"> Berlin: Orlanda-Frauenverlag. </w:t>
            </w:r>
          </w:p>
        </w:tc>
        <w:tc>
          <w:tcPr>
            <w:tcW w:w="9458" w:type="dxa"/>
          </w:tcPr>
          <w:p w14:paraId="75C95F2A" w14:textId="368C2EEC" w:rsidR="00E53FA6" w:rsidRPr="00204BFA" w:rsidRDefault="0047278C" w:rsidP="00CF3B80">
            <w:pPr>
              <w:spacing w:line="240" w:lineRule="auto"/>
              <w:jc w:val="left"/>
              <w:rPr>
                <w:rFonts w:cs="Arial"/>
                <w:sz w:val="20"/>
                <w:szCs w:val="20"/>
              </w:rPr>
            </w:pPr>
            <w:r>
              <w:rPr>
                <w:rFonts w:cs="Arial"/>
                <w:sz w:val="20"/>
                <w:szCs w:val="20"/>
              </w:rPr>
              <w:t>Kein Abstract</w:t>
            </w:r>
          </w:p>
        </w:tc>
      </w:tr>
      <w:tr w:rsidR="00E53FA6" w:rsidRPr="00204BFA" w14:paraId="4EC61DE7" w14:textId="77777777" w:rsidTr="00AF5792">
        <w:trPr>
          <w:trHeight w:val="285"/>
        </w:trPr>
        <w:tc>
          <w:tcPr>
            <w:tcW w:w="1140" w:type="dxa"/>
            <w:gridSpan w:val="2"/>
            <w:shd w:val="clear" w:color="auto" w:fill="FFF2CC" w:themeFill="accent4" w:themeFillTint="33"/>
            <w:hideMark/>
          </w:tcPr>
          <w:p w14:paraId="4B2C326A" w14:textId="294417E9" w:rsidR="00E53FA6" w:rsidRPr="00FA04F8" w:rsidRDefault="00E53FA6" w:rsidP="00CF3B80">
            <w:pPr>
              <w:spacing w:line="240" w:lineRule="auto"/>
              <w:jc w:val="left"/>
              <w:rPr>
                <w:rFonts w:cs="Arial"/>
                <w:b/>
                <w:bCs/>
                <w:sz w:val="20"/>
                <w:szCs w:val="20"/>
              </w:rPr>
            </w:pPr>
          </w:p>
        </w:tc>
        <w:tc>
          <w:tcPr>
            <w:tcW w:w="3968" w:type="dxa"/>
            <w:gridSpan w:val="2"/>
            <w:hideMark/>
          </w:tcPr>
          <w:p w14:paraId="7996E658" w14:textId="77777777" w:rsidR="00E53FA6" w:rsidRPr="00204BFA" w:rsidRDefault="00E53FA6" w:rsidP="00CF3B80">
            <w:pPr>
              <w:spacing w:line="240" w:lineRule="auto"/>
              <w:jc w:val="left"/>
              <w:rPr>
                <w:rFonts w:cs="Arial"/>
                <w:sz w:val="20"/>
                <w:szCs w:val="20"/>
              </w:rPr>
            </w:pPr>
          </w:p>
        </w:tc>
        <w:tc>
          <w:tcPr>
            <w:tcW w:w="9458" w:type="dxa"/>
            <w:hideMark/>
          </w:tcPr>
          <w:p w14:paraId="2D0FB601" w14:textId="77777777" w:rsidR="00E53FA6" w:rsidRPr="00204BFA" w:rsidRDefault="00E53FA6" w:rsidP="00CF3B80">
            <w:pPr>
              <w:spacing w:line="240" w:lineRule="auto"/>
              <w:jc w:val="left"/>
              <w:rPr>
                <w:rFonts w:cs="Arial"/>
                <w:sz w:val="20"/>
                <w:szCs w:val="20"/>
              </w:rPr>
            </w:pPr>
          </w:p>
        </w:tc>
      </w:tr>
      <w:tr w:rsidR="00E53FA6" w:rsidRPr="00204BFA" w14:paraId="00C7D838" w14:textId="77777777" w:rsidTr="00AF5792">
        <w:trPr>
          <w:trHeight w:val="285"/>
        </w:trPr>
        <w:tc>
          <w:tcPr>
            <w:tcW w:w="1140" w:type="dxa"/>
            <w:gridSpan w:val="2"/>
            <w:shd w:val="clear" w:color="auto" w:fill="FFF2CC" w:themeFill="accent4" w:themeFillTint="33"/>
          </w:tcPr>
          <w:p w14:paraId="760BFECC" w14:textId="77777777" w:rsidR="00E53FA6" w:rsidRPr="00FA04F8" w:rsidRDefault="00E53FA6" w:rsidP="00CF3B80">
            <w:pPr>
              <w:spacing w:line="240" w:lineRule="auto"/>
              <w:jc w:val="left"/>
              <w:rPr>
                <w:rFonts w:cs="Arial"/>
                <w:b/>
                <w:bCs/>
                <w:sz w:val="20"/>
                <w:szCs w:val="20"/>
              </w:rPr>
            </w:pPr>
          </w:p>
        </w:tc>
        <w:tc>
          <w:tcPr>
            <w:tcW w:w="3968" w:type="dxa"/>
            <w:gridSpan w:val="2"/>
          </w:tcPr>
          <w:p w14:paraId="453AD7DD" w14:textId="77777777" w:rsidR="00E53FA6" w:rsidRPr="00204BFA" w:rsidRDefault="00E53FA6" w:rsidP="00CF3B80">
            <w:pPr>
              <w:spacing w:line="240" w:lineRule="auto"/>
              <w:jc w:val="left"/>
              <w:rPr>
                <w:rFonts w:cs="Arial"/>
                <w:sz w:val="20"/>
                <w:szCs w:val="20"/>
              </w:rPr>
            </w:pPr>
          </w:p>
        </w:tc>
        <w:tc>
          <w:tcPr>
            <w:tcW w:w="9458" w:type="dxa"/>
          </w:tcPr>
          <w:p w14:paraId="7D780795" w14:textId="77777777" w:rsidR="00E53FA6" w:rsidRPr="00204BFA" w:rsidRDefault="00E53FA6" w:rsidP="00CF3B80">
            <w:pPr>
              <w:spacing w:line="240" w:lineRule="auto"/>
              <w:jc w:val="left"/>
              <w:rPr>
                <w:rFonts w:cs="Arial"/>
                <w:sz w:val="20"/>
                <w:szCs w:val="20"/>
              </w:rPr>
            </w:pPr>
          </w:p>
        </w:tc>
      </w:tr>
      <w:tr w:rsidR="00E53FA6" w:rsidRPr="00204BFA" w14:paraId="4006D9ED" w14:textId="77777777" w:rsidTr="00AF5792">
        <w:trPr>
          <w:trHeight w:val="285"/>
        </w:trPr>
        <w:tc>
          <w:tcPr>
            <w:tcW w:w="1140" w:type="dxa"/>
            <w:gridSpan w:val="2"/>
            <w:shd w:val="clear" w:color="auto" w:fill="FFF2CC" w:themeFill="accent4" w:themeFillTint="33"/>
          </w:tcPr>
          <w:p w14:paraId="47862639" w14:textId="77777777" w:rsidR="00E53FA6" w:rsidRPr="00FA04F8" w:rsidRDefault="00E53FA6" w:rsidP="00CF3B80">
            <w:pPr>
              <w:spacing w:line="240" w:lineRule="auto"/>
              <w:jc w:val="left"/>
              <w:rPr>
                <w:rFonts w:cs="Arial"/>
                <w:b/>
                <w:bCs/>
                <w:sz w:val="20"/>
                <w:szCs w:val="20"/>
              </w:rPr>
            </w:pPr>
          </w:p>
        </w:tc>
        <w:tc>
          <w:tcPr>
            <w:tcW w:w="3968" w:type="dxa"/>
            <w:gridSpan w:val="2"/>
          </w:tcPr>
          <w:p w14:paraId="00753CBE" w14:textId="77777777" w:rsidR="00E53FA6" w:rsidRPr="00204BFA" w:rsidRDefault="00E53FA6" w:rsidP="00CF3B80">
            <w:pPr>
              <w:spacing w:line="240" w:lineRule="auto"/>
              <w:jc w:val="left"/>
              <w:rPr>
                <w:rFonts w:cs="Arial"/>
                <w:sz w:val="20"/>
                <w:szCs w:val="20"/>
              </w:rPr>
            </w:pPr>
          </w:p>
        </w:tc>
        <w:tc>
          <w:tcPr>
            <w:tcW w:w="9458" w:type="dxa"/>
          </w:tcPr>
          <w:p w14:paraId="2CA7E4F2" w14:textId="77777777" w:rsidR="00E53FA6" w:rsidRPr="00204BFA" w:rsidRDefault="00E53FA6" w:rsidP="00CF3B80">
            <w:pPr>
              <w:spacing w:line="240" w:lineRule="auto"/>
              <w:jc w:val="left"/>
              <w:rPr>
                <w:rFonts w:cs="Arial"/>
                <w:sz w:val="20"/>
                <w:szCs w:val="20"/>
              </w:rPr>
            </w:pPr>
          </w:p>
        </w:tc>
      </w:tr>
      <w:tr w:rsidR="00CF3B80" w:rsidRPr="00204BFA" w14:paraId="4C3685AD" w14:textId="77777777" w:rsidTr="00DC5A2C">
        <w:trPr>
          <w:trHeight w:val="285"/>
        </w:trPr>
        <w:tc>
          <w:tcPr>
            <w:tcW w:w="14566" w:type="dxa"/>
            <w:gridSpan w:val="5"/>
            <w:shd w:val="clear" w:color="auto" w:fill="FFCCFF"/>
            <w:hideMark/>
          </w:tcPr>
          <w:p w14:paraId="6F4F31CD" w14:textId="116AE971" w:rsidR="00CF3B80" w:rsidRPr="00204BFA" w:rsidRDefault="00CF3B80" w:rsidP="00CF3B80">
            <w:pPr>
              <w:spacing w:line="240" w:lineRule="auto"/>
              <w:jc w:val="left"/>
              <w:rPr>
                <w:rFonts w:cs="Arial"/>
                <w:sz w:val="20"/>
                <w:szCs w:val="20"/>
              </w:rPr>
            </w:pPr>
            <w:r w:rsidRPr="00FA04F8">
              <w:rPr>
                <w:rFonts w:cs="Arial"/>
                <w:b/>
                <w:bCs/>
                <w:sz w:val="20"/>
                <w:szCs w:val="20"/>
              </w:rPr>
              <w:t>Gewalt</w:t>
            </w:r>
          </w:p>
        </w:tc>
      </w:tr>
      <w:tr w:rsidR="00CF3B80" w:rsidRPr="00204BFA" w14:paraId="100C5C24" w14:textId="77777777" w:rsidTr="00CA27C1">
        <w:trPr>
          <w:trHeight w:val="285"/>
        </w:trPr>
        <w:tc>
          <w:tcPr>
            <w:tcW w:w="14566" w:type="dxa"/>
            <w:gridSpan w:val="5"/>
            <w:shd w:val="clear" w:color="auto" w:fill="F7CAAC" w:themeFill="accent2" w:themeFillTint="66"/>
            <w:hideMark/>
          </w:tcPr>
          <w:p w14:paraId="238A69DF" w14:textId="63CBD641" w:rsidR="00CF3B80" w:rsidRPr="00204BFA" w:rsidRDefault="00CF3B80" w:rsidP="00CF3B80">
            <w:pPr>
              <w:spacing w:line="240" w:lineRule="auto"/>
              <w:jc w:val="left"/>
              <w:rPr>
                <w:rFonts w:cs="Arial"/>
                <w:sz w:val="20"/>
                <w:szCs w:val="20"/>
              </w:rPr>
            </w:pPr>
            <w:r>
              <w:rPr>
                <w:rFonts w:cs="Arial"/>
                <w:b/>
                <w:bCs/>
                <w:sz w:val="20"/>
                <w:szCs w:val="20"/>
              </w:rPr>
              <w:t>Primärliteratur/Soziologische Klassiker/</w:t>
            </w:r>
            <w:proofErr w:type="gramStart"/>
            <w:r>
              <w:rPr>
                <w:rFonts w:cs="Arial"/>
                <w:b/>
                <w:bCs/>
                <w:sz w:val="20"/>
                <w:szCs w:val="20"/>
              </w:rPr>
              <w:t>Häufig</w:t>
            </w:r>
            <w:proofErr w:type="gramEnd"/>
            <w:r>
              <w:rPr>
                <w:rFonts w:cs="Arial"/>
                <w:b/>
                <w:bCs/>
                <w:sz w:val="20"/>
                <w:szCs w:val="20"/>
              </w:rPr>
              <w:t xml:space="preserve"> zitierte Werke</w:t>
            </w:r>
          </w:p>
        </w:tc>
      </w:tr>
      <w:tr w:rsidR="00F122E4" w:rsidRPr="00204BFA" w14:paraId="14537B27" w14:textId="77777777" w:rsidTr="00AF5792">
        <w:trPr>
          <w:trHeight w:val="285"/>
        </w:trPr>
        <w:tc>
          <w:tcPr>
            <w:tcW w:w="1140" w:type="dxa"/>
            <w:gridSpan w:val="2"/>
            <w:shd w:val="clear" w:color="auto" w:fill="FBE4D5" w:themeFill="accent2" w:themeFillTint="33"/>
            <w:hideMark/>
          </w:tcPr>
          <w:p w14:paraId="4B40BA10"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lastRenderedPageBreak/>
              <w:t> </w:t>
            </w:r>
          </w:p>
          <w:p w14:paraId="1C1C4D1D"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45379989" w14:textId="04C718A5"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0109E90D" w14:textId="7EDA9766" w:rsidR="00F122E4" w:rsidRPr="00204BFA" w:rsidRDefault="00F122E4" w:rsidP="00750F96">
            <w:pPr>
              <w:spacing w:line="240" w:lineRule="auto"/>
              <w:jc w:val="left"/>
              <w:rPr>
                <w:rFonts w:cs="Arial"/>
                <w:sz w:val="20"/>
                <w:szCs w:val="20"/>
              </w:rPr>
            </w:pPr>
            <w:commentRangeStart w:id="18"/>
            <w:r>
              <w:rPr>
                <w:rFonts w:cs="Arial"/>
                <w:bCs/>
                <w:sz w:val="20"/>
                <w:szCs w:val="20"/>
              </w:rPr>
              <w:t>Arendt</w:t>
            </w:r>
            <w:commentRangeEnd w:id="18"/>
            <w:r>
              <w:rPr>
                <w:rStyle w:val="Kommentarzeichen"/>
              </w:rPr>
              <w:commentReference w:id="18"/>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highlight w:val="yellow"/>
              </w:rPr>
              <w:t>Macht</w:t>
            </w:r>
            <w:r w:rsidRPr="00341398">
              <w:rPr>
                <w:rFonts w:cs="Arial"/>
                <w:bCs/>
                <w:i/>
                <w:iCs/>
                <w:sz w:val="20"/>
                <w:szCs w:val="20"/>
              </w:rPr>
              <w:t xml:space="preserve"> und </w:t>
            </w:r>
            <w:r w:rsidRPr="00245A05">
              <w:rPr>
                <w:rFonts w:cs="Arial"/>
                <w:bCs/>
                <w:i/>
                <w:iCs/>
                <w:sz w:val="20"/>
                <w:szCs w:val="20"/>
              </w:rPr>
              <w:t>Gewalt</w:t>
            </w:r>
            <w:r>
              <w:rPr>
                <w:rFonts w:cs="Arial"/>
                <w:bCs/>
                <w:sz w:val="20"/>
                <w:szCs w:val="20"/>
              </w:rPr>
              <w:t>, 36-58 (Kapitel II)</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9458" w:type="dxa"/>
            <w:hideMark/>
          </w:tcPr>
          <w:p w14:paraId="743E47C0" w14:textId="77777777" w:rsidR="00F122E4" w:rsidRPr="00204BFA" w:rsidRDefault="00F122E4" w:rsidP="00750F96">
            <w:pPr>
              <w:spacing w:line="240" w:lineRule="auto"/>
              <w:jc w:val="left"/>
              <w:rPr>
                <w:rFonts w:cs="Arial"/>
                <w:sz w:val="20"/>
                <w:szCs w:val="20"/>
              </w:rPr>
            </w:pPr>
          </w:p>
        </w:tc>
      </w:tr>
      <w:tr w:rsidR="00F122E4" w:rsidRPr="00204BFA" w14:paraId="437340C0" w14:textId="77777777" w:rsidTr="00AF5792">
        <w:trPr>
          <w:trHeight w:val="285"/>
        </w:trPr>
        <w:tc>
          <w:tcPr>
            <w:tcW w:w="1140" w:type="dxa"/>
            <w:gridSpan w:val="2"/>
            <w:shd w:val="clear" w:color="auto" w:fill="FBE4D5" w:themeFill="accent2" w:themeFillTint="33"/>
            <w:hideMark/>
          </w:tcPr>
          <w:p w14:paraId="61A8437C" w14:textId="0BDEEB92" w:rsidR="00F122E4" w:rsidRPr="00FA04F8" w:rsidRDefault="00F122E4" w:rsidP="00750F96">
            <w:pPr>
              <w:spacing w:line="240" w:lineRule="auto"/>
              <w:jc w:val="left"/>
              <w:rPr>
                <w:rFonts w:cs="Arial"/>
                <w:b/>
                <w:bCs/>
                <w:sz w:val="20"/>
                <w:szCs w:val="20"/>
              </w:rPr>
            </w:pPr>
          </w:p>
        </w:tc>
        <w:tc>
          <w:tcPr>
            <w:tcW w:w="3968" w:type="dxa"/>
            <w:gridSpan w:val="2"/>
            <w:hideMark/>
          </w:tcPr>
          <w:p w14:paraId="0F31CE5B" w14:textId="77777777" w:rsidR="00F122E4" w:rsidRPr="00204BFA" w:rsidRDefault="00F122E4" w:rsidP="00750F96">
            <w:pPr>
              <w:spacing w:line="240" w:lineRule="auto"/>
              <w:jc w:val="left"/>
              <w:rPr>
                <w:rFonts w:cs="Arial"/>
                <w:sz w:val="20"/>
                <w:szCs w:val="20"/>
              </w:rPr>
            </w:pPr>
          </w:p>
        </w:tc>
        <w:tc>
          <w:tcPr>
            <w:tcW w:w="9458" w:type="dxa"/>
            <w:hideMark/>
          </w:tcPr>
          <w:p w14:paraId="04C63887" w14:textId="77777777" w:rsidR="00F122E4" w:rsidRPr="00204BFA" w:rsidRDefault="00F122E4" w:rsidP="00750F96">
            <w:pPr>
              <w:spacing w:line="240" w:lineRule="auto"/>
              <w:jc w:val="left"/>
              <w:rPr>
                <w:rFonts w:cs="Arial"/>
                <w:sz w:val="20"/>
                <w:szCs w:val="20"/>
              </w:rPr>
            </w:pPr>
          </w:p>
        </w:tc>
      </w:tr>
      <w:tr w:rsidR="00F122E4" w:rsidRPr="00204BFA" w14:paraId="1F8F9CF2" w14:textId="77777777" w:rsidTr="00AF5792">
        <w:trPr>
          <w:trHeight w:val="285"/>
        </w:trPr>
        <w:tc>
          <w:tcPr>
            <w:tcW w:w="1140" w:type="dxa"/>
            <w:gridSpan w:val="2"/>
            <w:shd w:val="clear" w:color="auto" w:fill="FBE4D5" w:themeFill="accent2" w:themeFillTint="33"/>
            <w:hideMark/>
          </w:tcPr>
          <w:p w14:paraId="3787D7F2" w14:textId="20540398" w:rsidR="00F122E4" w:rsidRPr="00FA04F8" w:rsidRDefault="00F122E4" w:rsidP="00750F96">
            <w:pPr>
              <w:spacing w:line="240" w:lineRule="auto"/>
              <w:jc w:val="left"/>
              <w:rPr>
                <w:rFonts w:cs="Arial"/>
                <w:b/>
                <w:bCs/>
                <w:sz w:val="20"/>
                <w:szCs w:val="20"/>
              </w:rPr>
            </w:pPr>
          </w:p>
        </w:tc>
        <w:tc>
          <w:tcPr>
            <w:tcW w:w="3968" w:type="dxa"/>
            <w:gridSpan w:val="2"/>
            <w:hideMark/>
          </w:tcPr>
          <w:p w14:paraId="717442B7" w14:textId="77777777" w:rsidR="00F122E4" w:rsidRPr="00204BFA" w:rsidRDefault="00F122E4" w:rsidP="00750F96">
            <w:pPr>
              <w:spacing w:line="240" w:lineRule="auto"/>
              <w:jc w:val="left"/>
              <w:rPr>
                <w:rFonts w:cs="Arial"/>
                <w:sz w:val="20"/>
                <w:szCs w:val="20"/>
              </w:rPr>
            </w:pPr>
          </w:p>
        </w:tc>
        <w:tc>
          <w:tcPr>
            <w:tcW w:w="9458" w:type="dxa"/>
            <w:hideMark/>
          </w:tcPr>
          <w:p w14:paraId="14306496" w14:textId="77777777" w:rsidR="00F122E4" w:rsidRPr="00204BFA" w:rsidRDefault="00F122E4" w:rsidP="00750F96">
            <w:pPr>
              <w:spacing w:line="240" w:lineRule="auto"/>
              <w:jc w:val="left"/>
              <w:rPr>
                <w:rFonts w:cs="Arial"/>
                <w:sz w:val="20"/>
                <w:szCs w:val="20"/>
              </w:rPr>
            </w:pPr>
          </w:p>
        </w:tc>
      </w:tr>
      <w:tr w:rsidR="00F122E4" w:rsidRPr="00204BFA" w14:paraId="6EF70F01" w14:textId="77777777" w:rsidTr="00AF5792">
        <w:trPr>
          <w:trHeight w:val="285"/>
        </w:trPr>
        <w:tc>
          <w:tcPr>
            <w:tcW w:w="1140" w:type="dxa"/>
            <w:gridSpan w:val="2"/>
            <w:shd w:val="clear" w:color="auto" w:fill="FBE4D5" w:themeFill="accent2" w:themeFillTint="33"/>
            <w:hideMark/>
          </w:tcPr>
          <w:p w14:paraId="6384AA35" w14:textId="6A526361" w:rsidR="00F122E4" w:rsidRPr="00FA04F8" w:rsidRDefault="00F122E4" w:rsidP="00750F96">
            <w:pPr>
              <w:spacing w:line="240" w:lineRule="auto"/>
              <w:jc w:val="left"/>
              <w:rPr>
                <w:rFonts w:cs="Arial"/>
                <w:b/>
                <w:bCs/>
                <w:sz w:val="20"/>
                <w:szCs w:val="20"/>
              </w:rPr>
            </w:pPr>
          </w:p>
        </w:tc>
        <w:tc>
          <w:tcPr>
            <w:tcW w:w="3968" w:type="dxa"/>
            <w:gridSpan w:val="2"/>
            <w:hideMark/>
          </w:tcPr>
          <w:p w14:paraId="7382993A" w14:textId="77777777" w:rsidR="00F122E4" w:rsidRPr="00204BFA" w:rsidRDefault="00F122E4" w:rsidP="00750F96">
            <w:pPr>
              <w:spacing w:line="240" w:lineRule="auto"/>
              <w:jc w:val="left"/>
              <w:rPr>
                <w:rFonts w:cs="Arial"/>
                <w:sz w:val="20"/>
                <w:szCs w:val="20"/>
              </w:rPr>
            </w:pPr>
          </w:p>
        </w:tc>
        <w:tc>
          <w:tcPr>
            <w:tcW w:w="9458" w:type="dxa"/>
            <w:hideMark/>
          </w:tcPr>
          <w:p w14:paraId="743D4E70" w14:textId="77777777" w:rsidR="00F122E4" w:rsidRPr="00204BFA" w:rsidRDefault="00F122E4" w:rsidP="00750F96">
            <w:pPr>
              <w:spacing w:line="240" w:lineRule="auto"/>
              <w:jc w:val="left"/>
              <w:rPr>
                <w:rFonts w:cs="Arial"/>
                <w:sz w:val="20"/>
                <w:szCs w:val="20"/>
              </w:rPr>
            </w:pPr>
          </w:p>
        </w:tc>
      </w:tr>
      <w:tr w:rsidR="00750F96" w:rsidRPr="00204BFA" w14:paraId="4862A2B4" w14:textId="77777777" w:rsidTr="00CA27C1">
        <w:trPr>
          <w:trHeight w:val="285"/>
        </w:trPr>
        <w:tc>
          <w:tcPr>
            <w:tcW w:w="14566" w:type="dxa"/>
            <w:gridSpan w:val="5"/>
            <w:shd w:val="clear" w:color="auto" w:fill="F7CAAC" w:themeFill="accent2" w:themeFillTint="66"/>
            <w:hideMark/>
          </w:tcPr>
          <w:p w14:paraId="6A25D4D3" w14:textId="1C338D88"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F122E4" w:rsidRPr="00204BFA" w14:paraId="2BFFB1C1" w14:textId="77777777" w:rsidTr="00AF5792">
        <w:trPr>
          <w:trHeight w:val="285"/>
        </w:trPr>
        <w:tc>
          <w:tcPr>
            <w:tcW w:w="1140" w:type="dxa"/>
            <w:gridSpan w:val="2"/>
            <w:shd w:val="clear" w:color="auto" w:fill="FBE4D5" w:themeFill="accent2" w:themeFillTint="33"/>
            <w:hideMark/>
          </w:tcPr>
          <w:p w14:paraId="61FA5B53"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793279EC"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0B08BD7E" w14:textId="207C44DA"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695A460A" w14:textId="77777777" w:rsidR="00F122E4" w:rsidRPr="00204BFA" w:rsidRDefault="00F122E4" w:rsidP="00750F96">
            <w:pPr>
              <w:spacing w:line="240" w:lineRule="auto"/>
              <w:jc w:val="left"/>
              <w:rPr>
                <w:rFonts w:cs="Arial"/>
                <w:sz w:val="20"/>
                <w:szCs w:val="20"/>
              </w:rPr>
            </w:pPr>
          </w:p>
        </w:tc>
        <w:tc>
          <w:tcPr>
            <w:tcW w:w="9458" w:type="dxa"/>
            <w:hideMark/>
          </w:tcPr>
          <w:p w14:paraId="473DE179" w14:textId="77777777" w:rsidR="00F122E4" w:rsidRPr="00204BFA" w:rsidRDefault="00F122E4" w:rsidP="00750F96">
            <w:pPr>
              <w:spacing w:line="240" w:lineRule="auto"/>
              <w:jc w:val="left"/>
              <w:rPr>
                <w:rFonts w:cs="Arial"/>
                <w:sz w:val="20"/>
                <w:szCs w:val="20"/>
              </w:rPr>
            </w:pPr>
          </w:p>
        </w:tc>
      </w:tr>
      <w:tr w:rsidR="00F122E4" w:rsidRPr="00204BFA" w14:paraId="1FE52C90" w14:textId="77777777" w:rsidTr="00AF5792">
        <w:trPr>
          <w:trHeight w:val="285"/>
        </w:trPr>
        <w:tc>
          <w:tcPr>
            <w:tcW w:w="1140" w:type="dxa"/>
            <w:gridSpan w:val="2"/>
            <w:shd w:val="clear" w:color="auto" w:fill="FBE4D5" w:themeFill="accent2" w:themeFillTint="33"/>
            <w:hideMark/>
          </w:tcPr>
          <w:p w14:paraId="0B5307F1" w14:textId="35FD7477" w:rsidR="00F122E4" w:rsidRPr="00FA04F8" w:rsidRDefault="00F122E4" w:rsidP="00750F96">
            <w:pPr>
              <w:spacing w:line="240" w:lineRule="auto"/>
              <w:jc w:val="left"/>
              <w:rPr>
                <w:rFonts w:cs="Arial"/>
                <w:b/>
                <w:bCs/>
                <w:sz w:val="20"/>
                <w:szCs w:val="20"/>
              </w:rPr>
            </w:pPr>
          </w:p>
        </w:tc>
        <w:tc>
          <w:tcPr>
            <w:tcW w:w="3968" w:type="dxa"/>
            <w:gridSpan w:val="2"/>
            <w:hideMark/>
          </w:tcPr>
          <w:p w14:paraId="0B645F54" w14:textId="77777777" w:rsidR="00F122E4" w:rsidRPr="00204BFA" w:rsidRDefault="00F122E4" w:rsidP="00750F96">
            <w:pPr>
              <w:spacing w:line="240" w:lineRule="auto"/>
              <w:jc w:val="left"/>
              <w:rPr>
                <w:rFonts w:cs="Arial"/>
                <w:sz w:val="20"/>
                <w:szCs w:val="20"/>
              </w:rPr>
            </w:pPr>
          </w:p>
        </w:tc>
        <w:tc>
          <w:tcPr>
            <w:tcW w:w="9458" w:type="dxa"/>
            <w:hideMark/>
          </w:tcPr>
          <w:p w14:paraId="24A9C487" w14:textId="77777777" w:rsidR="00F122E4" w:rsidRPr="00204BFA" w:rsidRDefault="00F122E4" w:rsidP="00750F96">
            <w:pPr>
              <w:spacing w:line="240" w:lineRule="auto"/>
              <w:jc w:val="left"/>
              <w:rPr>
                <w:rFonts w:cs="Arial"/>
                <w:sz w:val="20"/>
                <w:szCs w:val="20"/>
              </w:rPr>
            </w:pPr>
          </w:p>
        </w:tc>
      </w:tr>
      <w:tr w:rsidR="00F122E4" w:rsidRPr="00204BFA" w14:paraId="5E99BBB9" w14:textId="77777777" w:rsidTr="00AF5792">
        <w:trPr>
          <w:trHeight w:val="285"/>
        </w:trPr>
        <w:tc>
          <w:tcPr>
            <w:tcW w:w="1140" w:type="dxa"/>
            <w:gridSpan w:val="2"/>
            <w:shd w:val="clear" w:color="auto" w:fill="FBE4D5" w:themeFill="accent2" w:themeFillTint="33"/>
            <w:hideMark/>
          </w:tcPr>
          <w:p w14:paraId="35EB48A9" w14:textId="71F19CB2" w:rsidR="00F122E4" w:rsidRPr="00FA04F8" w:rsidRDefault="00F122E4" w:rsidP="00750F96">
            <w:pPr>
              <w:spacing w:line="240" w:lineRule="auto"/>
              <w:jc w:val="left"/>
              <w:rPr>
                <w:rFonts w:cs="Arial"/>
                <w:b/>
                <w:bCs/>
                <w:sz w:val="20"/>
                <w:szCs w:val="20"/>
              </w:rPr>
            </w:pPr>
          </w:p>
        </w:tc>
        <w:tc>
          <w:tcPr>
            <w:tcW w:w="3968" w:type="dxa"/>
            <w:gridSpan w:val="2"/>
            <w:hideMark/>
          </w:tcPr>
          <w:p w14:paraId="1E4F45A7" w14:textId="77777777" w:rsidR="00F122E4" w:rsidRPr="00204BFA" w:rsidRDefault="00F122E4" w:rsidP="00750F96">
            <w:pPr>
              <w:spacing w:line="240" w:lineRule="auto"/>
              <w:jc w:val="left"/>
              <w:rPr>
                <w:rFonts w:cs="Arial"/>
                <w:sz w:val="20"/>
                <w:szCs w:val="20"/>
              </w:rPr>
            </w:pPr>
          </w:p>
        </w:tc>
        <w:tc>
          <w:tcPr>
            <w:tcW w:w="9458" w:type="dxa"/>
            <w:hideMark/>
          </w:tcPr>
          <w:p w14:paraId="622FCB5E" w14:textId="77777777" w:rsidR="00F122E4" w:rsidRPr="00204BFA" w:rsidRDefault="00F122E4" w:rsidP="00750F96">
            <w:pPr>
              <w:spacing w:line="240" w:lineRule="auto"/>
              <w:jc w:val="left"/>
              <w:rPr>
                <w:rFonts w:cs="Arial"/>
                <w:sz w:val="20"/>
                <w:szCs w:val="20"/>
              </w:rPr>
            </w:pPr>
          </w:p>
        </w:tc>
      </w:tr>
      <w:tr w:rsidR="00750F96" w:rsidRPr="00204BFA" w14:paraId="2E22FAFB" w14:textId="77777777" w:rsidTr="00CA27C1">
        <w:trPr>
          <w:trHeight w:val="285"/>
        </w:trPr>
        <w:tc>
          <w:tcPr>
            <w:tcW w:w="14566" w:type="dxa"/>
            <w:gridSpan w:val="5"/>
            <w:shd w:val="clear" w:color="auto" w:fill="F7CAAC" w:themeFill="accent2" w:themeFillTint="66"/>
            <w:hideMark/>
          </w:tcPr>
          <w:p w14:paraId="07179104" w14:textId="77EBD634"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F122E4" w:rsidRPr="00204BFA" w14:paraId="3EFCE32B" w14:textId="77777777" w:rsidTr="00AF5792">
        <w:trPr>
          <w:trHeight w:val="285"/>
        </w:trPr>
        <w:tc>
          <w:tcPr>
            <w:tcW w:w="1140" w:type="dxa"/>
            <w:gridSpan w:val="2"/>
            <w:shd w:val="clear" w:color="auto" w:fill="FBE4D5" w:themeFill="accent2" w:themeFillTint="33"/>
            <w:hideMark/>
          </w:tcPr>
          <w:p w14:paraId="0F032F53"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07FF1694" w14:textId="77777777" w:rsidR="00F122E4" w:rsidRPr="00282B62" w:rsidRDefault="00F122E4" w:rsidP="00282B62">
            <w:pPr>
              <w:spacing w:after="0" w:line="240" w:lineRule="auto"/>
              <w:jc w:val="left"/>
              <w:rPr>
                <w:rFonts w:cs="Arial"/>
                <w:i/>
                <w:iCs/>
                <w:sz w:val="20"/>
                <w:szCs w:val="20"/>
              </w:rPr>
            </w:pPr>
            <w:commentRangeStart w:id="19"/>
            <w:r>
              <w:rPr>
                <w:rFonts w:cs="Arial"/>
                <w:sz w:val="20"/>
                <w:szCs w:val="20"/>
              </w:rPr>
              <w:t>Dackweiler</w:t>
            </w:r>
            <w:commentRangeEnd w:id="19"/>
            <w:r>
              <w:rPr>
                <w:rStyle w:val="Kommentarzeichen"/>
              </w:rPr>
              <w:commentReference w:id="19"/>
            </w:r>
            <w:r>
              <w:rPr>
                <w:rFonts w:cs="Arial"/>
                <w:sz w:val="20"/>
                <w:szCs w:val="20"/>
              </w:rPr>
              <w:t xml:space="preserve">, Regina-Maria, und Reinhild Schäfer, Hrsg. 2002. </w:t>
            </w:r>
            <w:r w:rsidRPr="00282B62">
              <w:rPr>
                <w:rFonts w:cs="Arial"/>
                <w:i/>
                <w:iCs/>
                <w:sz w:val="20"/>
                <w:szCs w:val="20"/>
              </w:rPr>
              <w:t>Gewalt-Verhältnisse</w:t>
            </w:r>
          </w:p>
          <w:p w14:paraId="083B4937" w14:textId="187525DB" w:rsidR="00F122E4" w:rsidRPr="00282B62" w:rsidRDefault="00F122E4" w:rsidP="00282B62">
            <w:pPr>
              <w:spacing w:line="240" w:lineRule="auto"/>
              <w:jc w:val="left"/>
              <w:rPr>
                <w:rFonts w:cs="Arial"/>
                <w:sz w:val="20"/>
                <w:szCs w:val="20"/>
              </w:rPr>
            </w:pPr>
            <w:r w:rsidRPr="00282B62">
              <w:rPr>
                <w:rFonts w:cs="Arial"/>
                <w:i/>
                <w:iCs/>
                <w:sz w:val="20"/>
                <w:szCs w:val="20"/>
              </w:rPr>
              <w:t>Feministische Perspektiven auf Geschlecht und Gewalt</w:t>
            </w:r>
            <w:r>
              <w:rPr>
                <w:rFonts w:cs="Arial"/>
                <w:i/>
                <w:iCs/>
                <w:sz w:val="20"/>
                <w:szCs w:val="20"/>
              </w:rPr>
              <w:t xml:space="preserve">. </w:t>
            </w:r>
            <w:r>
              <w:rPr>
                <w:rFonts w:cs="Arial"/>
                <w:iCs/>
                <w:sz w:val="20"/>
                <w:szCs w:val="20"/>
              </w:rPr>
              <w:t xml:space="preserve">Reihe „Politik der Geschlechterverhältnisse“, Bd. 19. Frankfurt/New York: Campus. </w:t>
            </w:r>
          </w:p>
        </w:tc>
        <w:tc>
          <w:tcPr>
            <w:tcW w:w="9458" w:type="dxa"/>
            <w:hideMark/>
          </w:tcPr>
          <w:p w14:paraId="65747016" w14:textId="63725FE1" w:rsidR="00F122E4" w:rsidRPr="00204BFA" w:rsidRDefault="00F122E4" w:rsidP="00750F96">
            <w:pPr>
              <w:spacing w:line="240" w:lineRule="auto"/>
              <w:jc w:val="left"/>
              <w:rPr>
                <w:rFonts w:cs="Arial"/>
                <w:sz w:val="20"/>
                <w:szCs w:val="20"/>
              </w:rPr>
            </w:pPr>
            <w:r w:rsidRPr="00216FEE">
              <w:rPr>
                <w:rFonts w:cs="Arial"/>
                <w:sz w:val="20"/>
                <w:szCs w:val="20"/>
              </w:rPr>
              <w:t>Der Band versammelt grundlegende Aufsätze zum Thema Geschlecht und Gewalt, u. a. eine Forschungsbilanz von Carol Hagemann-White und einen Beitrag zu Männlichkeit und Gewalt von Michael Meuser sowie Aufsätze zu sexualisierter Gewalt, Militärpolitik und Gewalt, Strategien der Frauenbewegung gegen Gewalt an Frauen, Frauenmenschenrechtspolitik und zur in jüngster Zeit steigenden Gewaltbereitschaft von Mädchen, die auf Wandlungstendenzen im Geschlechterverhältnis hindeuten könnte. Beiträge u. a. von Karin Flaake, C. Hagemann-White, M. Meuser, Birgit Sauer.</w:t>
            </w:r>
          </w:p>
        </w:tc>
      </w:tr>
      <w:tr w:rsidR="00F122E4" w:rsidRPr="00204BFA" w14:paraId="59ED07E2" w14:textId="77777777" w:rsidTr="00AF5792">
        <w:trPr>
          <w:trHeight w:val="285"/>
        </w:trPr>
        <w:tc>
          <w:tcPr>
            <w:tcW w:w="1140" w:type="dxa"/>
            <w:gridSpan w:val="2"/>
            <w:shd w:val="clear" w:color="auto" w:fill="FBE4D5" w:themeFill="accent2" w:themeFillTint="33"/>
          </w:tcPr>
          <w:p w14:paraId="16B74B6D" w14:textId="77777777" w:rsidR="00F122E4" w:rsidRPr="00FA04F8" w:rsidRDefault="00F122E4" w:rsidP="00750F96">
            <w:pPr>
              <w:spacing w:line="240" w:lineRule="auto"/>
              <w:jc w:val="left"/>
              <w:rPr>
                <w:rFonts w:cs="Arial"/>
                <w:b/>
                <w:bCs/>
                <w:sz w:val="20"/>
                <w:szCs w:val="20"/>
              </w:rPr>
            </w:pPr>
          </w:p>
        </w:tc>
        <w:tc>
          <w:tcPr>
            <w:tcW w:w="3968" w:type="dxa"/>
            <w:gridSpan w:val="2"/>
          </w:tcPr>
          <w:p w14:paraId="10D54754" w14:textId="77777777" w:rsidR="00F122E4" w:rsidRPr="00204BFA" w:rsidRDefault="00F122E4" w:rsidP="00750F96">
            <w:pPr>
              <w:spacing w:line="240" w:lineRule="auto"/>
              <w:jc w:val="left"/>
              <w:rPr>
                <w:rFonts w:cs="Arial"/>
                <w:sz w:val="20"/>
                <w:szCs w:val="20"/>
              </w:rPr>
            </w:pPr>
          </w:p>
        </w:tc>
        <w:tc>
          <w:tcPr>
            <w:tcW w:w="9458" w:type="dxa"/>
          </w:tcPr>
          <w:p w14:paraId="611E13DE" w14:textId="77777777" w:rsidR="00F122E4" w:rsidRPr="00204BFA" w:rsidRDefault="00F122E4" w:rsidP="00750F96">
            <w:pPr>
              <w:spacing w:line="240" w:lineRule="auto"/>
              <w:jc w:val="left"/>
              <w:rPr>
                <w:rFonts w:cs="Arial"/>
                <w:sz w:val="20"/>
                <w:szCs w:val="20"/>
              </w:rPr>
            </w:pPr>
          </w:p>
        </w:tc>
      </w:tr>
      <w:tr w:rsidR="00F122E4" w:rsidRPr="00204BFA" w14:paraId="0B29A892" w14:textId="77777777" w:rsidTr="00AF5792">
        <w:trPr>
          <w:trHeight w:val="285"/>
        </w:trPr>
        <w:tc>
          <w:tcPr>
            <w:tcW w:w="1140" w:type="dxa"/>
            <w:gridSpan w:val="2"/>
            <w:shd w:val="clear" w:color="auto" w:fill="FBE4D5" w:themeFill="accent2" w:themeFillTint="33"/>
          </w:tcPr>
          <w:p w14:paraId="6248E06D" w14:textId="77777777" w:rsidR="00F122E4" w:rsidRPr="00FA04F8" w:rsidRDefault="00F122E4" w:rsidP="00750F96">
            <w:pPr>
              <w:spacing w:line="240" w:lineRule="auto"/>
              <w:jc w:val="left"/>
              <w:rPr>
                <w:rFonts w:cs="Arial"/>
                <w:b/>
                <w:bCs/>
                <w:sz w:val="20"/>
                <w:szCs w:val="20"/>
              </w:rPr>
            </w:pPr>
          </w:p>
        </w:tc>
        <w:tc>
          <w:tcPr>
            <w:tcW w:w="3968" w:type="dxa"/>
            <w:gridSpan w:val="2"/>
          </w:tcPr>
          <w:p w14:paraId="20D69CA0" w14:textId="77777777" w:rsidR="00F122E4" w:rsidRPr="00204BFA" w:rsidRDefault="00F122E4" w:rsidP="00750F96">
            <w:pPr>
              <w:spacing w:line="240" w:lineRule="auto"/>
              <w:jc w:val="left"/>
              <w:rPr>
                <w:rFonts w:cs="Arial"/>
                <w:sz w:val="20"/>
                <w:szCs w:val="20"/>
              </w:rPr>
            </w:pPr>
          </w:p>
        </w:tc>
        <w:tc>
          <w:tcPr>
            <w:tcW w:w="9458" w:type="dxa"/>
          </w:tcPr>
          <w:p w14:paraId="64437699" w14:textId="77777777" w:rsidR="00F122E4" w:rsidRPr="00204BFA" w:rsidRDefault="00F122E4" w:rsidP="00750F96">
            <w:pPr>
              <w:spacing w:line="240" w:lineRule="auto"/>
              <w:jc w:val="left"/>
              <w:rPr>
                <w:rFonts w:cs="Arial"/>
                <w:sz w:val="20"/>
                <w:szCs w:val="20"/>
              </w:rPr>
            </w:pPr>
          </w:p>
        </w:tc>
      </w:tr>
      <w:tr w:rsidR="00750F96" w:rsidRPr="00204BFA" w14:paraId="7FBD5445" w14:textId="77777777" w:rsidTr="0016139C">
        <w:trPr>
          <w:trHeight w:val="285"/>
        </w:trPr>
        <w:tc>
          <w:tcPr>
            <w:tcW w:w="14566" w:type="dxa"/>
            <w:gridSpan w:val="5"/>
            <w:shd w:val="clear" w:color="auto" w:fill="FFCCFF"/>
            <w:hideMark/>
          </w:tcPr>
          <w:p w14:paraId="1DCA94DB" w14:textId="48461D4C" w:rsidR="00750F96" w:rsidRPr="00204BFA" w:rsidRDefault="00750F96" w:rsidP="00750F96">
            <w:pPr>
              <w:spacing w:line="240" w:lineRule="auto"/>
              <w:jc w:val="left"/>
              <w:rPr>
                <w:rFonts w:cs="Arial"/>
                <w:sz w:val="20"/>
                <w:szCs w:val="20"/>
              </w:rPr>
            </w:pPr>
            <w:r>
              <w:rPr>
                <w:rFonts w:cs="Arial"/>
                <w:b/>
                <w:bCs/>
                <w:sz w:val="20"/>
                <w:szCs w:val="20"/>
              </w:rPr>
              <w:t xml:space="preserve">Autorität </w:t>
            </w:r>
          </w:p>
        </w:tc>
      </w:tr>
      <w:tr w:rsidR="00750F96" w:rsidRPr="00204BFA" w14:paraId="6E43FBF0" w14:textId="77777777" w:rsidTr="00CA27C1">
        <w:trPr>
          <w:trHeight w:val="285"/>
        </w:trPr>
        <w:tc>
          <w:tcPr>
            <w:tcW w:w="14566" w:type="dxa"/>
            <w:gridSpan w:val="5"/>
            <w:shd w:val="clear" w:color="auto" w:fill="C5E0B3" w:themeFill="accent6" w:themeFillTint="66"/>
          </w:tcPr>
          <w:p w14:paraId="74C615EC" w14:textId="6BC3254D" w:rsidR="00750F96" w:rsidRPr="00204BFA" w:rsidRDefault="00750F96" w:rsidP="00750F96">
            <w:pPr>
              <w:spacing w:line="240" w:lineRule="auto"/>
              <w:jc w:val="left"/>
              <w:rPr>
                <w:rFonts w:cs="Arial"/>
                <w:sz w:val="20"/>
                <w:szCs w:val="20"/>
              </w:rPr>
            </w:pPr>
            <w:r>
              <w:rPr>
                <w:rFonts w:cs="Arial"/>
                <w:b/>
                <w:bCs/>
                <w:sz w:val="20"/>
                <w:szCs w:val="20"/>
              </w:rPr>
              <w:t>Primärliteratur/Soziologische Klassiker/</w:t>
            </w:r>
            <w:proofErr w:type="gramStart"/>
            <w:r>
              <w:rPr>
                <w:rFonts w:cs="Arial"/>
                <w:b/>
                <w:bCs/>
                <w:sz w:val="20"/>
                <w:szCs w:val="20"/>
              </w:rPr>
              <w:t>Häufig</w:t>
            </w:r>
            <w:proofErr w:type="gramEnd"/>
            <w:r>
              <w:rPr>
                <w:rFonts w:cs="Arial"/>
                <w:b/>
                <w:bCs/>
                <w:sz w:val="20"/>
                <w:szCs w:val="20"/>
              </w:rPr>
              <w:t xml:space="preserve"> zitierte Werke</w:t>
            </w:r>
          </w:p>
        </w:tc>
      </w:tr>
      <w:tr w:rsidR="00E53FA6" w:rsidRPr="00204BFA" w14:paraId="4EF91EAD" w14:textId="77777777" w:rsidTr="00CA27C1">
        <w:trPr>
          <w:trHeight w:val="285"/>
        </w:trPr>
        <w:tc>
          <w:tcPr>
            <w:tcW w:w="1140" w:type="dxa"/>
            <w:gridSpan w:val="2"/>
            <w:shd w:val="clear" w:color="auto" w:fill="E2EFD9" w:themeFill="accent6" w:themeFillTint="33"/>
          </w:tcPr>
          <w:p w14:paraId="5299EC81" w14:textId="63B9D15A" w:rsidR="00E53FA6" w:rsidRDefault="00E53FA6" w:rsidP="00750F96">
            <w:pPr>
              <w:spacing w:line="240" w:lineRule="auto"/>
              <w:jc w:val="left"/>
              <w:rPr>
                <w:rFonts w:cs="Arial"/>
                <w:b/>
                <w:bCs/>
                <w:sz w:val="20"/>
                <w:szCs w:val="20"/>
              </w:rPr>
            </w:pPr>
          </w:p>
        </w:tc>
        <w:tc>
          <w:tcPr>
            <w:tcW w:w="3968" w:type="dxa"/>
            <w:gridSpan w:val="2"/>
          </w:tcPr>
          <w:p w14:paraId="761301C7" w14:textId="77777777" w:rsidR="00E53FA6" w:rsidRPr="00204BFA" w:rsidRDefault="00E53FA6" w:rsidP="00750F96">
            <w:pPr>
              <w:spacing w:line="240" w:lineRule="auto"/>
              <w:jc w:val="left"/>
              <w:rPr>
                <w:rFonts w:cs="Arial"/>
                <w:sz w:val="20"/>
                <w:szCs w:val="20"/>
              </w:rPr>
            </w:pPr>
          </w:p>
        </w:tc>
        <w:tc>
          <w:tcPr>
            <w:tcW w:w="9458" w:type="dxa"/>
          </w:tcPr>
          <w:p w14:paraId="5238253B" w14:textId="77777777" w:rsidR="00E53FA6" w:rsidRPr="00204BFA" w:rsidRDefault="00E53FA6" w:rsidP="00750F96">
            <w:pPr>
              <w:spacing w:line="240" w:lineRule="auto"/>
              <w:jc w:val="left"/>
              <w:rPr>
                <w:rFonts w:cs="Arial"/>
                <w:sz w:val="20"/>
                <w:szCs w:val="20"/>
              </w:rPr>
            </w:pPr>
          </w:p>
        </w:tc>
      </w:tr>
      <w:tr w:rsidR="00E53FA6" w:rsidRPr="00204BFA" w14:paraId="23E15C19" w14:textId="77777777" w:rsidTr="00CA27C1">
        <w:trPr>
          <w:trHeight w:val="285"/>
        </w:trPr>
        <w:tc>
          <w:tcPr>
            <w:tcW w:w="1140" w:type="dxa"/>
            <w:gridSpan w:val="2"/>
            <w:shd w:val="clear" w:color="auto" w:fill="E2EFD9" w:themeFill="accent6" w:themeFillTint="33"/>
          </w:tcPr>
          <w:p w14:paraId="6D938C5F" w14:textId="14A3D38F" w:rsidR="00E53FA6" w:rsidRPr="00FA04F8" w:rsidRDefault="00E53FA6" w:rsidP="00750F96">
            <w:pPr>
              <w:spacing w:line="240" w:lineRule="auto"/>
              <w:jc w:val="left"/>
              <w:rPr>
                <w:rFonts w:cs="Arial"/>
                <w:b/>
                <w:bCs/>
                <w:sz w:val="20"/>
                <w:szCs w:val="20"/>
              </w:rPr>
            </w:pPr>
          </w:p>
        </w:tc>
        <w:tc>
          <w:tcPr>
            <w:tcW w:w="3968" w:type="dxa"/>
            <w:gridSpan w:val="2"/>
          </w:tcPr>
          <w:p w14:paraId="507D198A" w14:textId="77777777" w:rsidR="00E53FA6" w:rsidRPr="00204BFA" w:rsidRDefault="00E53FA6" w:rsidP="00750F96">
            <w:pPr>
              <w:spacing w:line="240" w:lineRule="auto"/>
              <w:jc w:val="left"/>
              <w:rPr>
                <w:rFonts w:cs="Arial"/>
                <w:sz w:val="20"/>
                <w:szCs w:val="20"/>
              </w:rPr>
            </w:pPr>
          </w:p>
        </w:tc>
        <w:tc>
          <w:tcPr>
            <w:tcW w:w="9458" w:type="dxa"/>
          </w:tcPr>
          <w:p w14:paraId="6A4994E1" w14:textId="77777777" w:rsidR="00E53FA6" w:rsidRPr="00204BFA" w:rsidRDefault="00E53FA6" w:rsidP="00750F96">
            <w:pPr>
              <w:spacing w:line="240" w:lineRule="auto"/>
              <w:jc w:val="left"/>
              <w:rPr>
                <w:rFonts w:cs="Arial"/>
                <w:sz w:val="20"/>
                <w:szCs w:val="20"/>
              </w:rPr>
            </w:pPr>
          </w:p>
        </w:tc>
      </w:tr>
      <w:tr w:rsidR="00E53FA6" w:rsidRPr="00204BFA" w14:paraId="12FC8EFE" w14:textId="77777777" w:rsidTr="00CA27C1">
        <w:trPr>
          <w:trHeight w:val="285"/>
        </w:trPr>
        <w:tc>
          <w:tcPr>
            <w:tcW w:w="1140" w:type="dxa"/>
            <w:gridSpan w:val="2"/>
            <w:shd w:val="clear" w:color="auto" w:fill="E2EFD9" w:themeFill="accent6" w:themeFillTint="33"/>
          </w:tcPr>
          <w:p w14:paraId="69299BE1" w14:textId="22E182E0" w:rsidR="00E53FA6" w:rsidRPr="00FA04F8" w:rsidRDefault="00E53FA6" w:rsidP="00750F96">
            <w:pPr>
              <w:spacing w:line="240" w:lineRule="auto"/>
              <w:jc w:val="left"/>
              <w:rPr>
                <w:rFonts w:cs="Arial"/>
                <w:b/>
                <w:bCs/>
                <w:sz w:val="20"/>
                <w:szCs w:val="20"/>
              </w:rPr>
            </w:pPr>
          </w:p>
        </w:tc>
        <w:tc>
          <w:tcPr>
            <w:tcW w:w="3968" w:type="dxa"/>
            <w:gridSpan w:val="2"/>
          </w:tcPr>
          <w:p w14:paraId="7C4DF122" w14:textId="77777777" w:rsidR="00E53FA6" w:rsidRPr="00204BFA" w:rsidRDefault="00E53FA6" w:rsidP="00750F96">
            <w:pPr>
              <w:spacing w:line="240" w:lineRule="auto"/>
              <w:jc w:val="left"/>
              <w:rPr>
                <w:rFonts w:cs="Arial"/>
                <w:sz w:val="20"/>
                <w:szCs w:val="20"/>
              </w:rPr>
            </w:pPr>
          </w:p>
        </w:tc>
        <w:tc>
          <w:tcPr>
            <w:tcW w:w="9458" w:type="dxa"/>
          </w:tcPr>
          <w:p w14:paraId="5528A2DB" w14:textId="77777777" w:rsidR="00E53FA6" w:rsidRPr="00204BFA" w:rsidRDefault="00E53FA6" w:rsidP="00750F96">
            <w:pPr>
              <w:spacing w:line="240" w:lineRule="auto"/>
              <w:jc w:val="left"/>
              <w:rPr>
                <w:rFonts w:cs="Arial"/>
                <w:sz w:val="20"/>
                <w:szCs w:val="20"/>
              </w:rPr>
            </w:pPr>
          </w:p>
        </w:tc>
      </w:tr>
      <w:tr w:rsidR="00E53FA6" w:rsidRPr="00204BFA" w14:paraId="0EFE4C7F" w14:textId="77777777" w:rsidTr="00CA27C1">
        <w:trPr>
          <w:trHeight w:val="285"/>
        </w:trPr>
        <w:tc>
          <w:tcPr>
            <w:tcW w:w="1140" w:type="dxa"/>
            <w:gridSpan w:val="2"/>
            <w:shd w:val="clear" w:color="auto" w:fill="E2EFD9" w:themeFill="accent6" w:themeFillTint="33"/>
          </w:tcPr>
          <w:p w14:paraId="15D63A5A" w14:textId="49AF179B" w:rsidR="00E53FA6" w:rsidRPr="00FA04F8" w:rsidRDefault="00E53FA6" w:rsidP="00750F96">
            <w:pPr>
              <w:spacing w:line="240" w:lineRule="auto"/>
              <w:jc w:val="left"/>
              <w:rPr>
                <w:rFonts w:cs="Arial"/>
                <w:b/>
                <w:bCs/>
                <w:sz w:val="20"/>
                <w:szCs w:val="20"/>
              </w:rPr>
            </w:pPr>
          </w:p>
        </w:tc>
        <w:tc>
          <w:tcPr>
            <w:tcW w:w="3968" w:type="dxa"/>
            <w:gridSpan w:val="2"/>
          </w:tcPr>
          <w:p w14:paraId="56895341" w14:textId="77777777" w:rsidR="00E53FA6" w:rsidRPr="00204BFA" w:rsidRDefault="00E53FA6" w:rsidP="00750F96">
            <w:pPr>
              <w:spacing w:line="240" w:lineRule="auto"/>
              <w:jc w:val="left"/>
              <w:rPr>
                <w:rFonts w:cs="Arial"/>
                <w:sz w:val="20"/>
                <w:szCs w:val="20"/>
              </w:rPr>
            </w:pPr>
          </w:p>
        </w:tc>
        <w:tc>
          <w:tcPr>
            <w:tcW w:w="9458" w:type="dxa"/>
          </w:tcPr>
          <w:p w14:paraId="6D4BC62B" w14:textId="77777777" w:rsidR="00E53FA6" w:rsidRPr="00204BFA" w:rsidRDefault="00E53FA6" w:rsidP="00750F96">
            <w:pPr>
              <w:spacing w:line="240" w:lineRule="auto"/>
              <w:jc w:val="left"/>
              <w:rPr>
                <w:rFonts w:cs="Arial"/>
                <w:sz w:val="20"/>
                <w:szCs w:val="20"/>
              </w:rPr>
            </w:pPr>
          </w:p>
        </w:tc>
      </w:tr>
      <w:tr w:rsidR="00750F96" w:rsidRPr="00204BFA" w14:paraId="17AA2549" w14:textId="77777777" w:rsidTr="00CA27C1">
        <w:trPr>
          <w:trHeight w:val="285"/>
        </w:trPr>
        <w:tc>
          <w:tcPr>
            <w:tcW w:w="14566" w:type="dxa"/>
            <w:gridSpan w:val="5"/>
            <w:shd w:val="clear" w:color="auto" w:fill="C5E0B3" w:themeFill="accent6" w:themeFillTint="66"/>
          </w:tcPr>
          <w:p w14:paraId="1E28A0B6" w14:textId="3DB94DFA"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E53FA6" w:rsidRPr="00204BFA" w14:paraId="44776863" w14:textId="77777777" w:rsidTr="00CA27C1">
        <w:trPr>
          <w:trHeight w:val="285"/>
        </w:trPr>
        <w:tc>
          <w:tcPr>
            <w:tcW w:w="1140" w:type="dxa"/>
            <w:gridSpan w:val="2"/>
            <w:shd w:val="clear" w:color="auto" w:fill="E2EFD9" w:themeFill="accent6" w:themeFillTint="33"/>
          </w:tcPr>
          <w:p w14:paraId="3A887605" w14:textId="55B4A54E" w:rsidR="00E53FA6" w:rsidRDefault="00E53FA6" w:rsidP="00750F96">
            <w:pPr>
              <w:spacing w:line="240" w:lineRule="auto"/>
              <w:jc w:val="left"/>
              <w:rPr>
                <w:rFonts w:cs="Arial"/>
                <w:b/>
                <w:bCs/>
                <w:sz w:val="20"/>
                <w:szCs w:val="20"/>
              </w:rPr>
            </w:pPr>
          </w:p>
        </w:tc>
        <w:tc>
          <w:tcPr>
            <w:tcW w:w="3968" w:type="dxa"/>
            <w:gridSpan w:val="2"/>
          </w:tcPr>
          <w:p w14:paraId="20247064" w14:textId="77777777" w:rsidR="00E53FA6" w:rsidRPr="00204BFA" w:rsidRDefault="00E53FA6" w:rsidP="00750F96">
            <w:pPr>
              <w:spacing w:line="240" w:lineRule="auto"/>
              <w:jc w:val="left"/>
              <w:rPr>
                <w:rFonts w:cs="Arial"/>
                <w:sz w:val="20"/>
                <w:szCs w:val="20"/>
              </w:rPr>
            </w:pPr>
          </w:p>
        </w:tc>
        <w:tc>
          <w:tcPr>
            <w:tcW w:w="9458" w:type="dxa"/>
          </w:tcPr>
          <w:p w14:paraId="30F86640" w14:textId="77777777" w:rsidR="00E53FA6" w:rsidRPr="00204BFA" w:rsidRDefault="00E53FA6" w:rsidP="00750F96">
            <w:pPr>
              <w:spacing w:line="240" w:lineRule="auto"/>
              <w:jc w:val="left"/>
              <w:rPr>
                <w:rFonts w:cs="Arial"/>
                <w:sz w:val="20"/>
                <w:szCs w:val="20"/>
              </w:rPr>
            </w:pPr>
          </w:p>
        </w:tc>
      </w:tr>
      <w:tr w:rsidR="00E53FA6" w:rsidRPr="00204BFA" w14:paraId="72781D25" w14:textId="77777777" w:rsidTr="00CA27C1">
        <w:trPr>
          <w:trHeight w:val="285"/>
        </w:trPr>
        <w:tc>
          <w:tcPr>
            <w:tcW w:w="1140" w:type="dxa"/>
            <w:gridSpan w:val="2"/>
            <w:shd w:val="clear" w:color="auto" w:fill="E2EFD9" w:themeFill="accent6" w:themeFillTint="33"/>
          </w:tcPr>
          <w:p w14:paraId="08EA50A6" w14:textId="5F888E7A" w:rsidR="00E53FA6" w:rsidRPr="00FA04F8" w:rsidRDefault="00E53FA6" w:rsidP="00750F96">
            <w:pPr>
              <w:spacing w:line="240" w:lineRule="auto"/>
              <w:jc w:val="left"/>
              <w:rPr>
                <w:rFonts w:cs="Arial"/>
                <w:b/>
                <w:bCs/>
                <w:sz w:val="20"/>
                <w:szCs w:val="20"/>
              </w:rPr>
            </w:pPr>
          </w:p>
        </w:tc>
        <w:tc>
          <w:tcPr>
            <w:tcW w:w="3968" w:type="dxa"/>
            <w:gridSpan w:val="2"/>
          </w:tcPr>
          <w:p w14:paraId="2024B2B2" w14:textId="77777777" w:rsidR="00E53FA6" w:rsidRPr="00204BFA" w:rsidRDefault="00E53FA6" w:rsidP="00750F96">
            <w:pPr>
              <w:spacing w:line="240" w:lineRule="auto"/>
              <w:jc w:val="left"/>
              <w:rPr>
                <w:rFonts w:cs="Arial"/>
                <w:sz w:val="20"/>
                <w:szCs w:val="20"/>
              </w:rPr>
            </w:pPr>
          </w:p>
        </w:tc>
        <w:tc>
          <w:tcPr>
            <w:tcW w:w="9458" w:type="dxa"/>
          </w:tcPr>
          <w:p w14:paraId="3AE80798" w14:textId="77777777" w:rsidR="00E53FA6" w:rsidRPr="00204BFA" w:rsidRDefault="00E53FA6" w:rsidP="00750F96">
            <w:pPr>
              <w:spacing w:line="240" w:lineRule="auto"/>
              <w:jc w:val="left"/>
              <w:rPr>
                <w:rFonts w:cs="Arial"/>
                <w:sz w:val="20"/>
                <w:szCs w:val="20"/>
              </w:rPr>
            </w:pPr>
          </w:p>
        </w:tc>
      </w:tr>
      <w:tr w:rsidR="00E53FA6" w:rsidRPr="00204BFA" w14:paraId="7DE0403E" w14:textId="77777777" w:rsidTr="00CA27C1">
        <w:trPr>
          <w:trHeight w:val="285"/>
        </w:trPr>
        <w:tc>
          <w:tcPr>
            <w:tcW w:w="1140" w:type="dxa"/>
            <w:gridSpan w:val="2"/>
            <w:shd w:val="clear" w:color="auto" w:fill="E2EFD9" w:themeFill="accent6" w:themeFillTint="33"/>
          </w:tcPr>
          <w:p w14:paraId="13F810B7" w14:textId="6FB2BEFA" w:rsidR="00E53FA6" w:rsidRPr="00FA04F8" w:rsidRDefault="00E53FA6" w:rsidP="00750F96">
            <w:pPr>
              <w:spacing w:line="240" w:lineRule="auto"/>
              <w:jc w:val="left"/>
              <w:rPr>
                <w:rFonts w:cs="Arial"/>
                <w:b/>
                <w:bCs/>
                <w:sz w:val="20"/>
                <w:szCs w:val="20"/>
              </w:rPr>
            </w:pPr>
          </w:p>
        </w:tc>
        <w:tc>
          <w:tcPr>
            <w:tcW w:w="3968" w:type="dxa"/>
            <w:gridSpan w:val="2"/>
          </w:tcPr>
          <w:p w14:paraId="2EA5FE58" w14:textId="77777777" w:rsidR="00E53FA6" w:rsidRPr="00204BFA" w:rsidRDefault="00E53FA6" w:rsidP="00750F96">
            <w:pPr>
              <w:spacing w:line="240" w:lineRule="auto"/>
              <w:jc w:val="left"/>
              <w:rPr>
                <w:rFonts w:cs="Arial"/>
                <w:sz w:val="20"/>
                <w:szCs w:val="20"/>
              </w:rPr>
            </w:pPr>
          </w:p>
        </w:tc>
        <w:tc>
          <w:tcPr>
            <w:tcW w:w="9458" w:type="dxa"/>
          </w:tcPr>
          <w:p w14:paraId="311B42D9" w14:textId="77777777" w:rsidR="00E53FA6" w:rsidRPr="00204BFA" w:rsidRDefault="00E53FA6" w:rsidP="00750F96">
            <w:pPr>
              <w:spacing w:line="240" w:lineRule="auto"/>
              <w:jc w:val="left"/>
              <w:rPr>
                <w:rFonts w:cs="Arial"/>
                <w:sz w:val="20"/>
                <w:szCs w:val="20"/>
              </w:rPr>
            </w:pPr>
          </w:p>
        </w:tc>
      </w:tr>
      <w:tr w:rsidR="00750F96" w:rsidRPr="00204BFA" w14:paraId="04730682" w14:textId="77777777" w:rsidTr="00CA27C1">
        <w:trPr>
          <w:trHeight w:val="285"/>
        </w:trPr>
        <w:tc>
          <w:tcPr>
            <w:tcW w:w="14566" w:type="dxa"/>
            <w:gridSpan w:val="5"/>
            <w:shd w:val="clear" w:color="auto" w:fill="C5E0B3" w:themeFill="accent6" w:themeFillTint="66"/>
          </w:tcPr>
          <w:p w14:paraId="34BE5296" w14:textId="64119F1C"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E53FA6" w:rsidRPr="00204BFA" w14:paraId="6F301C2B" w14:textId="77777777" w:rsidTr="00CA27C1">
        <w:trPr>
          <w:trHeight w:val="285"/>
        </w:trPr>
        <w:tc>
          <w:tcPr>
            <w:tcW w:w="1140" w:type="dxa"/>
            <w:gridSpan w:val="2"/>
            <w:shd w:val="clear" w:color="auto" w:fill="E2EFD9" w:themeFill="accent6" w:themeFillTint="33"/>
          </w:tcPr>
          <w:p w14:paraId="49F45973" w14:textId="70C9A874" w:rsidR="00E53FA6" w:rsidRDefault="00E53FA6" w:rsidP="00750F96">
            <w:pPr>
              <w:spacing w:line="240" w:lineRule="auto"/>
              <w:jc w:val="left"/>
              <w:rPr>
                <w:rFonts w:cs="Arial"/>
                <w:b/>
                <w:bCs/>
                <w:sz w:val="20"/>
                <w:szCs w:val="20"/>
              </w:rPr>
            </w:pPr>
          </w:p>
        </w:tc>
        <w:tc>
          <w:tcPr>
            <w:tcW w:w="3968" w:type="dxa"/>
            <w:gridSpan w:val="2"/>
          </w:tcPr>
          <w:p w14:paraId="3E185D6E" w14:textId="77777777" w:rsidR="00E53FA6" w:rsidRPr="00204BFA" w:rsidRDefault="00E53FA6" w:rsidP="00750F96">
            <w:pPr>
              <w:spacing w:line="240" w:lineRule="auto"/>
              <w:jc w:val="left"/>
              <w:rPr>
                <w:rFonts w:cs="Arial"/>
                <w:sz w:val="20"/>
                <w:szCs w:val="20"/>
              </w:rPr>
            </w:pPr>
          </w:p>
        </w:tc>
        <w:tc>
          <w:tcPr>
            <w:tcW w:w="9458" w:type="dxa"/>
          </w:tcPr>
          <w:p w14:paraId="47C517D5" w14:textId="77777777" w:rsidR="00E53FA6" w:rsidRPr="00204BFA" w:rsidRDefault="00E53FA6" w:rsidP="00750F96">
            <w:pPr>
              <w:spacing w:line="240" w:lineRule="auto"/>
              <w:jc w:val="left"/>
              <w:rPr>
                <w:rFonts w:cs="Arial"/>
                <w:sz w:val="20"/>
                <w:szCs w:val="20"/>
              </w:rPr>
            </w:pPr>
          </w:p>
        </w:tc>
      </w:tr>
      <w:tr w:rsidR="00E53FA6" w:rsidRPr="00204BFA" w14:paraId="4E60AE6E" w14:textId="77777777" w:rsidTr="00CA27C1">
        <w:trPr>
          <w:trHeight w:val="285"/>
        </w:trPr>
        <w:tc>
          <w:tcPr>
            <w:tcW w:w="1140" w:type="dxa"/>
            <w:gridSpan w:val="2"/>
            <w:shd w:val="clear" w:color="auto" w:fill="E2EFD9" w:themeFill="accent6" w:themeFillTint="33"/>
          </w:tcPr>
          <w:p w14:paraId="7D10CBE6" w14:textId="3B968EAC" w:rsidR="00E53FA6" w:rsidRPr="00FA04F8" w:rsidRDefault="00E53FA6" w:rsidP="00750F96">
            <w:pPr>
              <w:spacing w:line="240" w:lineRule="auto"/>
              <w:jc w:val="left"/>
              <w:rPr>
                <w:rFonts w:cs="Arial"/>
                <w:b/>
                <w:bCs/>
                <w:sz w:val="20"/>
                <w:szCs w:val="20"/>
              </w:rPr>
            </w:pPr>
          </w:p>
        </w:tc>
        <w:tc>
          <w:tcPr>
            <w:tcW w:w="3968" w:type="dxa"/>
            <w:gridSpan w:val="2"/>
          </w:tcPr>
          <w:p w14:paraId="086B2561" w14:textId="77777777" w:rsidR="00E53FA6" w:rsidRPr="00204BFA" w:rsidRDefault="00E53FA6" w:rsidP="00750F96">
            <w:pPr>
              <w:spacing w:line="240" w:lineRule="auto"/>
              <w:jc w:val="left"/>
              <w:rPr>
                <w:rFonts w:cs="Arial"/>
                <w:sz w:val="20"/>
                <w:szCs w:val="20"/>
              </w:rPr>
            </w:pPr>
          </w:p>
        </w:tc>
        <w:tc>
          <w:tcPr>
            <w:tcW w:w="9458" w:type="dxa"/>
          </w:tcPr>
          <w:p w14:paraId="1185A03B" w14:textId="77777777" w:rsidR="00E53FA6" w:rsidRPr="00204BFA" w:rsidRDefault="00E53FA6" w:rsidP="00750F96">
            <w:pPr>
              <w:spacing w:line="240" w:lineRule="auto"/>
              <w:jc w:val="left"/>
              <w:rPr>
                <w:rFonts w:cs="Arial"/>
                <w:sz w:val="20"/>
                <w:szCs w:val="20"/>
              </w:rPr>
            </w:pPr>
          </w:p>
        </w:tc>
      </w:tr>
      <w:tr w:rsidR="00E53FA6" w:rsidRPr="00204BFA" w14:paraId="718FF308" w14:textId="77777777" w:rsidTr="00CA27C1">
        <w:trPr>
          <w:trHeight w:val="285"/>
        </w:trPr>
        <w:tc>
          <w:tcPr>
            <w:tcW w:w="1140" w:type="dxa"/>
            <w:gridSpan w:val="2"/>
            <w:shd w:val="clear" w:color="auto" w:fill="E2EFD9" w:themeFill="accent6" w:themeFillTint="33"/>
          </w:tcPr>
          <w:p w14:paraId="289FD936" w14:textId="77777777" w:rsidR="00E53FA6" w:rsidRPr="00FA04F8" w:rsidRDefault="00E53FA6" w:rsidP="00750F96">
            <w:pPr>
              <w:spacing w:line="240" w:lineRule="auto"/>
              <w:jc w:val="left"/>
              <w:rPr>
                <w:rFonts w:cs="Arial"/>
                <w:b/>
                <w:bCs/>
                <w:sz w:val="20"/>
                <w:szCs w:val="20"/>
              </w:rPr>
            </w:pPr>
          </w:p>
        </w:tc>
        <w:tc>
          <w:tcPr>
            <w:tcW w:w="3968" w:type="dxa"/>
            <w:gridSpan w:val="2"/>
          </w:tcPr>
          <w:p w14:paraId="175CA8CA" w14:textId="77777777" w:rsidR="00E53FA6" w:rsidRPr="00204BFA" w:rsidRDefault="00E53FA6" w:rsidP="00750F96">
            <w:pPr>
              <w:spacing w:line="240" w:lineRule="auto"/>
              <w:jc w:val="left"/>
              <w:rPr>
                <w:rFonts w:cs="Arial"/>
                <w:sz w:val="20"/>
                <w:szCs w:val="20"/>
              </w:rPr>
            </w:pPr>
          </w:p>
        </w:tc>
        <w:tc>
          <w:tcPr>
            <w:tcW w:w="9458" w:type="dxa"/>
          </w:tcPr>
          <w:p w14:paraId="58C3FB63" w14:textId="77777777" w:rsidR="00E53FA6" w:rsidRPr="00204BFA" w:rsidRDefault="00E53FA6" w:rsidP="00750F96">
            <w:pPr>
              <w:spacing w:line="240" w:lineRule="auto"/>
              <w:jc w:val="left"/>
              <w:rPr>
                <w:rFonts w:cs="Arial"/>
                <w:sz w:val="20"/>
                <w:szCs w:val="20"/>
              </w:rPr>
            </w:pPr>
          </w:p>
        </w:tc>
      </w:tr>
      <w:tr w:rsidR="00E53FA6" w:rsidRPr="00204BFA" w14:paraId="2007678B" w14:textId="77777777" w:rsidTr="00CA27C1">
        <w:trPr>
          <w:trHeight w:val="285"/>
        </w:trPr>
        <w:tc>
          <w:tcPr>
            <w:tcW w:w="1140" w:type="dxa"/>
            <w:gridSpan w:val="2"/>
            <w:shd w:val="clear" w:color="auto" w:fill="E2EFD9" w:themeFill="accent6" w:themeFillTint="33"/>
          </w:tcPr>
          <w:p w14:paraId="47D13C82" w14:textId="77777777" w:rsidR="00E53FA6" w:rsidRPr="00FA04F8" w:rsidRDefault="00E53FA6" w:rsidP="00750F96">
            <w:pPr>
              <w:spacing w:line="240" w:lineRule="auto"/>
              <w:jc w:val="left"/>
              <w:rPr>
                <w:rFonts w:cs="Arial"/>
                <w:b/>
                <w:bCs/>
                <w:sz w:val="20"/>
                <w:szCs w:val="20"/>
              </w:rPr>
            </w:pPr>
          </w:p>
        </w:tc>
        <w:tc>
          <w:tcPr>
            <w:tcW w:w="3968" w:type="dxa"/>
            <w:gridSpan w:val="2"/>
          </w:tcPr>
          <w:p w14:paraId="410B1274" w14:textId="77777777" w:rsidR="00E53FA6" w:rsidRPr="00204BFA" w:rsidRDefault="00E53FA6" w:rsidP="00750F96">
            <w:pPr>
              <w:spacing w:line="240" w:lineRule="auto"/>
              <w:jc w:val="left"/>
              <w:rPr>
                <w:rFonts w:cs="Arial"/>
                <w:sz w:val="20"/>
                <w:szCs w:val="20"/>
              </w:rPr>
            </w:pPr>
          </w:p>
        </w:tc>
        <w:tc>
          <w:tcPr>
            <w:tcW w:w="9458" w:type="dxa"/>
          </w:tcPr>
          <w:p w14:paraId="60CFD411" w14:textId="77777777" w:rsidR="00E53FA6" w:rsidRPr="00204BFA" w:rsidRDefault="00E53FA6" w:rsidP="00750F96">
            <w:pPr>
              <w:spacing w:line="240" w:lineRule="auto"/>
              <w:jc w:val="left"/>
              <w:rPr>
                <w:rFonts w:cs="Arial"/>
                <w:sz w:val="20"/>
                <w:szCs w:val="20"/>
              </w:rPr>
            </w:pPr>
          </w:p>
        </w:tc>
      </w:tr>
    </w:tbl>
    <w:p w14:paraId="4AA07D8D" w14:textId="77777777" w:rsidR="004E253A" w:rsidRDefault="004E253A" w:rsidP="00846792">
      <w:pPr>
        <w:spacing w:line="240" w:lineRule="auto"/>
        <w:jc w:val="left"/>
        <w:rPr>
          <w:rFonts w:cs="Arial"/>
          <w:sz w:val="20"/>
          <w:szCs w:val="20"/>
        </w:rPr>
      </w:pPr>
    </w:p>
    <w:p w14:paraId="7967F383" w14:textId="77777777" w:rsidR="00B847FF" w:rsidRDefault="00B847FF" w:rsidP="00846792">
      <w:pPr>
        <w:spacing w:line="240" w:lineRule="auto"/>
        <w:jc w:val="left"/>
        <w:rPr>
          <w:rFonts w:cs="Arial"/>
          <w:sz w:val="20"/>
          <w:szCs w:val="20"/>
        </w:rPr>
      </w:pPr>
    </w:p>
    <w:p w14:paraId="2C2A02E8" w14:textId="2AA81A87" w:rsidR="00B847FF" w:rsidRPr="00421FF9" w:rsidRDefault="00DD067E" w:rsidP="00846792">
      <w:pPr>
        <w:spacing w:line="240" w:lineRule="auto"/>
        <w:jc w:val="left"/>
        <w:rPr>
          <w:rFonts w:cs="Arial"/>
          <w:sz w:val="20"/>
          <w:szCs w:val="20"/>
          <w:lang w:val="en-US"/>
        </w:rPr>
      </w:pPr>
      <w:proofErr w:type="spellStart"/>
      <w:r w:rsidRPr="00DD067E">
        <w:rPr>
          <w:rFonts w:cs="Arial"/>
          <w:sz w:val="20"/>
          <w:szCs w:val="20"/>
          <w:highlight w:val="yellow"/>
          <w:lang w:val="en-US"/>
        </w:rPr>
        <w:t>Nachschauen</w:t>
      </w:r>
      <w:proofErr w:type="spellEnd"/>
      <w:r w:rsidRPr="00DD067E">
        <w:rPr>
          <w:rFonts w:cs="Arial"/>
          <w:sz w:val="20"/>
          <w:szCs w:val="20"/>
          <w:highlight w:val="yellow"/>
          <w:lang w:val="en-US"/>
        </w:rPr>
        <w:t>:</w:t>
      </w:r>
      <w:r>
        <w:rPr>
          <w:rFonts w:cs="Arial"/>
          <w:sz w:val="20"/>
          <w:szCs w:val="20"/>
          <w:lang w:val="en-US"/>
        </w:rPr>
        <w:t xml:space="preserve"> </w:t>
      </w:r>
    </w:p>
    <w:p w14:paraId="13571BE4" w14:textId="45651015" w:rsidR="00421FF9" w:rsidRDefault="00421FF9" w:rsidP="000D6AC3">
      <w:pPr>
        <w:spacing w:line="240" w:lineRule="auto"/>
        <w:ind w:left="709" w:hanging="709"/>
        <w:jc w:val="left"/>
        <w:rPr>
          <w:lang w:val="en-US"/>
        </w:rPr>
      </w:pPr>
      <w:r w:rsidRPr="00421FF9">
        <w:rPr>
          <w:lang w:val="en-US"/>
        </w:rPr>
        <w:t>Barnes, Barry (1988): The Nature of Power. Cambridge/Oxford: Polity Press/Basil Blackwell</w:t>
      </w:r>
      <w:r w:rsidR="00C721F8">
        <w:rPr>
          <w:lang w:val="en-US"/>
        </w:rPr>
        <w:t xml:space="preserve"> </w:t>
      </w:r>
      <w:r w:rsidR="00C721F8" w:rsidRPr="00C721F8">
        <w:rPr>
          <w:lang w:val="en-US"/>
        </w:rPr>
        <w:sym w:font="Wingdings" w:char="F0E0"/>
      </w:r>
      <w:r w:rsidR="00C721F8">
        <w:rPr>
          <w:lang w:val="en-US"/>
        </w:rPr>
        <w:t xml:space="preserve"> online/</w:t>
      </w:r>
      <w:proofErr w:type="spellStart"/>
      <w:r w:rsidR="00C721F8">
        <w:rPr>
          <w:lang w:val="en-US"/>
        </w:rPr>
        <w:t>über</w:t>
      </w:r>
      <w:proofErr w:type="spellEnd"/>
      <w:r w:rsidR="00C721F8">
        <w:rPr>
          <w:lang w:val="en-US"/>
        </w:rPr>
        <w:t xml:space="preserve"> UB </w:t>
      </w:r>
      <w:proofErr w:type="spellStart"/>
      <w:r w:rsidR="00C721F8">
        <w:rPr>
          <w:lang w:val="en-US"/>
        </w:rPr>
        <w:t>nicht</w:t>
      </w:r>
      <w:proofErr w:type="spellEnd"/>
      <w:r w:rsidR="00C721F8">
        <w:rPr>
          <w:lang w:val="en-US"/>
        </w:rPr>
        <w:t xml:space="preserve"> </w:t>
      </w:r>
      <w:proofErr w:type="spellStart"/>
      <w:r w:rsidR="00C721F8">
        <w:rPr>
          <w:lang w:val="en-US"/>
        </w:rPr>
        <w:t>zu</w:t>
      </w:r>
      <w:proofErr w:type="spellEnd"/>
      <w:r w:rsidR="00C721F8">
        <w:rPr>
          <w:lang w:val="en-US"/>
        </w:rPr>
        <w:t xml:space="preserve"> </w:t>
      </w:r>
      <w:proofErr w:type="spellStart"/>
      <w:r w:rsidR="00C721F8">
        <w:rPr>
          <w:lang w:val="en-US"/>
        </w:rPr>
        <w:t>finden</w:t>
      </w:r>
      <w:proofErr w:type="spellEnd"/>
      <w:r w:rsidR="00C721F8">
        <w:rPr>
          <w:lang w:val="en-US"/>
        </w:rPr>
        <w:t xml:space="preserve"> </w:t>
      </w:r>
    </w:p>
    <w:p w14:paraId="0CAB4AA4" w14:textId="1C2B0A53" w:rsidR="00421FF9" w:rsidRDefault="00421FF9" w:rsidP="000D6AC3">
      <w:pPr>
        <w:spacing w:line="240" w:lineRule="auto"/>
        <w:ind w:left="709" w:hanging="709"/>
        <w:jc w:val="left"/>
        <w:rPr>
          <w:lang w:val="en-US"/>
        </w:rPr>
      </w:pPr>
      <w:r w:rsidRPr="00421FF9">
        <w:rPr>
          <w:lang w:val="en-US"/>
        </w:rPr>
        <w:t>Bell, Roderick/Edwards, David V./Wagner, Robert Harrison (</w:t>
      </w:r>
      <w:proofErr w:type="spellStart"/>
      <w:r w:rsidRPr="00421FF9">
        <w:rPr>
          <w:lang w:val="en-US"/>
        </w:rPr>
        <w:t>Hrsg</w:t>
      </w:r>
      <w:proofErr w:type="spellEnd"/>
      <w:r w:rsidRPr="00421FF9">
        <w:rPr>
          <w:lang w:val="en-US"/>
        </w:rPr>
        <w:t>.) (1969): Political Power. A Rea</w:t>
      </w:r>
      <w:r w:rsidRPr="00421FF9">
        <w:rPr>
          <w:lang w:val="en-US"/>
        </w:rPr>
        <w:t>der in Theory and Research. New York: Free Press</w:t>
      </w:r>
      <w:r w:rsidR="009122FF">
        <w:rPr>
          <w:lang w:val="en-US"/>
        </w:rPr>
        <w:t xml:space="preserve"> </w:t>
      </w:r>
    </w:p>
    <w:p w14:paraId="0C88166B" w14:textId="7B036B8D" w:rsidR="0043716B" w:rsidRPr="0043716B" w:rsidRDefault="0043716B" w:rsidP="0043716B">
      <w:pPr>
        <w:pStyle w:val="Listenabsatz"/>
        <w:numPr>
          <w:ilvl w:val="0"/>
          <w:numId w:val="5"/>
        </w:numPr>
        <w:shd w:val="clear" w:color="auto" w:fill="F3F3F3"/>
        <w:spacing w:before="0" w:after="84" w:line="240" w:lineRule="auto"/>
        <w:contextualSpacing w:val="0"/>
        <w:jc w:val="left"/>
        <w:outlineLvl w:val="5"/>
        <w:rPr>
          <w:rFonts w:ascii="Source Sans Pro" w:eastAsia="Times New Roman" w:hAnsi="Source Sans Pro" w:cs="Times New Roman"/>
          <w:color w:val="3A3A3A"/>
          <w:spacing w:val="1"/>
          <w:kern w:val="0"/>
          <w:sz w:val="26"/>
          <w:szCs w:val="26"/>
          <w:lang w:eastAsia="de-DE"/>
          <w14:ligatures w14:val="none"/>
        </w:rPr>
      </w:pPr>
      <w:r w:rsidRPr="0043716B">
        <w:rPr>
          <w:rFonts w:ascii="Source Sans Pro" w:eastAsia="Times New Roman" w:hAnsi="Source Sans Pro" w:cs="Times New Roman"/>
          <w:color w:val="3A3A3A"/>
          <w:spacing w:val="1"/>
          <w:kern w:val="0"/>
          <w:sz w:val="26"/>
          <w:szCs w:val="26"/>
          <w:lang w:eastAsia="de-DE"/>
          <w14:ligatures w14:val="none"/>
        </w:rPr>
        <w:t>Universitätsbibliothek</w:t>
      </w:r>
      <w:r>
        <w:rPr>
          <w:rFonts w:ascii="Source Sans Pro" w:eastAsia="Times New Roman" w:hAnsi="Source Sans Pro" w:cs="Times New Roman"/>
          <w:color w:val="3A3A3A"/>
          <w:spacing w:val="1"/>
          <w:kern w:val="0"/>
          <w:sz w:val="26"/>
          <w:szCs w:val="26"/>
          <w:lang w:eastAsia="de-DE"/>
          <w14:ligatures w14:val="none"/>
        </w:rPr>
        <w:t xml:space="preserve"> </w:t>
      </w:r>
      <w:proofErr w:type="gramStart"/>
      <w:r w:rsidRPr="0043716B">
        <w:rPr>
          <w:rFonts w:ascii="Source Sans Pro" w:eastAsia="Times New Roman" w:hAnsi="Source Sans Pro" w:cs="Times New Roman"/>
          <w:color w:val="0F7D00"/>
          <w:kern w:val="0"/>
          <w:sz w:val="23"/>
          <w:szCs w:val="23"/>
          <w:lang w:eastAsia="de-DE"/>
          <w14:ligatures w14:val="none"/>
        </w:rPr>
        <w:t>Verfügbar</w:t>
      </w:r>
      <w:r w:rsidRPr="0043716B">
        <w:rPr>
          <w:rFonts w:ascii="Source Sans Pro" w:eastAsia="Times New Roman" w:hAnsi="Source Sans Pro" w:cs="Times New Roman"/>
          <w:color w:val="3A3A3A"/>
          <w:kern w:val="0"/>
          <w:sz w:val="23"/>
          <w:szCs w:val="23"/>
          <w:lang w:eastAsia="de-DE"/>
          <w14:ligatures w14:val="none"/>
        </w:rPr>
        <w:t> ,</w:t>
      </w:r>
      <w:proofErr w:type="gramEnd"/>
      <w:r w:rsidRPr="0043716B">
        <w:rPr>
          <w:rFonts w:ascii="Source Sans Pro" w:eastAsia="Times New Roman" w:hAnsi="Source Sans Pro" w:cs="Times New Roman"/>
          <w:color w:val="3A3A3A"/>
          <w:kern w:val="0"/>
          <w:sz w:val="23"/>
          <w:szCs w:val="23"/>
          <w:lang w:eastAsia="de-DE"/>
          <w14:ligatures w14:val="none"/>
        </w:rPr>
        <w:t> Geschoss 3 / Bereich 3 ; DMB7234</w:t>
      </w:r>
    </w:p>
    <w:p w14:paraId="6F610DFB" w14:textId="3AD0D025" w:rsidR="00F23043" w:rsidRDefault="00F23043" w:rsidP="000D6AC3">
      <w:pPr>
        <w:spacing w:line="240" w:lineRule="auto"/>
        <w:ind w:left="709" w:hanging="709"/>
        <w:jc w:val="left"/>
        <w:rPr>
          <w:lang w:val="en-US"/>
        </w:rPr>
      </w:pPr>
      <w:r w:rsidRPr="00081F11">
        <w:rPr>
          <w:highlight w:val="green"/>
          <w:lang w:val="en-US"/>
        </w:rPr>
        <w:t>Clegg</w:t>
      </w:r>
      <w:r w:rsidRPr="00F23043">
        <w:rPr>
          <w:lang w:val="en-US"/>
        </w:rPr>
        <w:t>, Stewart R. (1989): Frameworks of Power. London/Newbury Park/New Delhi: Sage</w:t>
      </w:r>
    </w:p>
    <w:p w14:paraId="5EDC83ED" w14:textId="46B48C6B" w:rsidR="00F23043" w:rsidRDefault="00837DA3" w:rsidP="000D6AC3">
      <w:pPr>
        <w:spacing w:line="240" w:lineRule="auto"/>
        <w:ind w:left="709" w:hanging="709"/>
        <w:jc w:val="left"/>
      </w:pPr>
      <w:r>
        <w:rPr>
          <w:lang w:val="en-US"/>
        </w:rPr>
        <w:t>D</w:t>
      </w:r>
      <w:r w:rsidRPr="00837DA3">
        <w:rPr>
          <w:lang w:val="en-US"/>
        </w:rPr>
        <w:t xml:space="preserve">ean, Mitchell (1999): Governmentality. Power and Rule in Modern Society. </w:t>
      </w:r>
      <w:r>
        <w:t>London, Thousand Oaks, New Delhi: Sage</w:t>
      </w:r>
    </w:p>
    <w:p w14:paraId="01FC9609" w14:textId="35E193C7" w:rsidR="00837DA3" w:rsidRDefault="00837DA3" w:rsidP="000D6AC3">
      <w:pPr>
        <w:spacing w:line="240" w:lineRule="auto"/>
        <w:ind w:left="709" w:hanging="709"/>
        <w:jc w:val="left"/>
        <w:rPr>
          <w:lang w:val="en-US"/>
        </w:rPr>
      </w:pPr>
      <w:r w:rsidRPr="00166C0B">
        <w:rPr>
          <w:lang w:val="en-US"/>
        </w:rPr>
        <w:t>Foucault, Michel (1991): Governmentality. In: Burchell/Gordon/Miller (1991): 87-104</w:t>
      </w:r>
    </w:p>
    <w:p w14:paraId="40CD6FE4" w14:textId="77777777" w:rsidR="00166C0B" w:rsidRDefault="00166C0B" w:rsidP="000D6AC3">
      <w:pPr>
        <w:spacing w:line="240" w:lineRule="auto"/>
        <w:ind w:left="709" w:hanging="709"/>
        <w:jc w:val="left"/>
      </w:pPr>
      <w:r>
        <w:t xml:space="preserve">Heitmeyer, Wilhelm/Hagan, John (Hrsg.) (2002): Internationales Handbuch der Gewaltforschung. Wiesbaden: Westdeutscher Verlag </w:t>
      </w:r>
    </w:p>
    <w:p w14:paraId="1E23F704" w14:textId="712558D2" w:rsidR="00166C0B" w:rsidRDefault="00166C0B" w:rsidP="000D6AC3">
      <w:pPr>
        <w:spacing w:line="240" w:lineRule="auto"/>
        <w:ind w:left="709" w:hanging="709"/>
        <w:jc w:val="left"/>
      </w:pPr>
      <w:r>
        <w:t>Heitmeyer, Wilhelm/</w:t>
      </w:r>
      <w:proofErr w:type="spellStart"/>
      <w:r>
        <w:t>Soeffner</w:t>
      </w:r>
      <w:proofErr w:type="spellEnd"/>
      <w:r>
        <w:t>, Hans-Georg (Hrsg.) (2004): Gewalt. Entwicklungen, Strukturen, Ana</w:t>
      </w:r>
      <w:r>
        <w:t/>
      </w:r>
      <w:proofErr w:type="spellStart"/>
      <w:r>
        <w:t>lyseprobleme</w:t>
      </w:r>
      <w:proofErr w:type="spellEnd"/>
      <w:r>
        <w:t>. Frankfurt a.M.: Suhrkamp</w:t>
      </w:r>
    </w:p>
    <w:p w14:paraId="5500768C" w14:textId="652E67F9" w:rsidR="00166C0B" w:rsidRDefault="00166C0B" w:rsidP="000D6AC3">
      <w:pPr>
        <w:spacing w:line="240" w:lineRule="auto"/>
        <w:ind w:left="709" w:hanging="709"/>
        <w:jc w:val="left"/>
      </w:pPr>
      <w:proofErr w:type="spellStart"/>
      <w:r>
        <w:t>Inhetveen</w:t>
      </w:r>
      <w:proofErr w:type="spellEnd"/>
      <w:r>
        <w:t xml:space="preserve">, Katharina (2005): Gewalt in ihren Deutungen. Anmerkungen zu </w:t>
      </w:r>
      <w:proofErr w:type="spellStart"/>
      <w:r>
        <w:t>Kulturalität</w:t>
      </w:r>
      <w:proofErr w:type="spellEnd"/>
      <w:r>
        <w:t xml:space="preserve"> und </w:t>
      </w:r>
      <w:proofErr w:type="spellStart"/>
      <w:r>
        <w:t>Kultura</w:t>
      </w:r>
      <w:proofErr w:type="spellEnd"/>
      <w:r>
        <w:t/>
      </w:r>
      <w:proofErr w:type="spellStart"/>
      <w:r>
        <w:t>lisierung</w:t>
      </w:r>
      <w:proofErr w:type="spellEnd"/>
      <w:r>
        <w:t xml:space="preserve">. In: </w:t>
      </w:r>
      <w:proofErr w:type="gramStart"/>
      <w:r>
        <w:t>Österreichische</w:t>
      </w:r>
      <w:proofErr w:type="gramEnd"/>
      <w:r>
        <w:t xml:space="preserve"> Zeitschrift für Soziologie</w:t>
      </w:r>
    </w:p>
    <w:p w14:paraId="27F2FA20" w14:textId="7D761884" w:rsidR="00166C0B" w:rsidRDefault="00166C0B" w:rsidP="000D6AC3">
      <w:pPr>
        <w:spacing w:line="240" w:lineRule="auto"/>
        <w:ind w:left="709" w:hanging="709"/>
        <w:jc w:val="left"/>
        <w:rPr>
          <w:lang w:val="en-US"/>
        </w:rPr>
      </w:pPr>
      <w:r w:rsidRPr="00166C0B">
        <w:rPr>
          <w:lang w:val="en-US"/>
        </w:rPr>
        <w:t xml:space="preserve">Mann, Michael (1986/1993): The Sources of Social Power. 2 </w:t>
      </w:r>
      <w:proofErr w:type="spellStart"/>
      <w:r w:rsidRPr="00166C0B">
        <w:rPr>
          <w:lang w:val="en-US"/>
        </w:rPr>
        <w:t>Bde</w:t>
      </w:r>
      <w:proofErr w:type="spellEnd"/>
      <w:r w:rsidRPr="00166C0B">
        <w:rPr>
          <w:lang w:val="en-US"/>
        </w:rPr>
        <w:t>., Cambridge: Cambridge Uni</w:t>
      </w:r>
      <w:r w:rsidRPr="00166C0B">
        <w:rPr>
          <w:lang w:val="en-US"/>
        </w:rPr>
        <w:t/>
      </w:r>
      <w:proofErr w:type="spellStart"/>
      <w:r w:rsidRPr="00166C0B">
        <w:rPr>
          <w:lang w:val="en-US"/>
        </w:rPr>
        <w:t>versity</w:t>
      </w:r>
      <w:proofErr w:type="spellEnd"/>
      <w:r w:rsidRPr="00166C0B">
        <w:rPr>
          <w:lang w:val="en-US"/>
        </w:rPr>
        <w:t xml:space="preserve"> Press</w:t>
      </w:r>
    </w:p>
    <w:p w14:paraId="25DC644B" w14:textId="51EDA59D" w:rsidR="00166C0B" w:rsidRDefault="0014657E" w:rsidP="000D6AC3">
      <w:pPr>
        <w:spacing w:line="240" w:lineRule="auto"/>
        <w:ind w:left="709" w:hanging="709"/>
        <w:jc w:val="left"/>
      </w:pPr>
      <w:r>
        <w:t>Mills, C. Wright (1962, orig. 1956): Die amerikanische Elite. Gesellschaft und Macht in den Vereinigten Staaten. Hamburg: Holsten-Verlag</w:t>
      </w:r>
    </w:p>
    <w:p w14:paraId="5EE33CFA" w14:textId="32F8D9DF" w:rsidR="0014657E" w:rsidRDefault="0014657E" w:rsidP="000D6AC3">
      <w:pPr>
        <w:spacing w:line="240" w:lineRule="auto"/>
        <w:ind w:left="709" w:hanging="709"/>
        <w:jc w:val="left"/>
      </w:pPr>
      <w:r>
        <w:rPr>
          <w:lang w:val="en-US"/>
        </w:rPr>
        <w:t>P</w:t>
      </w:r>
      <w:r w:rsidRPr="0014657E">
        <w:rPr>
          <w:lang w:val="en-US"/>
        </w:rPr>
        <w:t xml:space="preserve">arsons, Talcott (1969a, orig. 1963): On the Concept of Political Power. </w:t>
      </w:r>
      <w:r>
        <w:t xml:space="preserve">In: </w:t>
      </w:r>
      <w:proofErr w:type="spellStart"/>
      <w:r>
        <w:t>Ders</w:t>
      </w:r>
      <w:proofErr w:type="spellEnd"/>
      <w:r>
        <w:t>. (1969b): 352- 404</w:t>
      </w:r>
    </w:p>
    <w:p w14:paraId="7CE25AEB" w14:textId="42F803FD" w:rsidR="0014657E" w:rsidRDefault="0014657E" w:rsidP="000D6AC3">
      <w:pPr>
        <w:spacing w:line="240" w:lineRule="auto"/>
        <w:ind w:left="709" w:hanging="709"/>
        <w:jc w:val="left"/>
      </w:pPr>
      <w:r>
        <w:t xml:space="preserve">Plessner, Helmuth (2003a, orig. 1962): Die Emanzipation der Macht. In: </w:t>
      </w:r>
      <w:proofErr w:type="spellStart"/>
      <w:r>
        <w:t>Ders</w:t>
      </w:r>
      <w:proofErr w:type="spellEnd"/>
      <w:r>
        <w:t>. (2003b): 259-282</w:t>
      </w:r>
    </w:p>
    <w:p w14:paraId="0105C755" w14:textId="36B284FD" w:rsidR="000D6AC3" w:rsidRDefault="000D6AC3" w:rsidP="000D6AC3">
      <w:pPr>
        <w:spacing w:line="240" w:lineRule="auto"/>
        <w:ind w:left="709" w:hanging="709"/>
        <w:jc w:val="left"/>
      </w:pPr>
      <w:r>
        <w:t>Trotha, Trutz von (Hrsg.) (1997b): Soziologie der Gewalt. Kölner Zeitschrift für Soziologie und Sozialpsychologie, Sh. 37. Opladen/Wiesbaden: Westdeutscher Verlag</w:t>
      </w:r>
    </w:p>
    <w:p w14:paraId="51589EB3" w14:textId="7386CBAF" w:rsidR="000D6AC3" w:rsidRPr="000D6AC3" w:rsidRDefault="000D6AC3" w:rsidP="000D6AC3">
      <w:pPr>
        <w:spacing w:line="240" w:lineRule="auto"/>
        <w:ind w:left="709" w:hanging="709"/>
        <w:jc w:val="left"/>
        <w:rPr>
          <w:rFonts w:cs="Arial"/>
          <w:sz w:val="20"/>
          <w:szCs w:val="20"/>
          <w:lang w:val="en-US"/>
        </w:rPr>
      </w:pPr>
      <w:r w:rsidRPr="000D6AC3">
        <w:rPr>
          <w:lang w:val="en-US"/>
        </w:rPr>
        <w:t xml:space="preserve">Wrong, Dennis H. (1995, orig. 1979): Power. Its Forms, Bases, and Uses. With a new </w:t>
      </w:r>
      <w:proofErr w:type="spellStart"/>
      <w:r w:rsidRPr="000D6AC3">
        <w:rPr>
          <w:lang w:val="en-US"/>
        </w:rPr>
        <w:t>introducti</w:t>
      </w:r>
      <w:proofErr w:type="spellEnd"/>
      <w:r w:rsidRPr="000D6AC3">
        <w:rPr>
          <w:lang w:val="en-US"/>
        </w:rPr>
        <w:t>on by the author. New Brunswick/London: Transaction</w:t>
      </w:r>
    </w:p>
    <w:p w14:paraId="4A68B2CB" w14:textId="2DAE6FCD" w:rsidR="00B847FF" w:rsidRPr="00BB55FA" w:rsidRDefault="009F1D26" w:rsidP="00846792">
      <w:pPr>
        <w:spacing w:line="240" w:lineRule="auto"/>
        <w:jc w:val="left"/>
        <w:rPr>
          <w:rFonts w:cs="Arial"/>
          <w:sz w:val="20"/>
          <w:szCs w:val="20"/>
        </w:rPr>
      </w:pPr>
      <w:r w:rsidRPr="00BB55FA">
        <w:rPr>
          <w:rFonts w:cs="Arial"/>
          <w:sz w:val="20"/>
          <w:szCs w:val="20"/>
        </w:rPr>
        <w:t>--</w:t>
      </w:r>
    </w:p>
    <w:p w14:paraId="622E9A6A" w14:textId="77777777" w:rsidR="00F56ED6" w:rsidRPr="00BB55FA" w:rsidRDefault="00F56ED6" w:rsidP="00846792">
      <w:pPr>
        <w:spacing w:line="240" w:lineRule="auto"/>
        <w:jc w:val="left"/>
        <w:rPr>
          <w:rFonts w:cs="Arial"/>
          <w:sz w:val="20"/>
          <w:szCs w:val="20"/>
        </w:rPr>
      </w:pPr>
    </w:p>
    <w:p w14:paraId="5CD87F69" w14:textId="77777777" w:rsidR="00081F11" w:rsidRDefault="00081F11" w:rsidP="00846792">
      <w:pPr>
        <w:spacing w:line="240" w:lineRule="auto"/>
        <w:jc w:val="left"/>
        <w:rPr>
          <w:lang w:val="en-US"/>
        </w:rPr>
      </w:pPr>
      <w:r>
        <w:t xml:space="preserve">Cockburn, Cynthia (1988): Die Herrschaftsmaschine. Geschlechterverhältnisse und </w:t>
      </w:r>
      <w:proofErr w:type="spellStart"/>
      <w:r>
        <w:t>tech</w:t>
      </w:r>
      <w:proofErr w:type="spellEnd"/>
      <w:r>
        <w:t/>
      </w:r>
      <w:proofErr w:type="spellStart"/>
      <w:r>
        <w:t>nisches</w:t>
      </w:r>
      <w:proofErr w:type="spellEnd"/>
      <w:r>
        <w:t xml:space="preserve"> Know-how. </w:t>
      </w:r>
      <w:r w:rsidRPr="00081F11">
        <w:rPr>
          <w:lang w:val="en-US"/>
        </w:rPr>
        <w:t xml:space="preserve">Berlin/Hamburg </w:t>
      </w:r>
    </w:p>
    <w:p w14:paraId="5D343C44" w14:textId="03553439" w:rsidR="00081F11" w:rsidRPr="00081F11" w:rsidRDefault="00081F11" w:rsidP="00846792">
      <w:pPr>
        <w:spacing w:line="240" w:lineRule="auto"/>
        <w:jc w:val="left"/>
        <w:rPr>
          <w:lang w:val="en-US"/>
        </w:rPr>
      </w:pPr>
      <w:r w:rsidRPr="00081F11">
        <w:rPr>
          <w:lang w:val="en-US"/>
        </w:rPr>
        <w:t>Davis, Kathy/</w:t>
      </w:r>
      <w:proofErr w:type="spellStart"/>
      <w:r w:rsidRPr="00081F11">
        <w:rPr>
          <w:lang w:val="en-US"/>
        </w:rPr>
        <w:t>Oldersmaa</w:t>
      </w:r>
      <w:proofErr w:type="spellEnd"/>
      <w:r w:rsidRPr="00081F11">
        <w:rPr>
          <w:lang w:val="en-US"/>
        </w:rPr>
        <w:t xml:space="preserve">, Jantine (1987): „The Gender of Power: An </w:t>
      </w:r>
      <w:proofErr w:type="gramStart"/>
      <w:r w:rsidRPr="00081F11">
        <w:rPr>
          <w:lang w:val="en-US"/>
        </w:rPr>
        <w:t>Introduction“</w:t>
      </w:r>
      <w:proofErr w:type="gramEnd"/>
      <w:r w:rsidRPr="00081F11">
        <w:rPr>
          <w:lang w:val="en-US"/>
        </w:rPr>
        <w:t>. In: Lei</w:t>
      </w:r>
      <w:r w:rsidRPr="00081F11">
        <w:rPr>
          <w:lang w:val="en-US"/>
        </w:rPr>
        <w:t/>
      </w:r>
      <w:proofErr w:type="spellStart"/>
      <w:r w:rsidRPr="00081F11">
        <w:rPr>
          <w:lang w:val="en-US"/>
        </w:rPr>
        <w:t>jenaar</w:t>
      </w:r>
      <w:proofErr w:type="spellEnd"/>
      <w:r w:rsidRPr="00081F11">
        <w:rPr>
          <w:lang w:val="en-US"/>
        </w:rPr>
        <w:t>, Monique (Hg.): a. a. O., S. 13 – 2</w:t>
      </w:r>
      <w:r w:rsidR="00AD5106">
        <w:rPr>
          <w:lang w:val="en-US"/>
        </w:rPr>
        <w:t>5</w:t>
      </w:r>
    </w:p>
    <w:p w14:paraId="31153B9E" w14:textId="3CC7CB8B" w:rsidR="00BC2783" w:rsidRDefault="00BC2783" w:rsidP="00846792">
      <w:pPr>
        <w:spacing w:line="240" w:lineRule="auto"/>
        <w:jc w:val="left"/>
      </w:pPr>
      <w:r>
        <w:rPr>
          <w:lang w:val="en-US"/>
        </w:rPr>
        <w:t>F</w:t>
      </w:r>
      <w:r w:rsidRPr="00BC2783">
        <w:rPr>
          <w:lang w:val="en-US"/>
        </w:rPr>
        <w:t xml:space="preserve">raser, Nancy (1989): Unruly Practices. Power, Discourse and Gender in Contemporary Social Theory. </w:t>
      </w:r>
      <w:r>
        <w:t>Minneapolis</w:t>
      </w:r>
    </w:p>
    <w:p w14:paraId="02DCFD21" w14:textId="261485EC" w:rsidR="000333F4" w:rsidRDefault="000333F4" w:rsidP="00846792">
      <w:pPr>
        <w:spacing w:line="240" w:lineRule="auto"/>
        <w:jc w:val="left"/>
        <w:rPr>
          <w:lang w:val="en-US"/>
        </w:rPr>
      </w:pPr>
      <w:r w:rsidRPr="000333F4">
        <w:rPr>
          <w:lang w:val="en-US"/>
        </w:rPr>
        <w:t xml:space="preserve">Hartsock, Nancy (1987): „Foucault on Power. A Theory for </w:t>
      </w:r>
      <w:proofErr w:type="gramStart"/>
      <w:r w:rsidRPr="000333F4">
        <w:rPr>
          <w:lang w:val="en-US"/>
        </w:rPr>
        <w:t>Women ?</w:t>
      </w:r>
      <w:proofErr w:type="gramEnd"/>
      <w:r w:rsidRPr="000333F4">
        <w:rPr>
          <w:lang w:val="en-US"/>
        </w:rPr>
        <w:t xml:space="preserve">“ In: </w:t>
      </w:r>
      <w:proofErr w:type="spellStart"/>
      <w:r w:rsidRPr="000333F4">
        <w:rPr>
          <w:lang w:val="en-US"/>
        </w:rPr>
        <w:t>Leijenaar</w:t>
      </w:r>
      <w:proofErr w:type="spellEnd"/>
      <w:r w:rsidRPr="000333F4">
        <w:rPr>
          <w:lang w:val="en-US"/>
        </w:rPr>
        <w:t>, Monique (Hg.): a. a. O., S. 88 – 121</w:t>
      </w:r>
    </w:p>
    <w:p w14:paraId="5C87A648" w14:textId="6787CE46" w:rsidR="000D6ECB" w:rsidRDefault="000D6ECB" w:rsidP="00846792">
      <w:pPr>
        <w:spacing w:line="240" w:lineRule="auto"/>
        <w:jc w:val="left"/>
      </w:pPr>
      <w:r w:rsidRPr="000D6ECB">
        <w:rPr>
          <w:lang w:val="en-US"/>
        </w:rPr>
        <w:t>Honegger, Claudia/Heintze, Bettina (</w:t>
      </w:r>
      <w:proofErr w:type="spellStart"/>
      <w:r w:rsidRPr="000D6ECB">
        <w:rPr>
          <w:lang w:val="en-US"/>
        </w:rPr>
        <w:t>Hgg</w:t>
      </w:r>
      <w:proofErr w:type="spellEnd"/>
      <w:r w:rsidRPr="000D6ECB">
        <w:rPr>
          <w:lang w:val="en-US"/>
        </w:rPr>
        <w:t xml:space="preserve">.) </w:t>
      </w:r>
      <w:r>
        <w:t xml:space="preserve">(1981): Listen der Ohnmacht. Zur </w:t>
      </w:r>
      <w:proofErr w:type="spellStart"/>
      <w:r>
        <w:t>Sozialge</w:t>
      </w:r>
      <w:proofErr w:type="spellEnd"/>
      <w:r>
        <w:t>schichte weiblicher Widerstandsformen. Frankfurt a. M.</w:t>
      </w:r>
    </w:p>
    <w:p w14:paraId="2F50CD46" w14:textId="65660B18" w:rsidR="000D6ECB" w:rsidRDefault="00081E95" w:rsidP="00846792">
      <w:pPr>
        <w:spacing w:line="240" w:lineRule="auto"/>
        <w:jc w:val="left"/>
      </w:pPr>
      <w:r>
        <w:t>Honneth, Axel (1985): Kritik der Macht. Frankfurt a. M.</w:t>
      </w:r>
    </w:p>
    <w:p w14:paraId="2A8A9C49" w14:textId="01CB45EF" w:rsidR="00EC28A4" w:rsidRDefault="00EC28A4" w:rsidP="00846792">
      <w:pPr>
        <w:spacing w:line="240" w:lineRule="auto"/>
        <w:jc w:val="left"/>
      </w:pPr>
      <w:proofErr w:type="spellStart"/>
      <w:r w:rsidRPr="00EC28A4">
        <w:rPr>
          <w:lang w:val="en-US"/>
        </w:rPr>
        <w:t>Leijenaar</w:t>
      </w:r>
      <w:proofErr w:type="spellEnd"/>
      <w:r w:rsidRPr="00EC28A4">
        <w:rPr>
          <w:lang w:val="en-US"/>
        </w:rPr>
        <w:t xml:space="preserve">, Monique (Hg.) (1987): The Gender of Power. </w:t>
      </w:r>
      <w:r>
        <w:t>A Symposium. Leiden</w:t>
      </w:r>
    </w:p>
    <w:p w14:paraId="46509C20" w14:textId="164100B1" w:rsidR="00A412C0" w:rsidRDefault="00A412C0" w:rsidP="00846792">
      <w:pPr>
        <w:spacing w:line="240" w:lineRule="auto"/>
        <w:jc w:val="left"/>
      </w:pPr>
      <w:r>
        <w:lastRenderedPageBreak/>
        <w:t>Lenz, Ilse/Luig, Ute (Hgg.) (1990): Frauenmacht ohne Herrschaft. Berlin</w:t>
      </w:r>
    </w:p>
    <w:p w14:paraId="36BD06A2" w14:textId="34E4C89D" w:rsidR="00A412C0" w:rsidRDefault="00A412C0" w:rsidP="00846792">
      <w:pPr>
        <w:spacing w:line="240" w:lineRule="auto"/>
        <w:jc w:val="left"/>
      </w:pPr>
      <w:r>
        <w:t xml:space="preserve">Moi, </w:t>
      </w:r>
      <w:proofErr w:type="spellStart"/>
      <w:r>
        <w:t>Toril</w:t>
      </w:r>
      <w:proofErr w:type="spellEnd"/>
      <w:r>
        <w:t xml:space="preserve"> (1989): Sexus – Text – Herrschaft. Feministische Literaturtheorie. Bremen</w:t>
      </w:r>
    </w:p>
    <w:p w14:paraId="683E0754" w14:textId="60941DC5" w:rsidR="000208F6" w:rsidRDefault="000208F6" w:rsidP="00846792">
      <w:pPr>
        <w:spacing w:line="240" w:lineRule="auto"/>
        <w:jc w:val="left"/>
      </w:pPr>
      <w:r>
        <w:t>Schaeffer-Hegel, Barbara (1984): Frauen und Macht. Der alltägliche Beitrag der Frauen zur Politik des Patriarchats. Pfaffenweiler</w:t>
      </w:r>
    </w:p>
    <w:p w14:paraId="3D25C08C" w14:textId="77777777" w:rsidR="006C4341" w:rsidRDefault="006C4341" w:rsidP="00846792">
      <w:pPr>
        <w:spacing w:line="240" w:lineRule="auto"/>
        <w:jc w:val="left"/>
      </w:pPr>
    </w:p>
    <w:p w14:paraId="1EFF752C" w14:textId="0DA32997" w:rsidR="006C4341" w:rsidRDefault="006C4341" w:rsidP="00846792">
      <w:pPr>
        <w:spacing w:line="240" w:lineRule="auto"/>
        <w:jc w:val="left"/>
      </w:pPr>
      <w:r>
        <w:t>--</w:t>
      </w:r>
    </w:p>
    <w:p w14:paraId="74D8D9CB" w14:textId="77777777" w:rsidR="006C4341" w:rsidRDefault="006C4341" w:rsidP="00846792">
      <w:pPr>
        <w:spacing w:line="240" w:lineRule="auto"/>
        <w:jc w:val="left"/>
      </w:pPr>
    </w:p>
    <w:p w14:paraId="7BBE7AE2" w14:textId="557D1E3F" w:rsidR="006C4341" w:rsidRDefault="006C4341" w:rsidP="00846792">
      <w:pPr>
        <w:spacing w:line="240" w:lineRule="auto"/>
        <w:jc w:val="left"/>
        <w:rPr>
          <w:lang w:val="en-US"/>
        </w:rPr>
      </w:pPr>
      <w:r w:rsidRPr="006C4341">
        <w:rPr>
          <w:lang w:val="en-US"/>
        </w:rPr>
        <w:t xml:space="preserve">Horkheimer, Max. 1936. “Authority and the Family,” in Critical Theory. Selected Essays. New York: Continuum, 1972, pp. 47-128. (Selection: ‘3. Family’, pp. 97-128) </w:t>
      </w:r>
    </w:p>
    <w:p w14:paraId="263CDF76" w14:textId="2FF24143" w:rsidR="006C4341" w:rsidRDefault="006C4341" w:rsidP="00846792">
      <w:pPr>
        <w:spacing w:line="240" w:lineRule="auto"/>
        <w:jc w:val="left"/>
      </w:pPr>
      <w:r w:rsidRPr="006C4341">
        <w:rPr>
          <w:lang w:val="en-US"/>
        </w:rPr>
        <w:t xml:space="preserve">Horkheimer, Max. 1936. “Authority and the Family,” in Critical Theory. Selected Essays. New York: Continuum, 1972, pp. 47-128. </w:t>
      </w:r>
      <w:r>
        <w:t>(‘1. Culture’, ‘2. Authority’, pp. 47-97)</w:t>
      </w:r>
    </w:p>
    <w:p w14:paraId="436F271D" w14:textId="77777777" w:rsidR="00734055" w:rsidRDefault="00734055" w:rsidP="00846792">
      <w:pPr>
        <w:spacing w:line="240" w:lineRule="auto"/>
        <w:jc w:val="left"/>
        <w:rPr>
          <w:lang w:val="en-US"/>
        </w:rPr>
      </w:pPr>
      <w:r w:rsidRPr="00734055">
        <w:rPr>
          <w:lang w:val="en-US"/>
        </w:rPr>
        <w:t>Fromm, Erich. 1936. “Studies on Authority and the Family. Sociopsychological Dimensions.” Fromm Forum 24, 2020, pp. 8-58. (Selection: Part 4, pp. 37-58)</w:t>
      </w:r>
    </w:p>
    <w:p w14:paraId="59C742CC" w14:textId="1A3C4C85" w:rsidR="00734055" w:rsidRDefault="00734055" w:rsidP="00846792">
      <w:pPr>
        <w:spacing w:line="240" w:lineRule="auto"/>
        <w:jc w:val="left"/>
      </w:pPr>
      <w:r w:rsidRPr="00734055">
        <w:rPr>
          <w:lang w:val="en-US"/>
        </w:rPr>
        <w:t xml:space="preserve">Fromm, Erich. 1936. “Studies on Authority and the Family. Sociopsychological Dimensions.” Fromm Forum 24, 2020, pp. 8-58. </w:t>
      </w:r>
      <w:r>
        <w:t>(</w:t>
      </w:r>
      <w:proofErr w:type="spellStart"/>
      <w:r>
        <w:t>Selection</w:t>
      </w:r>
      <w:proofErr w:type="spellEnd"/>
      <w:r>
        <w:t>: Parts 1-3, pp. 9-37)</w:t>
      </w:r>
    </w:p>
    <w:p w14:paraId="30793A26" w14:textId="2EF7521D" w:rsidR="00B54211" w:rsidRDefault="00B54211" w:rsidP="00846792">
      <w:pPr>
        <w:spacing w:line="240" w:lineRule="auto"/>
        <w:jc w:val="left"/>
      </w:pPr>
      <w:proofErr w:type="spellStart"/>
      <w:r>
        <w:t>Stögner</w:t>
      </w:r>
      <w:proofErr w:type="spellEnd"/>
      <w:r>
        <w:t xml:space="preserve">, Karin. 2021. “Vom Antisemitismus zum Antigenderismus und zurück. Die </w:t>
      </w:r>
      <w:proofErr w:type="spellStart"/>
      <w:r>
        <w:t>Authoritarian</w:t>
      </w:r>
      <w:proofErr w:type="spellEnd"/>
      <w:r>
        <w:t xml:space="preserve"> Personality neu gelesen,” </w:t>
      </w:r>
      <w:proofErr w:type="spellStart"/>
      <w:r>
        <w:t>WestEnd</w:t>
      </w:r>
      <w:proofErr w:type="spellEnd"/>
      <w:r>
        <w:t xml:space="preserve"> 18 (1): 115-126.</w:t>
      </w:r>
    </w:p>
    <w:p w14:paraId="4C1E6903" w14:textId="1453EA01" w:rsidR="00742A1F" w:rsidRDefault="007D1F6B" w:rsidP="00846792">
      <w:pPr>
        <w:spacing w:line="240" w:lineRule="auto"/>
        <w:jc w:val="left"/>
      </w:pPr>
      <w:r>
        <w:t>G</w:t>
      </w:r>
      <w:r w:rsidR="00742A1F">
        <w:t>eorg Simmel, „Zur Philosophie der Herrschaft. Bruchstücke aus einer Soziologie“ (1907) Gesamtausgabe, Bd. 11, S. 142-179</w:t>
      </w:r>
    </w:p>
    <w:p w14:paraId="34AC9DB6" w14:textId="77777777" w:rsidR="007D1F6B" w:rsidRDefault="007D1F6B" w:rsidP="00846792">
      <w:pPr>
        <w:spacing w:line="240" w:lineRule="auto"/>
        <w:jc w:val="left"/>
      </w:pPr>
      <w:r>
        <w:t xml:space="preserve">Foucault, In Verteidigung der Gesellschaft, S. 186-198, 282-311 </w:t>
      </w:r>
    </w:p>
    <w:p w14:paraId="55E681F5" w14:textId="6903CC72" w:rsidR="007D1F6B" w:rsidRDefault="007D1F6B" w:rsidP="00846792">
      <w:pPr>
        <w:spacing w:line="240" w:lineRule="auto"/>
        <w:jc w:val="left"/>
      </w:pPr>
      <w:r>
        <w:t xml:space="preserve">Foucault, Der Wille zum Wissen. Sexualität und Wahrheit 1 </w:t>
      </w:r>
      <w:r w:rsidR="00110988">
        <w:t>(1976), Frankfurt/M. 1977: Suhrkamp, S. 113-119 („Methode“)</w:t>
      </w:r>
    </w:p>
    <w:p w14:paraId="4401E5E1" w14:textId="476CB990" w:rsidR="006820C0" w:rsidRDefault="006820C0" w:rsidP="00846792">
      <w:pPr>
        <w:spacing w:line="240" w:lineRule="auto"/>
        <w:jc w:val="left"/>
        <w:rPr>
          <w:lang w:val="en-US"/>
        </w:rPr>
      </w:pPr>
      <w:r w:rsidRPr="006820C0">
        <w:rPr>
          <w:lang w:val="en-US"/>
        </w:rPr>
        <w:t>Allen, Amy, The Politics of Our Selves: Power, Autonomy, and Gender in Contemporary Critical Theory, New York 2008: Columbia University Press</w:t>
      </w:r>
    </w:p>
    <w:p w14:paraId="1720433F" w14:textId="0D0DD977" w:rsidR="001A19B9" w:rsidRDefault="001A19B9" w:rsidP="00846792">
      <w:pPr>
        <w:spacing w:line="240" w:lineRule="auto"/>
        <w:jc w:val="left"/>
      </w:pPr>
      <w:r>
        <w:t xml:space="preserve">Bourdieu, Pierre, Die verborgenen Mechanismen der Macht. Schriften zu Politik und Kultur 1, </w:t>
      </w:r>
      <w:proofErr w:type="spellStart"/>
      <w:r>
        <w:t>hg</w:t>
      </w:r>
      <w:proofErr w:type="spellEnd"/>
      <w:r>
        <w:t>. von Margareta Steinrücke, Hamburg 1992: VSA</w:t>
      </w:r>
    </w:p>
    <w:p w14:paraId="3513401F" w14:textId="7015218C" w:rsidR="001A19B9" w:rsidRDefault="001A19B9" w:rsidP="00846792">
      <w:pPr>
        <w:spacing w:line="240" w:lineRule="auto"/>
        <w:jc w:val="left"/>
        <w:rPr>
          <w:lang w:val="en-US"/>
        </w:rPr>
      </w:pPr>
      <w:r w:rsidRPr="001A19B9">
        <w:rPr>
          <w:lang w:val="en-US"/>
        </w:rPr>
        <w:t>Clegg, Stewart R./Mark Haugaard (Hg.), Sage Handbook of Power, London 2009: Sage</w:t>
      </w:r>
    </w:p>
    <w:p w14:paraId="073D27D5" w14:textId="3F13C57E" w:rsidR="00F37782" w:rsidRDefault="00F37782" w:rsidP="00846792">
      <w:pPr>
        <w:spacing w:line="240" w:lineRule="auto"/>
        <w:jc w:val="left"/>
      </w:pPr>
      <w:proofErr w:type="spellStart"/>
      <w:r>
        <w:t>Demirović</w:t>
      </w:r>
      <w:proofErr w:type="spellEnd"/>
      <w:r>
        <w:t>, Alex, Demokratie und Herrschaft. Aspekte kritischer Gesellschaftstheorie. Münster 1997: Westfälisches Dampfboot</w:t>
      </w:r>
    </w:p>
    <w:p w14:paraId="5C4DC875" w14:textId="77777777" w:rsidR="0000773E" w:rsidRDefault="0000773E" w:rsidP="00846792">
      <w:pPr>
        <w:spacing w:line="240" w:lineRule="auto"/>
        <w:jc w:val="left"/>
        <w:rPr>
          <w:lang w:val="en-US"/>
        </w:rPr>
      </w:pPr>
      <w:r w:rsidRPr="0000773E">
        <w:rPr>
          <w:lang w:val="en-US"/>
        </w:rPr>
        <w:t xml:space="preserve">Han, Byung-Chul, Was </w:t>
      </w:r>
      <w:proofErr w:type="spellStart"/>
      <w:r w:rsidRPr="0000773E">
        <w:rPr>
          <w:lang w:val="en-US"/>
        </w:rPr>
        <w:t>ist</w:t>
      </w:r>
      <w:proofErr w:type="spellEnd"/>
      <w:r w:rsidRPr="0000773E">
        <w:rPr>
          <w:lang w:val="en-US"/>
        </w:rPr>
        <w:t xml:space="preserve"> </w:t>
      </w:r>
      <w:proofErr w:type="gramStart"/>
      <w:r w:rsidRPr="0000773E">
        <w:rPr>
          <w:lang w:val="en-US"/>
        </w:rPr>
        <w:t>Macht?,</w:t>
      </w:r>
      <w:proofErr w:type="gramEnd"/>
      <w:r w:rsidRPr="0000773E">
        <w:rPr>
          <w:lang w:val="en-US"/>
        </w:rPr>
        <w:t xml:space="preserve"> </w:t>
      </w:r>
      <w:proofErr w:type="spellStart"/>
      <w:r w:rsidRPr="0000773E">
        <w:rPr>
          <w:lang w:val="en-US"/>
        </w:rPr>
        <w:t>Ditzingen</w:t>
      </w:r>
      <w:proofErr w:type="spellEnd"/>
      <w:r w:rsidRPr="0000773E">
        <w:rPr>
          <w:lang w:val="en-US"/>
        </w:rPr>
        <w:t xml:space="preserve"> 2005: </w:t>
      </w:r>
      <w:proofErr w:type="spellStart"/>
      <w:r w:rsidRPr="0000773E">
        <w:rPr>
          <w:lang w:val="en-US"/>
        </w:rPr>
        <w:t>Reclam</w:t>
      </w:r>
      <w:proofErr w:type="spellEnd"/>
      <w:r w:rsidRPr="0000773E">
        <w:rPr>
          <w:lang w:val="en-US"/>
        </w:rPr>
        <w:t xml:space="preserve"> </w:t>
      </w:r>
    </w:p>
    <w:p w14:paraId="1597A193" w14:textId="77777777" w:rsidR="0000773E" w:rsidRDefault="0000773E" w:rsidP="00846792">
      <w:pPr>
        <w:spacing w:line="240" w:lineRule="auto"/>
        <w:jc w:val="left"/>
        <w:rPr>
          <w:lang w:val="en-US"/>
        </w:rPr>
      </w:pPr>
      <w:r w:rsidRPr="0000773E">
        <w:rPr>
          <w:lang w:val="en-US"/>
        </w:rPr>
        <w:t xml:space="preserve">Han, Byung-Chul, </w:t>
      </w:r>
      <w:proofErr w:type="spellStart"/>
      <w:r w:rsidRPr="0000773E">
        <w:rPr>
          <w:lang w:val="en-US"/>
        </w:rPr>
        <w:t>Topologie</w:t>
      </w:r>
      <w:proofErr w:type="spellEnd"/>
      <w:r w:rsidRPr="0000773E">
        <w:rPr>
          <w:lang w:val="en-US"/>
        </w:rPr>
        <w:t xml:space="preserve"> der </w:t>
      </w:r>
      <w:proofErr w:type="spellStart"/>
      <w:r w:rsidRPr="0000773E">
        <w:rPr>
          <w:lang w:val="en-US"/>
        </w:rPr>
        <w:t>Gewalt</w:t>
      </w:r>
      <w:proofErr w:type="spellEnd"/>
      <w:r w:rsidRPr="0000773E">
        <w:rPr>
          <w:lang w:val="en-US"/>
        </w:rPr>
        <w:t xml:space="preserve">, Berlin: 2011: </w:t>
      </w:r>
      <w:proofErr w:type="spellStart"/>
      <w:r w:rsidRPr="0000773E">
        <w:rPr>
          <w:lang w:val="en-US"/>
        </w:rPr>
        <w:t>Matthes</w:t>
      </w:r>
      <w:proofErr w:type="spellEnd"/>
      <w:r w:rsidRPr="0000773E">
        <w:rPr>
          <w:lang w:val="en-US"/>
        </w:rPr>
        <w:t xml:space="preserve"> &amp; Seitz </w:t>
      </w:r>
    </w:p>
    <w:p w14:paraId="24DF3291" w14:textId="77777777" w:rsidR="0000773E" w:rsidRDefault="0000773E" w:rsidP="00846792">
      <w:pPr>
        <w:spacing w:line="240" w:lineRule="auto"/>
        <w:jc w:val="left"/>
        <w:rPr>
          <w:lang w:val="en-US"/>
        </w:rPr>
      </w:pPr>
      <w:r w:rsidRPr="0000773E">
        <w:rPr>
          <w:lang w:val="en-US"/>
        </w:rPr>
        <w:t xml:space="preserve">Haugaard, Mark, The Constitution of Power: A Theoretical Analysis of Power, Knowledge and Structure, Manchester 1997: Manchester University Press </w:t>
      </w:r>
    </w:p>
    <w:p w14:paraId="613FF07E" w14:textId="751E4237" w:rsidR="00A7204D" w:rsidRDefault="0000773E" w:rsidP="00846792">
      <w:pPr>
        <w:spacing w:line="240" w:lineRule="auto"/>
        <w:jc w:val="left"/>
        <w:rPr>
          <w:lang w:val="en-US"/>
        </w:rPr>
      </w:pPr>
      <w:r w:rsidRPr="0000773E">
        <w:rPr>
          <w:lang w:val="en-US"/>
        </w:rPr>
        <w:t>Hayward, Clarissa Rile, De-Facing Power, Cambridge 2000: Cambridge University Press</w:t>
      </w:r>
    </w:p>
    <w:p w14:paraId="4AA87C1C" w14:textId="519F1D5C" w:rsidR="00656F08" w:rsidRDefault="00656F08" w:rsidP="00846792">
      <w:pPr>
        <w:spacing w:line="240" w:lineRule="auto"/>
        <w:jc w:val="left"/>
      </w:pPr>
      <w:r>
        <w:t>Honneth, Axel, Kritik der Macht. Reflexionsstufen einer kritischen Gesellschaftstheorie, Frankfurt/M. 1985: Suhrkamp</w:t>
      </w:r>
    </w:p>
    <w:p w14:paraId="79626A41" w14:textId="77777777" w:rsidR="008571A1" w:rsidRDefault="008571A1" w:rsidP="00846792">
      <w:pPr>
        <w:spacing w:line="240" w:lineRule="auto"/>
        <w:jc w:val="left"/>
      </w:pPr>
      <w:r>
        <w:t xml:space="preserve">Paris, Rainer, Normale Macht. Soziologische Essays, Konstanz 2005: UVK </w:t>
      </w:r>
    </w:p>
    <w:p w14:paraId="423E24AA" w14:textId="1482CF96" w:rsidR="008571A1" w:rsidRPr="00656F08" w:rsidRDefault="008571A1" w:rsidP="00846792">
      <w:pPr>
        <w:spacing w:line="240" w:lineRule="auto"/>
        <w:jc w:val="left"/>
      </w:pPr>
      <w:r>
        <w:t>Popitz, Heinrich, Phänomene der Macht, Tübingen 1992: Mohr</w:t>
      </w:r>
    </w:p>
    <w:p w14:paraId="694A3B19" w14:textId="77777777" w:rsidR="00B847FF" w:rsidRPr="00656F08" w:rsidRDefault="00B847FF" w:rsidP="00846792">
      <w:pPr>
        <w:spacing w:line="240" w:lineRule="auto"/>
        <w:jc w:val="left"/>
        <w:rPr>
          <w:rFonts w:cs="Arial"/>
          <w:sz w:val="20"/>
          <w:szCs w:val="20"/>
        </w:rPr>
      </w:pPr>
    </w:p>
    <w:sectPr w:rsidR="00B847FF" w:rsidRPr="00656F08" w:rsidSect="00204BFA">
      <w:headerReference w:type="default" r:id="rId11"/>
      <w:footerReference w:type="default" r:id="rId12"/>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elie Veenema" w:date="2023-10-19T15:15:00Z" w:initials="AV">
    <w:p w14:paraId="68463A52" w14:textId="77777777" w:rsidR="0001009D" w:rsidRDefault="0001009D" w:rsidP="00AC6298">
      <w:pPr>
        <w:pStyle w:val="Kommentartext"/>
        <w:jc w:val="left"/>
      </w:pPr>
      <w:r>
        <w:rPr>
          <w:rStyle w:val="Kommentarzeichen"/>
        </w:rPr>
        <w:annotationRef/>
      </w:r>
      <w:r>
        <w:t>Digital nicht verfügbar, evtl. erst Auszug aussuchen bevor es gescannt wird?</w:t>
      </w:r>
    </w:p>
  </w:comment>
  <w:comment w:id="1" w:author="Amelie Veenema" w:date="2023-10-19T16:17:00Z" w:initials="AV">
    <w:p w14:paraId="69384390" w14:textId="77777777" w:rsidR="0001009D" w:rsidRDefault="0001009D">
      <w:pPr>
        <w:pStyle w:val="Kommentartext"/>
        <w:jc w:val="left"/>
      </w:pPr>
      <w:r>
        <w:rPr>
          <w:rStyle w:val="Kommentarzeichen"/>
        </w:rPr>
        <w:annotationRef/>
      </w:r>
      <w:r>
        <w:t xml:space="preserve">27. Aufl. der deutschen Erstausgabe (2019): </w:t>
      </w:r>
    </w:p>
    <w:p w14:paraId="2E84DB1B" w14:textId="77777777" w:rsidR="0001009D" w:rsidRDefault="0001009D">
      <w:pPr>
        <w:pStyle w:val="Kommentartext"/>
        <w:jc w:val="left"/>
      </w:pPr>
    </w:p>
    <w:p w14:paraId="39D674F3" w14:textId="77777777" w:rsidR="0001009D" w:rsidRDefault="0001009D">
      <w:pPr>
        <w:pStyle w:val="Kommentartext"/>
        <w:jc w:val="left"/>
      </w:pPr>
      <w:r>
        <w:rPr>
          <w:color w:val="3A3A3A"/>
          <w:highlight w:val="white"/>
        </w:rPr>
        <w:t>Universitätsbibliothek</w:t>
      </w:r>
    </w:p>
    <w:p w14:paraId="73515575" w14:textId="77777777" w:rsidR="0001009D" w:rsidRDefault="0001009D" w:rsidP="00DC5B4C">
      <w:pPr>
        <w:pStyle w:val="Kommentartext"/>
        <w:jc w:val="left"/>
      </w:pPr>
      <w:r>
        <w:rPr>
          <w:color w:val="0F7D00"/>
          <w:highlight w:val="white"/>
        </w:rPr>
        <w:t>Verfügbar</w:t>
      </w:r>
      <w:r>
        <w:rPr>
          <w:color w:val="3A3A3A"/>
          <w:highlight w:val="white"/>
        </w:rPr>
        <w:t> , Geschoss 1 / Bereich 3 ; DAA12471:27</w:t>
      </w:r>
    </w:p>
  </w:comment>
  <w:comment w:id="2" w:author="Amelie Veenema" w:date="2023-10-19T16:49:00Z" w:initials="AV">
    <w:p w14:paraId="124858C7" w14:textId="77777777" w:rsidR="0001009D" w:rsidRDefault="0001009D">
      <w:pPr>
        <w:pStyle w:val="Kommentartext"/>
        <w:jc w:val="left"/>
      </w:pPr>
      <w:r>
        <w:rPr>
          <w:rStyle w:val="Kommentarzeichen"/>
        </w:rPr>
        <w:annotationRef/>
      </w:r>
      <w:r>
        <w:t xml:space="preserve">Liegt nicht als Scan vor, Aufl. von 1964: </w:t>
      </w:r>
      <w:r>
        <w:rPr>
          <w:color w:val="3A3A3A"/>
          <w:highlight w:val="white"/>
        </w:rPr>
        <w:t>Universitätsbibliothek</w:t>
      </w:r>
    </w:p>
    <w:p w14:paraId="7C8273BA" w14:textId="77777777" w:rsidR="0001009D" w:rsidRDefault="0001009D" w:rsidP="00296127">
      <w:pPr>
        <w:pStyle w:val="Kommentartext"/>
        <w:jc w:val="left"/>
      </w:pPr>
      <w:r>
        <w:rPr>
          <w:color w:val="6C6161"/>
          <w:highlight w:val="white"/>
        </w:rPr>
        <w:t>Nicht verfügbar</w:t>
      </w:r>
      <w:r>
        <w:rPr>
          <w:color w:val="3A3A3A"/>
          <w:highlight w:val="white"/>
        </w:rPr>
        <w:t> , Geschoss 1 / Bereich 3 ; DAB1719</w:t>
      </w:r>
    </w:p>
  </w:comment>
  <w:comment w:id="3" w:author="Amelie Veenema" w:date="2023-10-19T16:03:00Z" w:initials="AV">
    <w:p w14:paraId="339E9192" w14:textId="77777777" w:rsidR="0001009D" w:rsidRDefault="0001009D" w:rsidP="00332D9F">
      <w:pPr>
        <w:pStyle w:val="Kommentartext"/>
        <w:jc w:val="left"/>
      </w:pPr>
      <w:r>
        <w:rPr>
          <w:rStyle w:val="Kommentarzeichen"/>
        </w:rPr>
        <w:annotationRef/>
      </w:r>
      <w:r>
        <w:t>Liegt noch nicht als Scan vor, evtl. erst Auszug aussuchen? Z. B. Kapitel "Die verborgenen Mechanismen der Macht enthüllen" (81-86)?</w:t>
      </w:r>
    </w:p>
  </w:comment>
  <w:comment w:id="4" w:author="Amelie Veenema" w:date="2023-10-19T16:14:00Z" w:initials="AV">
    <w:p w14:paraId="65435033" w14:textId="77777777" w:rsidR="0001009D" w:rsidRDefault="0001009D">
      <w:pPr>
        <w:pStyle w:val="Kommentartext"/>
        <w:jc w:val="left"/>
      </w:pPr>
      <w:r>
        <w:rPr>
          <w:rStyle w:val="Kommentarzeichen"/>
        </w:rPr>
        <w:annotationRef/>
      </w:r>
      <w:r>
        <w:rPr>
          <w:color w:val="3A3A3A"/>
          <w:highlight w:val="white"/>
        </w:rPr>
        <w:t>Universitätsbibliothek</w:t>
      </w:r>
    </w:p>
    <w:p w14:paraId="62689D46" w14:textId="77777777" w:rsidR="0001009D" w:rsidRDefault="0001009D">
      <w:pPr>
        <w:pStyle w:val="Kommentartext"/>
        <w:jc w:val="left"/>
      </w:pPr>
      <w:r>
        <w:rPr>
          <w:color w:val="0F7D00"/>
          <w:highlight w:val="white"/>
        </w:rPr>
        <w:t>Verfügbar</w:t>
      </w:r>
      <w:r>
        <w:rPr>
          <w:color w:val="3A3A3A"/>
          <w:highlight w:val="white"/>
        </w:rPr>
        <w:t> , Geschoss 1 / Bereich 3 ; CRA5276+1-1</w:t>
      </w:r>
    </w:p>
    <w:p w14:paraId="62668415" w14:textId="77777777" w:rsidR="0001009D" w:rsidRDefault="0001009D">
      <w:pPr>
        <w:pStyle w:val="Kommentartext"/>
        <w:jc w:val="left"/>
      </w:pPr>
    </w:p>
    <w:p w14:paraId="11E60AEC" w14:textId="77777777" w:rsidR="0001009D" w:rsidRDefault="0001009D">
      <w:pPr>
        <w:pStyle w:val="Kommentartext"/>
        <w:jc w:val="left"/>
      </w:pPr>
      <w:r>
        <w:rPr>
          <w:color w:val="3A3A3A"/>
          <w:highlight w:val="white"/>
        </w:rPr>
        <w:t>Sozialwissenschaft (GD 04/220)</w:t>
      </w:r>
    </w:p>
    <w:p w14:paraId="413DCBC9" w14:textId="77777777" w:rsidR="0001009D" w:rsidRDefault="0001009D" w:rsidP="0015693B">
      <w:pPr>
        <w:pStyle w:val="Kommentartext"/>
        <w:jc w:val="left"/>
      </w:pPr>
      <w:r>
        <w:rPr>
          <w:color w:val="0F7D00"/>
          <w:highlight w:val="white"/>
        </w:rPr>
        <w:t>Verfügbar</w:t>
      </w:r>
      <w:r>
        <w:rPr>
          <w:color w:val="3A3A3A"/>
          <w:highlight w:val="white"/>
        </w:rPr>
        <w:t> , Bibliothek ; E-1222.1</w:t>
      </w:r>
    </w:p>
  </w:comment>
  <w:comment w:id="5" w:author="Amelie Veenema" w:date="2023-10-19T16:13:00Z" w:initials="AV">
    <w:p w14:paraId="7ABFC5DE" w14:textId="77777777" w:rsidR="0001009D" w:rsidRDefault="0001009D">
      <w:pPr>
        <w:pStyle w:val="Kommentartext"/>
        <w:jc w:val="left"/>
      </w:pPr>
      <w:r>
        <w:rPr>
          <w:rStyle w:val="Kommentarzeichen"/>
        </w:rPr>
        <w:annotationRef/>
      </w:r>
      <w:r>
        <w:t xml:space="preserve">Liegt noch nicht als Scan vor, evtl. erst Auszug aussuchen? </w:t>
      </w:r>
    </w:p>
    <w:p w14:paraId="2A16CC69" w14:textId="77777777" w:rsidR="0001009D" w:rsidRDefault="0001009D">
      <w:pPr>
        <w:pStyle w:val="Kommentartext"/>
        <w:jc w:val="left"/>
      </w:pPr>
    </w:p>
    <w:p w14:paraId="47ACAE3D" w14:textId="77777777" w:rsidR="0001009D" w:rsidRDefault="0001009D">
      <w:pPr>
        <w:pStyle w:val="Kommentartext"/>
        <w:jc w:val="left"/>
      </w:pPr>
      <w:r>
        <w:rPr>
          <w:color w:val="3A3A3A"/>
          <w:highlight w:val="white"/>
        </w:rPr>
        <w:t>Sozialwissenschaft (GD 04/220)</w:t>
      </w:r>
    </w:p>
    <w:p w14:paraId="46A528AF" w14:textId="77777777" w:rsidR="0001009D" w:rsidRDefault="0001009D" w:rsidP="00302672">
      <w:pPr>
        <w:pStyle w:val="Kommentartext"/>
        <w:jc w:val="left"/>
      </w:pPr>
      <w:r>
        <w:rPr>
          <w:color w:val="0F7D00"/>
          <w:highlight w:val="white"/>
        </w:rPr>
        <w:t>Verfügbar</w:t>
      </w:r>
      <w:r>
        <w:rPr>
          <w:color w:val="3A3A3A"/>
          <w:highlight w:val="white"/>
        </w:rPr>
        <w:t> , Bibliothek ; E2-1294.77</w:t>
      </w:r>
    </w:p>
  </w:comment>
  <w:comment w:id="6" w:author="Amelie Veenema" w:date="2023-10-19T15:59:00Z" w:initials="AV">
    <w:p w14:paraId="4916A933" w14:textId="77777777" w:rsidR="0001009D" w:rsidRDefault="0001009D" w:rsidP="008F1214">
      <w:pPr>
        <w:pStyle w:val="Kommentartext"/>
        <w:jc w:val="left"/>
      </w:pPr>
      <w:r>
        <w:rPr>
          <w:rStyle w:val="Kommentarzeichen"/>
        </w:rPr>
        <w:annotationRef/>
      </w:r>
      <w:r>
        <w:t>Liegt nicht als Scan vor, evtl. erst Auszug aussuchen?</w:t>
      </w:r>
    </w:p>
  </w:comment>
  <w:comment w:id="7" w:author="Amelie Veenema" w:date="2023-10-19T16:16:00Z" w:initials="AV">
    <w:p w14:paraId="0565EB63" w14:textId="77777777" w:rsidR="0001009D" w:rsidRDefault="0001009D">
      <w:pPr>
        <w:pStyle w:val="Kommentartext"/>
        <w:jc w:val="left"/>
      </w:pPr>
      <w:r>
        <w:rPr>
          <w:rStyle w:val="Kommentarzeichen"/>
        </w:rPr>
        <w:annotationRef/>
      </w:r>
      <w:r>
        <w:rPr>
          <w:color w:val="3A3A3A"/>
          <w:highlight w:val="white"/>
        </w:rPr>
        <w:t>Universitätsbibliothek</w:t>
      </w:r>
    </w:p>
    <w:p w14:paraId="3203F0FC" w14:textId="77777777" w:rsidR="0001009D" w:rsidRDefault="0001009D">
      <w:pPr>
        <w:pStyle w:val="Kommentartext"/>
        <w:jc w:val="left"/>
      </w:pPr>
      <w:r>
        <w:rPr>
          <w:color w:val="0F7D00"/>
          <w:highlight w:val="white"/>
        </w:rPr>
        <w:t>Verfügbar</w:t>
      </w:r>
      <w:r>
        <w:rPr>
          <w:color w:val="3A3A3A"/>
          <w:highlight w:val="white"/>
        </w:rPr>
        <w:t> , Geschoss 1 / Bereich 3 ; CZA5074</w:t>
      </w:r>
    </w:p>
    <w:p w14:paraId="5C40B9FA" w14:textId="77777777" w:rsidR="0001009D" w:rsidRDefault="0001009D">
      <w:pPr>
        <w:pStyle w:val="Kommentartext"/>
        <w:jc w:val="left"/>
      </w:pPr>
    </w:p>
    <w:p w14:paraId="3A2BA222" w14:textId="77777777" w:rsidR="0001009D" w:rsidRDefault="0001009D">
      <w:pPr>
        <w:pStyle w:val="Kommentartext"/>
        <w:jc w:val="left"/>
      </w:pPr>
      <w:r>
        <w:t xml:space="preserve">3. Aufl. auch in SoWi Bib: </w:t>
      </w:r>
    </w:p>
    <w:p w14:paraId="36F7C4EC" w14:textId="77777777" w:rsidR="0001009D" w:rsidRDefault="0001009D">
      <w:pPr>
        <w:pStyle w:val="Kommentartext"/>
        <w:jc w:val="left"/>
      </w:pPr>
      <w:r>
        <w:rPr>
          <w:color w:val="3A3A3A"/>
          <w:highlight w:val="white"/>
        </w:rPr>
        <w:t>Sozialwissenschaft (GD 04/220)</w:t>
      </w:r>
    </w:p>
    <w:p w14:paraId="5A4A7204" w14:textId="77777777" w:rsidR="0001009D" w:rsidRDefault="0001009D" w:rsidP="006B1A5E">
      <w:pPr>
        <w:pStyle w:val="Kommentartext"/>
        <w:jc w:val="left"/>
      </w:pPr>
      <w:r>
        <w:rPr>
          <w:color w:val="0F7D00"/>
          <w:highlight w:val="white"/>
        </w:rPr>
        <w:t>Verfügbar</w:t>
      </w:r>
      <w:r>
        <w:rPr>
          <w:color w:val="3A3A3A"/>
          <w:highlight w:val="white"/>
        </w:rPr>
        <w:t> , Bibliothek ; E-1164.1</w:t>
      </w:r>
    </w:p>
  </w:comment>
  <w:comment w:id="8" w:author="Amelie Veenema" w:date="2023-10-19T15:05:00Z" w:initials="AV">
    <w:p w14:paraId="7504ECF3" w14:textId="77777777" w:rsidR="0001009D" w:rsidRDefault="0001009D" w:rsidP="007F2E7D">
      <w:pPr>
        <w:pStyle w:val="Kommentartext"/>
        <w:jc w:val="left"/>
      </w:pPr>
      <w:r>
        <w:rPr>
          <w:rStyle w:val="Kommentarzeichen"/>
        </w:rPr>
        <w:annotationRef/>
      </w:r>
      <w:r>
        <w:t>Scan aus anderem Seminar, daher Titelei nicht vollständig; evtl. auch andere Textstellen aus dem Werk geeignet</w:t>
      </w:r>
    </w:p>
  </w:comment>
  <w:comment w:id="9" w:author="Amelie Veenema" w:date="2023-10-19T16:18:00Z" w:initials="AV">
    <w:p w14:paraId="59031CE3" w14:textId="77777777" w:rsidR="0001009D" w:rsidRDefault="0001009D">
      <w:pPr>
        <w:pStyle w:val="Kommentartext"/>
        <w:jc w:val="left"/>
      </w:pPr>
      <w:r>
        <w:rPr>
          <w:rStyle w:val="Kommentarzeichen"/>
        </w:rPr>
        <w:annotationRef/>
      </w:r>
      <w:r>
        <w:rPr>
          <w:color w:val="3A3A3A"/>
          <w:highlight w:val="white"/>
        </w:rPr>
        <w:t>Erziehungswissenschaft (GA 1-2)</w:t>
      </w:r>
    </w:p>
    <w:p w14:paraId="67781EFB" w14:textId="77777777" w:rsidR="0001009D" w:rsidRDefault="0001009D" w:rsidP="00061A07">
      <w:pPr>
        <w:pStyle w:val="Kommentartext"/>
        <w:jc w:val="left"/>
      </w:pPr>
      <w:r>
        <w:rPr>
          <w:color w:val="0F7D00"/>
          <w:highlight w:val="white"/>
        </w:rPr>
        <w:t>Verfügbar</w:t>
      </w:r>
      <w:r>
        <w:rPr>
          <w:color w:val="3A3A3A"/>
          <w:highlight w:val="white"/>
        </w:rPr>
        <w:t> , Bibliothek ; Bf 4280</w:t>
      </w:r>
    </w:p>
  </w:comment>
  <w:comment w:id="10" w:author="Amelie Veenema" w:date="2023-10-16T15:46:00Z" w:initials="AV">
    <w:p w14:paraId="4ADFAFA5" w14:textId="77777777" w:rsidR="00027BA1" w:rsidRDefault="00027BA1" w:rsidP="00DF399C">
      <w:pPr>
        <w:pStyle w:val="Kommentartext"/>
        <w:jc w:val="left"/>
      </w:pPr>
      <w:r>
        <w:rPr>
          <w:rStyle w:val="Kommentarzeichen"/>
        </w:rPr>
        <w:annotationRef/>
      </w:r>
      <w:r>
        <w:t>Guter Überblickstext zur Entstehung des Interesses der Soziologie an der Macht sowie zu  verschiedenen (klassischen) theoretischen und empirischen Ansätzen und Definitionen von Macht</w:t>
      </w:r>
    </w:p>
  </w:comment>
  <w:comment w:id="11" w:author="Amelie Veenema" w:date="2023-10-12T17:29:00Z" w:initials="AV">
    <w:p w14:paraId="2B06D096" w14:textId="77777777" w:rsidR="00DD067E" w:rsidRDefault="00DD067E" w:rsidP="00A50E7F">
      <w:pPr>
        <w:pStyle w:val="Kommentartext"/>
        <w:jc w:val="left"/>
      </w:pPr>
      <w:r>
        <w:rPr>
          <w:rStyle w:val="Kommentarzeichen"/>
        </w:rPr>
        <w:annotationRef/>
      </w:r>
      <w:r>
        <w:t>Literaturverzeichnis fehlt noch, da Scan aus anderem Seminar</w:t>
      </w:r>
    </w:p>
  </w:comment>
  <w:comment w:id="12" w:author="Amelie Veenema" w:date="2023-10-16T15:03:00Z" w:initials="AV">
    <w:p w14:paraId="33D98EE3" w14:textId="77777777" w:rsidR="00DD067E" w:rsidRDefault="00DD067E" w:rsidP="00CB3D90">
      <w:pPr>
        <w:pStyle w:val="Kommentartext"/>
        <w:jc w:val="left"/>
      </w:pPr>
      <w:r>
        <w:rPr>
          <w:rStyle w:val="Kommentarzeichen"/>
        </w:rPr>
        <w:annotationRef/>
      </w:r>
      <w:r>
        <w:t>Sehr kurzer Beitrag (3 Seiten), für schnellen Überblick</w:t>
      </w:r>
    </w:p>
  </w:comment>
  <w:comment w:id="13" w:author="Amelie Veenema" w:date="2023-10-16T14:18:00Z" w:initials="AV">
    <w:p w14:paraId="07B308B0" w14:textId="77777777" w:rsidR="00BB55FA" w:rsidRDefault="00BB55FA" w:rsidP="00CA551D">
      <w:pPr>
        <w:pStyle w:val="Kommentartext"/>
        <w:jc w:val="left"/>
      </w:pPr>
      <w:r>
        <w:rPr>
          <w:rStyle w:val="Kommentarzeichen"/>
        </w:rPr>
        <w:annotationRef/>
      </w:r>
      <w:r>
        <w:t>Unklar, ob nicht sogar nur bei einem der beiden Konzepte einzuordnen!</w:t>
      </w:r>
    </w:p>
  </w:comment>
  <w:comment w:id="14" w:author="Amelie Veenema" w:date="2023-10-19T14:58:00Z" w:initials="AV">
    <w:p w14:paraId="64D48C8E" w14:textId="77777777" w:rsidR="00DD067E" w:rsidRDefault="00DD067E">
      <w:pPr>
        <w:pStyle w:val="Kommentartext"/>
        <w:jc w:val="left"/>
      </w:pPr>
      <w:r>
        <w:rPr>
          <w:rStyle w:val="Kommentarzeichen"/>
        </w:rPr>
        <w:annotationRef/>
      </w:r>
      <w:r>
        <w:t>Scan aus anderem Seminar, daher fehlt Inhaltsverzeichnis</w:t>
      </w:r>
    </w:p>
    <w:p w14:paraId="49210644" w14:textId="77777777" w:rsidR="00DD067E" w:rsidRDefault="00DD067E">
      <w:pPr>
        <w:pStyle w:val="Kommentartext"/>
        <w:jc w:val="left"/>
      </w:pPr>
    </w:p>
    <w:p w14:paraId="12FA4103" w14:textId="77777777" w:rsidR="00DD067E" w:rsidRDefault="00DD067E">
      <w:pPr>
        <w:pStyle w:val="Kommentartext"/>
        <w:jc w:val="left"/>
      </w:pPr>
      <w:r>
        <w:t xml:space="preserve">5. rev. Aufl. (2002): </w:t>
      </w:r>
    </w:p>
    <w:p w14:paraId="259CCF8E" w14:textId="77777777" w:rsidR="00DD067E" w:rsidRDefault="00DD067E">
      <w:pPr>
        <w:pStyle w:val="Kommentartext"/>
        <w:jc w:val="left"/>
      </w:pPr>
      <w:r>
        <w:rPr>
          <w:color w:val="3A3A3A"/>
          <w:highlight w:val="white"/>
        </w:rPr>
        <w:t>Universitätsbibliothek</w:t>
      </w:r>
    </w:p>
    <w:p w14:paraId="0BD34EA9" w14:textId="77777777" w:rsidR="00DD067E" w:rsidRDefault="00DD067E">
      <w:pPr>
        <w:pStyle w:val="Kommentartext"/>
        <w:jc w:val="left"/>
      </w:pPr>
      <w:r>
        <w:rPr>
          <w:color w:val="0F7D00"/>
          <w:highlight w:val="white"/>
        </w:rPr>
        <w:t>Verfügbar</w:t>
      </w:r>
      <w:r>
        <w:rPr>
          <w:color w:val="3A3A3A"/>
          <w:highlight w:val="white"/>
        </w:rPr>
        <w:t> , Geschoss 1 / Bereich 3 ; CXB6603+1:5</w:t>
      </w:r>
    </w:p>
    <w:p w14:paraId="447D553A" w14:textId="77777777" w:rsidR="00DD067E" w:rsidRDefault="00DD067E">
      <w:pPr>
        <w:pStyle w:val="Kommentartext"/>
        <w:jc w:val="left"/>
      </w:pPr>
      <w:r>
        <w:rPr>
          <w:color w:val="3A3A3A"/>
          <w:highlight w:val="white"/>
        </w:rPr>
        <w:t>Sozialwissenschaft (GD 04/220)</w:t>
      </w:r>
    </w:p>
    <w:p w14:paraId="173B75E1" w14:textId="77777777" w:rsidR="00DD067E" w:rsidRDefault="00DD067E" w:rsidP="00A47CAE">
      <w:pPr>
        <w:pStyle w:val="Kommentartext"/>
        <w:jc w:val="left"/>
      </w:pPr>
      <w:r>
        <w:rPr>
          <w:color w:val="0F7D00"/>
          <w:highlight w:val="white"/>
        </w:rPr>
        <w:t>Verfügbar</w:t>
      </w:r>
      <w:r>
        <w:rPr>
          <w:color w:val="3A3A3A"/>
          <w:highlight w:val="white"/>
        </w:rPr>
        <w:t> , Bibliothek ; E-152.1c</w:t>
      </w:r>
    </w:p>
  </w:comment>
  <w:comment w:id="15" w:author="Amelie Veenema" w:date="2023-10-19T14:48:00Z" w:initials="AV">
    <w:p w14:paraId="5F25EA1D" w14:textId="77777777" w:rsidR="00DD067E" w:rsidRDefault="00DD067E" w:rsidP="001E6AFA">
      <w:pPr>
        <w:pStyle w:val="Kommentartext"/>
        <w:jc w:val="left"/>
      </w:pPr>
      <w:r>
        <w:rPr>
          <w:rStyle w:val="Kommentarzeichen"/>
        </w:rPr>
        <w:annotationRef/>
      </w:r>
      <w:r>
        <w:t>Scan aus anderem Seminar, daher fehlt Inhaltsverzeichnis</w:t>
      </w:r>
    </w:p>
  </w:comment>
  <w:comment w:id="16" w:author="Amelie Veenema" w:date="2023-10-19T16:20:00Z" w:initials="AV">
    <w:p w14:paraId="4C934F46" w14:textId="77777777" w:rsidR="00DD067E" w:rsidRDefault="00DD067E">
      <w:pPr>
        <w:pStyle w:val="Kommentartext"/>
        <w:jc w:val="left"/>
      </w:pPr>
      <w:r>
        <w:rPr>
          <w:rStyle w:val="Kommentarzeichen"/>
        </w:rPr>
        <w:annotationRef/>
      </w:r>
      <w:r>
        <w:rPr>
          <w:color w:val="3A3A3A"/>
          <w:highlight w:val="white"/>
        </w:rPr>
        <w:t>Erziehungswissenschaft (GA 1-2)</w:t>
      </w:r>
    </w:p>
    <w:p w14:paraId="4A550A1E" w14:textId="77777777" w:rsidR="00DD067E" w:rsidRDefault="00DD067E" w:rsidP="005379F9">
      <w:pPr>
        <w:pStyle w:val="Kommentartext"/>
        <w:jc w:val="left"/>
      </w:pPr>
      <w:r>
        <w:rPr>
          <w:color w:val="0F7D00"/>
          <w:highlight w:val="white"/>
        </w:rPr>
        <w:t>Verfügbar</w:t>
      </w:r>
      <w:r>
        <w:rPr>
          <w:color w:val="3A3A3A"/>
          <w:highlight w:val="white"/>
        </w:rPr>
        <w:t> , Bibliothek ; Bi 64</w:t>
      </w:r>
    </w:p>
  </w:comment>
  <w:comment w:id="17" w:author="Amelie Veenema" w:date="2023-10-19T16:54:00Z" w:initials="AV">
    <w:p w14:paraId="0B1B8BB0" w14:textId="77777777" w:rsidR="00C17DD4" w:rsidRDefault="00C17DD4" w:rsidP="00C651E7">
      <w:pPr>
        <w:pStyle w:val="Kommentartext"/>
        <w:jc w:val="left"/>
      </w:pPr>
      <w:r>
        <w:rPr>
          <w:rStyle w:val="Kommentarzeichen"/>
        </w:rPr>
        <w:annotationRef/>
      </w:r>
      <w:r>
        <w:t xml:space="preserve">Weder online noch in UB verfügbar, liegt bei ausZeiten Archiv anscheinend vor: </w:t>
      </w:r>
      <w:hyperlink r:id="rId1" w:history="1">
        <w:r w:rsidRPr="00C651E7">
          <w:rPr>
            <w:rStyle w:val="Hyperlink"/>
          </w:rPr>
          <w:t>https://www.meta-katalog.eu/Record/14744auszeiten</w:t>
        </w:r>
      </w:hyperlink>
    </w:p>
  </w:comment>
  <w:comment w:id="18" w:author="Amelie Veenema" w:date="2023-10-19T15:15:00Z" w:initials="AV">
    <w:p w14:paraId="22EF1400" w14:textId="4836F13D" w:rsidR="00F122E4" w:rsidRDefault="00F122E4" w:rsidP="003B4BA4">
      <w:pPr>
        <w:pStyle w:val="Kommentartext"/>
        <w:jc w:val="left"/>
      </w:pPr>
      <w:r>
        <w:rPr>
          <w:rStyle w:val="Kommentarzeichen"/>
        </w:rPr>
        <w:annotationRef/>
      </w:r>
      <w:r>
        <w:t>Scan aus anderem Seminar, daher Titelei nicht vollständig; evtl. auch andere Textstellen aus dem Werk geeignet</w:t>
      </w:r>
    </w:p>
  </w:comment>
  <w:comment w:id="19" w:author="Amelie Veenema" w:date="2023-10-19T16:09:00Z" w:initials="AV">
    <w:p w14:paraId="0EAA5B55" w14:textId="77777777" w:rsidR="00F122E4" w:rsidRDefault="00F122E4">
      <w:pPr>
        <w:pStyle w:val="Kommentartext"/>
        <w:jc w:val="left"/>
      </w:pPr>
      <w:r>
        <w:rPr>
          <w:rStyle w:val="Kommentarzeichen"/>
        </w:rPr>
        <w:annotationRef/>
      </w:r>
      <w:r>
        <w:t xml:space="preserve">Liegt nicht als Scan vor, Inhaltsverzeichnis z. B. über amazon: </w:t>
      </w:r>
      <w:hyperlink r:id="rId2" w:history="1">
        <w:r w:rsidRPr="00E82BA2">
          <w:rPr>
            <w:rStyle w:val="Hyperlink"/>
          </w:rPr>
          <w:t>https://www.amazon.de/Gewalt-Verh%C3%A4ltnisse-Feministische-Perspektiven-Geschlecht-Geschlechterverh%C3%A4ltnisse/dp/3593371162?asin=3593371162&amp;revisionId=&amp;format=4&amp;depth=1</w:t>
        </w:r>
      </w:hyperlink>
    </w:p>
    <w:p w14:paraId="387E97A2" w14:textId="77777777" w:rsidR="00F122E4" w:rsidRDefault="00F122E4">
      <w:pPr>
        <w:pStyle w:val="Kommentartext"/>
        <w:jc w:val="left"/>
      </w:pPr>
    </w:p>
    <w:p w14:paraId="6D71C6A9" w14:textId="77777777" w:rsidR="00F122E4" w:rsidRDefault="00F122E4" w:rsidP="00E82BA2">
      <w:pPr>
        <w:pStyle w:val="Kommentartext"/>
        <w:jc w:val="left"/>
      </w:pPr>
      <w:r>
        <w:t>Mir scheinen einige Kapitel passend!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63A52" w15:done="0"/>
  <w15:commentEx w15:paraId="73515575" w15:paraIdParent="68463A52" w15:done="0"/>
  <w15:commentEx w15:paraId="7C8273BA" w15:done="0"/>
  <w15:commentEx w15:paraId="339E9192" w15:done="0"/>
  <w15:commentEx w15:paraId="413DCBC9" w15:paraIdParent="339E9192" w15:done="0"/>
  <w15:commentEx w15:paraId="46A528AF" w15:done="0"/>
  <w15:commentEx w15:paraId="4916A933" w15:done="0"/>
  <w15:commentEx w15:paraId="5A4A7204" w15:paraIdParent="4916A933" w15:done="0"/>
  <w15:commentEx w15:paraId="7504ECF3" w15:done="0"/>
  <w15:commentEx w15:paraId="67781EFB" w15:paraIdParent="7504ECF3" w15:done="0"/>
  <w15:commentEx w15:paraId="4ADFAFA5" w15:done="0"/>
  <w15:commentEx w15:paraId="2B06D096" w15:done="0"/>
  <w15:commentEx w15:paraId="33D98EE3" w15:done="0"/>
  <w15:commentEx w15:paraId="07B308B0" w15:done="0"/>
  <w15:commentEx w15:paraId="173B75E1" w15:done="0"/>
  <w15:commentEx w15:paraId="5F25EA1D" w15:done="0"/>
  <w15:commentEx w15:paraId="4A550A1E" w15:paraIdParent="5F25EA1D" w15:done="0"/>
  <w15:commentEx w15:paraId="0B1B8BB0" w15:done="0"/>
  <w15:commentEx w15:paraId="22EF1400" w15:done="0"/>
  <w15:commentEx w15:paraId="6D71C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612F5D" w16cex:dateUtc="2023-10-19T13:15:00Z"/>
  <w16cex:commentExtensible w16cex:durableId="13BB1C90" w16cex:dateUtc="2023-10-19T14:17:00Z"/>
  <w16cex:commentExtensible w16cex:durableId="4A81136D" w16cex:dateUtc="2023-10-19T14:49:00Z"/>
  <w16cex:commentExtensible w16cex:durableId="75301132" w16cex:dateUtc="2023-10-19T14:03:00Z"/>
  <w16cex:commentExtensible w16cex:durableId="2E5A8B51" w16cex:dateUtc="2023-10-19T14:14:00Z"/>
  <w16cex:commentExtensible w16cex:durableId="69EF0266" w16cex:dateUtc="2023-10-19T14:13:00Z"/>
  <w16cex:commentExtensible w16cex:durableId="2E520D0C" w16cex:dateUtc="2023-10-19T13:59:00Z"/>
  <w16cex:commentExtensible w16cex:durableId="5B3EC61D" w16cex:dateUtc="2023-10-19T14:16:00Z"/>
  <w16cex:commentExtensible w16cex:durableId="65209E28" w16cex:dateUtc="2023-10-19T13:05:00Z"/>
  <w16cex:commentExtensible w16cex:durableId="5F46EE7C" w16cex:dateUtc="2023-10-19T14:18:00Z"/>
  <w16cex:commentExtensible w16cex:durableId="0D868D75" w16cex:dateUtc="2023-10-16T13:46:00Z"/>
  <w16cex:commentExtensible w16cex:durableId="01F73CEF" w16cex:dateUtc="2023-10-12T15:29:00Z"/>
  <w16cex:commentExtensible w16cex:durableId="151DB444" w16cex:dateUtc="2023-10-16T13:03:00Z"/>
  <w16cex:commentExtensible w16cex:durableId="7E3FDD26" w16cex:dateUtc="2023-10-16T12:18:00Z"/>
  <w16cex:commentExtensible w16cex:durableId="25C5217D" w16cex:dateUtc="2023-10-19T12:58:00Z"/>
  <w16cex:commentExtensible w16cex:durableId="238C9C32" w16cex:dateUtc="2023-10-19T12:48:00Z"/>
  <w16cex:commentExtensible w16cex:durableId="3E081F09" w16cex:dateUtc="2023-10-19T14:20:00Z"/>
  <w16cex:commentExtensible w16cex:durableId="17E69E1F" w16cex:dateUtc="2023-10-19T14:54:00Z"/>
  <w16cex:commentExtensible w16cex:durableId="33D9CDBD" w16cex:dateUtc="2023-10-19T13:15:00Z"/>
  <w16cex:commentExtensible w16cex:durableId="795E42B5" w16cex:dateUtc="2023-10-19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63A52" w16cid:durableId="26612F5D"/>
  <w16cid:commentId w16cid:paraId="73515575" w16cid:durableId="13BB1C90"/>
  <w16cid:commentId w16cid:paraId="7C8273BA" w16cid:durableId="4A81136D"/>
  <w16cid:commentId w16cid:paraId="339E9192" w16cid:durableId="75301132"/>
  <w16cid:commentId w16cid:paraId="413DCBC9" w16cid:durableId="2E5A8B51"/>
  <w16cid:commentId w16cid:paraId="46A528AF" w16cid:durableId="69EF0266"/>
  <w16cid:commentId w16cid:paraId="4916A933" w16cid:durableId="2E520D0C"/>
  <w16cid:commentId w16cid:paraId="5A4A7204" w16cid:durableId="5B3EC61D"/>
  <w16cid:commentId w16cid:paraId="7504ECF3" w16cid:durableId="65209E28"/>
  <w16cid:commentId w16cid:paraId="67781EFB" w16cid:durableId="5F46EE7C"/>
  <w16cid:commentId w16cid:paraId="4ADFAFA5" w16cid:durableId="0D868D75"/>
  <w16cid:commentId w16cid:paraId="2B06D096" w16cid:durableId="01F73CEF"/>
  <w16cid:commentId w16cid:paraId="33D98EE3" w16cid:durableId="151DB444"/>
  <w16cid:commentId w16cid:paraId="07B308B0" w16cid:durableId="7E3FDD26"/>
  <w16cid:commentId w16cid:paraId="173B75E1" w16cid:durableId="25C5217D"/>
  <w16cid:commentId w16cid:paraId="5F25EA1D" w16cid:durableId="238C9C32"/>
  <w16cid:commentId w16cid:paraId="4A550A1E" w16cid:durableId="3E081F09"/>
  <w16cid:commentId w16cid:paraId="0B1B8BB0" w16cid:durableId="17E69E1F"/>
  <w16cid:commentId w16cid:paraId="22EF1400" w16cid:durableId="33D9CDBD"/>
  <w16cid:commentId w16cid:paraId="6D71C6A9" w16cid:durableId="795E4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E813" w14:textId="77777777" w:rsidR="00A32195" w:rsidRDefault="00A32195" w:rsidP="00204BFA">
      <w:pPr>
        <w:spacing w:before="0" w:after="0" w:line="240" w:lineRule="auto"/>
      </w:pPr>
      <w:r>
        <w:separator/>
      </w:r>
    </w:p>
  </w:endnote>
  <w:endnote w:type="continuationSeparator" w:id="0">
    <w:p w14:paraId="6193BB54" w14:textId="77777777" w:rsidR="00A32195" w:rsidRDefault="00A32195" w:rsidP="00204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52108"/>
      <w:docPartObj>
        <w:docPartGallery w:val="Page Numbers (Bottom of Page)"/>
        <w:docPartUnique/>
      </w:docPartObj>
    </w:sdtPr>
    <w:sdtContent>
      <w:p w14:paraId="265FF088" w14:textId="013A0448" w:rsidR="00204BFA" w:rsidRDefault="00204BFA">
        <w:pPr>
          <w:pStyle w:val="Fuzeile"/>
          <w:jc w:val="right"/>
        </w:pPr>
        <w:r>
          <w:fldChar w:fldCharType="begin"/>
        </w:r>
        <w:r>
          <w:instrText>PAGE   \* MERGEFORMAT</w:instrText>
        </w:r>
        <w:r>
          <w:fldChar w:fldCharType="separate"/>
        </w:r>
        <w:r>
          <w:t>2</w:t>
        </w:r>
        <w:r>
          <w:fldChar w:fldCharType="end"/>
        </w:r>
      </w:p>
    </w:sdtContent>
  </w:sdt>
  <w:p w14:paraId="57B953EB" w14:textId="77777777" w:rsidR="00204BFA" w:rsidRDefault="00204B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1A21" w14:textId="77777777" w:rsidR="00A32195" w:rsidRDefault="00A32195" w:rsidP="00204BFA">
      <w:pPr>
        <w:spacing w:before="0" w:after="0" w:line="240" w:lineRule="auto"/>
      </w:pPr>
      <w:r>
        <w:separator/>
      </w:r>
    </w:p>
  </w:footnote>
  <w:footnote w:type="continuationSeparator" w:id="0">
    <w:p w14:paraId="348A56DB" w14:textId="77777777" w:rsidR="00A32195" w:rsidRDefault="00A32195" w:rsidP="00204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3838" w14:textId="6B555C17" w:rsidR="00204BFA" w:rsidRPr="00204BFA" w:rsidRDefault="00204BFA" w:rsidP="00204BFA">
    <w:pPr>
      <w:rPr>
        <w:b/>
        <w:bCs/>
        <w:sz w:val="20"/>
        <w:szCs w:val="20"/>
      </w:rPr>
    </w:pPr>
    <w:r w:rsidRPr="00204BFA">
      <w:rPr>
        <w:b/>
        <w:bCs/>
        <w:sz w:val="20"/>
        <w:szCs w:val="20"/>
      </w:rPr>
      <w:t>Literaturrecherche MA-Seminar "Autorität, Macht, Herrschaft &amp; Gewalt " (</w:t>
    </w:r>
    <w:proofErr w:type="spellStart"/>
    <w:r w:rsidRPr="00204BFA">
      <w:rPr>
        <w:b/>
        <w:bCs/>
        <w:sz w:val="20"/>
        <w:szCs w:val="20"/>
      </w:rPr>
      <w:t>SoSe</w:t>
    </w:r>
    <w:proofErr w:type="spellEnd"/>
    <w:r w:rsidRPr="00204BFA">
      <w:rPr>
        <w:b/>
        <w:bCs/>
        <w:sz w:val="20"/>
        <w:szCs w:val="20"/>
      </w:rPr>
      <w:t xml:space="preserve"> 2024</w:t>
    </w:r>
    <w:proofErr w:type="gramStart"/>
    <w:r w:rsidRPr="00204BFA">
      <w:rPr>
        <w:b/>
        <w:bCs/>
        <w:sz w:val="20"/>
        <w:szCs w:val="20"/>
      </w:rPr>
      <w:t>)</w:t>
    </w:r>
    <w:r>
      <w:rPr>
        <w:b/>
        <w:bCs/>
        <w:sz w:val="20"/>
        <w:szCs w:val="20"/>
      </w:rPr>
      <w:t xml:space="preserve">  </w:t>
    </w:r>
    <w:r>
      <w:rPr>
        <w:b/>
        <w:bCs/>
        <w:sz w:val="20"/>
        <w:szCs w:val="20"/>
      </w:rPr>
      <w:tab/>
    </w:r>
    <w:proofErr w:type="gramEnd"/>
    <w:r>
      <w:rPr>
        <w:b/>
        <w:bCs/>
        <w:sz w:val="20"/>
        <w:szCs w:val="20"/>
      </w:rPr>
      <w:tab/>
    </w:r>
    <w:r>
      <w:rPr>
        <w:b/>
        <w:bCs/>
        <w:sz w:val="20"/>
        <w:szCs w:val="20"/>
      </w:rPr>
      <w:tab/>
    </w:r>
    <w:r>
      <w:rPr>
        <w:b/>
        <w:bCs/>
        <w:sz w:val="20"/>
        <w:szCs w:val="20"/>
      </w:rPr>
      <w:tab/>
    </w:r>
    <w:r w:rsidRPr="00204BFA">
      <w:rPr>
        <w:b/>
        <w:bCs/>
        <w:sz w:val="20"/>
        <w:szCs w:val="20"/>
      </w:rPr>
      <w:t>Amelie Veenema</w:t>
    </w:r>
    <w:r>
      <w:rPr>
        <w:b/>
        <w:bCs/>
        <w:sz w:val="20"/>
        <w:szCs w:val="20"/>
      </w:rPr>
      <w:t xml:space="preserve">, Stand: </w:t>
    </w:r>
    <w:r w:rsidRPr="00204BFA">
      <w:rPr>
        <w:b/>
        <w:bCs/>
        <w:sz w:val="20"/>
        <w:szCs w:val="20"/>
      </w:rPr>
      <w:t>1</w:t>
    </w:r>
    <w:r w:rsidR="009B79AA">
      <w:rPr>
        <w:b/>
        <w:bCs/>
        <w:sz w:val="20"/>
        <w:szCs w:val="20"/>
      </w:rPr>
      <w:t>9</w:t>
    </w:r>
    <w:r w:rsidRPr="00204BFA">
      <w:rPr>
        <w:b/>
        <w:bCs/>
        <w:sz w:val="20"/>
        <w:szCs w:val="20"/>
      </w:rPr>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8B7"/>
    <w:multiLevelType w:val="multilevel"/>
    <w:tmpl w:val="20A4976E"/>
    <w:styleLink w:val="Formatvorlage1"/>
    <w:lvl w:ilvl="0">
      <w:start w:val="1"/>
      <w:numFmt w:val="decimal"/>
      <w:pStyle w:val="berschrift1"/>
      <w:lvlText w:val="%1"/>
      <w:lvlJc w:val="left"/>
      <w:pPr>
        <w:ind w:left="360" w:hanging="360"/>
      </w:pPr>
      <w:rPr>
        <w:rFonts w:ascii="Arial" w:hAnsi="Arial" w:hint="default"/>
        <w:b/>
        <w:sz w:val="22"/>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0F24F5"/>
    <w:multiLevelType w:val="hybridMultilevel"/>
    <w:tmpl w:val="1B68BAC8"/>
    <w:lvl w:ilvl="0" w:tplc="9B70C0B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47739"/>
    <w:multiLevelType w:val="multilevel"/>
    <w:tmpl w:val="20A4976E"/>
    <w:numStyleLink w:val="Formatvorlage1"/>
  </w:abstractNum>
  <w:abstractNum w:abstractNumId="3" w15:restartNumberingAfterBreak="0">
    <w:nsid w:val="653903F8"/>
    <w:multiLevelType w:val="multilevel"/>
    <w:tmpl w:val="1C44CC34"/>
    <w:styleLink w:val="FormatvorlageNummerierungBA"/>
    <w:lvl w:ilvl="0">
      <w:start w:val="1"/>
      <w:numFmt w:val="decimal"/>
      <w:lvlText w:val="%1"/>
      <w:lvlJc w:val="left"/>
      <w:pPr>
        <w:ind w:left="2160" w:hanging="360"/>
      </w:pPr>
      <w:rPr>
        <w:rFonts w:ascii="Arial" w:hAnsi="Arial" w:hint="default"/>
        <w:b/>
        <w:sz w:val="22"/>
      </w:rPr>
    </w:lvl>
    <w:lvl w:ilvl="1">
      <w:start w:val="1"/>
      <w:numFmt w:val="decimal"/>
      <w:lvlText w:val="%1.%2"/>
      <w:lvlJc w:val="left"/>
      <w:pPr>
        <w:ind w:left="2592" w:hanging="432"/>
      </w:pPr>
      <w:rPr>
        <w:rFonts w:ascii="Arial" w:hAnsi="Arial" w:hint="default"/>
        <w:sz w:val="22"/>
      </w:rPr>
    </w:lvl>
    <w:lvl w:ilvl="2">
      <w:start w:val="1"/>
      <w:numFmt w:val="decimal"/>
      <w:lvlText w:val="%1.%2.%3"/>
      <w:lvlJc w:val="left"/>
      <w:pPr>
        <w:ind w:left="3024" w:hanging="504"/>
      </w:pPr>
      <w:rPr>
        <w:rFonts w:ascii="Arial" w:hAnsi="Arial" w:hint="default"/>
        <w:sz w:val="22"/>
      </w:rPr>
    </w:lvl>
    <w:lvl w:ilvl="3">
      <w:start w:val="1"/>
      <w:numFmt w:val="decimal"/>
      <w:lvlText w:val="%1.%2.%3.%4"/>
      <w:lvlJc w:val="left"/>
      <w:pPr>
        <w:ind w:left="3528" w:hanging="648"/>
      </w:pPr>
      <w:rPr>
        <w:rFonts w:ascii="Arial" w:hAnsi="Arial" w:hint="default"/>
        <w:sz w:val="22"/>
      </w:rPr>
    </w:lvl>
    <w:lvl w:ilvl="4">
      <w:start w:val="1"/>
      <w:numFmt w:val="decimal"/>
      <w:lvlText w:val="%1.%2.%3.%4.%5"/>
      <w:lvlJc w:val="left"/>
      <w:pPr>
        <w:ind w:left="4032" w:hanging="792"/>
      </w:pPr>
      <w:rPr>
        <w:rFonts w:ascii="Arial" w:hAnsi="Arial" w:hint="default"/>
        <w:sz w:val="22"/>
      </w:rPr>
    </w:lvl>
    <w:lvl w:ilvl="5">
      <w:start w:val="1"/>
      <w:numFmt w:val="decimal"/>
      <w:lvlText w:val="%1.%2.%3.%4.%5.%6"/>
      <w:lvlJc w:val="left"/>
      <w:pPr>
        <w:ind w:left="4536" w:hanging="936"/>
      </w:pPr>
      <w:rPr>
        <w:rFonts w:ascii="Arial" w:hAnsi="Arial" w:hint="default"/>
        <w:sz w:val="22"/>
      </w:rPr>
    </w:lvl>
    <w:lvl w:ilvl="6">
      <w:start w:val="1"/>
      <w:numFmt w:val="decimal"/>
      <w:lvlText w:val="%1.%2.%3.%4.%5.%6.%7."/>
      <w:lvlJc w:val="left"/>
      <w:pPr>
        <w:ind w:left="5040" w:hanging="1080"/>
      </w:pPr>
      <w:rPr>
        <w:rFonts w:ascii="Arial" w:hAnsi="Arial" w:hint="default"/>
        <w:b w:val="0"/>
        <w:i w:val="0"/>
        <w:sz w:val="22"/>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num w:numId="1" w16cid:durableId="1998991489">
    <w:abstractNumId w:val="0"/>
  </w:num>
  <w:num w:numId="2" w16cid:durableId="546451679">
    <w:abstractNumId w:val="3"/>
  </w:num>
  <w:num w:numId="3" w16cid:durableId="2099476799">
    <w:abstractNumId w:val="2"/>
  </w:num>
  <w:num w:numId="4" w16cid:durableId="345207742">
    <w:abstractNumId w:val="2"/>
  </w:num>
  <w:num w:numId="5" w16cid:durableId="1108935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ie Veenema">
    <w15:presenceInfo w15:providerId="None" w15:userId="Amelie Veen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FA"/>
    <w:rsid w:val="0000773E"/>
    <w:rsid w:val="0001009D"/>
    <w:rsid w:val="000208F6"/>
    <w:rsid w:val="00027BA1"/>
    <w:rsid w:val="000333F4"/>
    <w:rsid w:val="00046C54"/>
    <w:rsid w:val="0006063E"/>
    <w:rsid w:val="00081E95"/>
    <w:rsid w:val="00081F11"/>
    <w:rsid w:val="000960DB"/>
    <w:rsid w:val="00096E4B"/>
    <w:rsid w:val="000A4B57"/>
    <w:rsid w:val="000B0333"/>
    <w:rsid w:val="000D6AC3"/>
    <w:rsid w:val="000D6ECB"/>
    <w:rsid w:val="000F0CB1"/>
    <w:rsid w:val="000F1DA3"/>
    <w:rsid w:val="000F6D48"/>
    <w:rsid w:val="00110988"/>
    <w:rsid w:val="00111AB3"/>
    <w:rsid w:val="001262C1"/>
    <w:rsid w:val="0014657E"/>
    <w:rsid w:val="00166C0B"/>
    <w:rsid w:val="0017661A"/>
    <w:rsid w:val="001806ED"/>
    <w:rsid w:val="001A19B9"/>
    <w:rsid w:val="001A67D9"/>
    <w:rsid w:val="001F5D83"/>
    <w:rsid w:val="00204BFA"/>
    <w:rsid w:val="00211F85"/>
    <w:rsid w:val="00216FEE"/>
    <w:rsid w:val="00245A05"/>
    <w:rsid w:val="0026520A"/>
    <w:rsid w:val="00266306"/>
    <w:rsid w:val="00282B62"/>
    <w:rsid w:val="002D18FA"/>
    <w:rsid w:val="002F4C54"/>
    <w:rsid w:val="00333BA1"/>
    <w:rsid w:val="00341398"/>
    <w:rsid w:val="00342581"/>
    <w:rsid w:val="00347D73"/>
    <w:rsid w:val="00351003"/>
    <w:rsid w:val="00352FE5"/>
    <w:rsid w:val="003611CC"/>
    <w:rsid w:val="003A47FA"/>
    <w:rsid w:val="003C366E"/>
    <w:rsid w:val="00421FF9"/>
    <w:rsid w:val="0043716B"/>
    <w:rsid w:val="00465DC3"/>
    <w:rsid w:val="0047278C"/>
    <w:rsid w:val="00477D06"/>
    <w:rsid w:val="004A5062"/>
    <w:rsid w:val="004B038C"/>
    <w:rsid w:val="004B62F8"/>
    <w:rsid w:val="004B665F"/>
    <w:rsid w:val="004C0D38"/>
    <w:rsid w:val="004D2D35"/>
    <w:rsid w:val="004E253A"/>
    <w:rsid w:val="004F0854"/>
    <w:rsid w:val="005266C8"/>
    <w:rsid w:val="0052710A"/>
    <w:rsid w:val="00565CF1"/>
    <w:rsid w:val="00565E00"/>
    <w:rsid w:val="005732C4"/>
    <w:rsid w:val="00575C47"/>
    <w:rsid w:val="005C3A90"/>
    <w:rsid w:val="005D0393"/>
    <w:rsid w:val="005D0AE3"/>
    <w:rsid w:val="005E3CCD"/>
    <w:rsid w:val="00622667"/>
    <w:rsid w:val="006270BF"/>
    <w:rsid w:val="00630DD2"/>
    <w:rsid w:val="00656F08"/>
    <w:rsid w:val="006708DE"/>
    <w:rsid w:val="006820C0"/>
    <w:rsid w:val="006C4341"/>
    <w:rsid w:val="006E024A"/>
    <w:rsid w:val="00734055"/>
    <w:rsid w:val="007340C0"/>
    <w:rsid w:val="00742A1F"/>
    <w:rsid w:val="00750F96"/>
    <w:rsid w:val="00751D66"/>
    <w:rsid w:val="00777E61"/>
    <w:rsid w:val="00780F07"/>
    <w:rsid w:val="007A17F0"/>
    <w:rsid w:val="007D1F6B"/>
    <w:rsid w:val="007D7E91"/>
    <w:rsid w:val="007E4BEB"/>
    <w:rsid w:val="007F4F05"/>
    <w:rsid w:val="00814047"/>
    <w:rsid w:val="008162D2"/>
    <w:rsid w:val="00827780"/>
    <w:rsid w:val="00837DA3"/>
    <w:rsid w:val="008446C4"/>
    <w:rsid w:val="00846792"/>
    <w:rsid w:val="008571A1"/>
    <w:rsid w:val="00862C5A"/>
    <w:rsid w:val="00873688"/>
    <w:rsid w:val="00885CB3"/>
    <w:rsid w:val="00892606"/>
    <w:rsid w:val="008C2230"/>
    <w:rsid w:val="008E0211"/>
    <w:rsid w:val="008E5681"/>
    <w:rsid w:val="00907133"/>
    <w:rsid w:val="009122FF"/>
    <w:rsid w:val="00913FBD"/>
    <w:rsid w:val="00917225"/>
    <w:rsid w:val="00943625"/>
    <w:rsid w:val="009507EE"/>
    <w:rsid w:val="00950D62"/>
    <w:rsid w:val="009727E1"/>
    <w:rsid w:val="009A03F3"/>
    <w:rsid w:val="009A50FA"/>
    <w:rsid w:val="009B79AA"/>
    <w:rsid w:val="009C32B5"/>
    <w:rsid w:val="009C69E9"/>
    <w:rsid w:val="009D45EF"/>
    <w:rsid w:val="009D7BC1"/>
    <w:rsid w:val="009E3CDE"/>
    <w:rsid w:val="009F1D26"/>
    <w:rsid w:val="009F64FD"/>
    <w:rsid w:val="00A014FB"/>
    <w:rsid w:val="00A019FB"/>
    <w:rsid w:val="00A202AE"/>
    <w:rsid w:val="00A32195"/>
    <w:rsid w:val="00A412C0"/>
    <w:rsid w:val="00A430BE"/>
    <w:rsid w:val="00A50189"/>
    <w:rsid w:val="00A510AB"/>
    <w:rsid w:val="00A55E5F"/>
    <w:rsid w:val="00A7204D"/>
    <w:rsid w:val="00A86D09"/>
    <w:rsid w:val="00A873B9"/>
    <w:rsid w:val="00A93848"/>
    <w:rsid w:val="00A97B14"/>
    <w:rsid w:val="00AA5B78"/>
    <w:rsid w:val="00AB28A5"/>
    <w:rsid w:val="00AB450E"/>
    <w:rsid w:val="00AD0D26"/>
    <w:rsid w:val="00AD4289"/>
    <w:rsid w:val="00AD5106"/>
    <w:rsid w:val="00AD53DF"/>
    <w:rsid w:val="00AE5520"/>
    <w:rsid w:val="00AF1C5A"/>
    <w:rsid w:val="00AF5792"/>
    <w:rsid w:val="00B11506"/>
    <w:rsid w:val="00B15179"/>
    <w:rsid w:val="00B54211"/>
    <w:rsid w:val="00B62126"/>
    <w:rsid w:val="00B635AF"/>
    <w:rsid w:val="00B72646"/>
    <w:rsid w:val="00B83249"/>
    <w:rsid w:val="00B847FF"/>
    <w:rsid w:val="00B97071"/>
    <w:rsid w:val="00BA77E2"/>
    <w:rsid w:val="00BB55FA"/>
    <w:rsid w:val="00BC2783"/>
    <w:rsid w:val="00BD1C27"/>
    <w:rsid w:val="00BE0993"/>
    <w:rsid w:val="00C17DD4"/>
    <w:rsid w:val="00C23C0E"/>
    <w:rsid w:val="00C30589"/>
    <w:rsid w:val="00C721F8"/>
    <w:rsid w:val="00C74A6E"/>
    <w:rsid w:val="00C80136"/>
    <w:rsid w:val="00CA0E7E"/>
    <w:rsid w:val="00CA27C1"/>
    <w:rsid w:val="00CD0F63"/>
    <w:rsid w:val="00CD68D7"/>
    <w:rsid w:val="00CF3B80"/>
    <w:rsid w:val="00D0342F"/>
    <w:rsid w:val="00D22782"/>
    <w:rsid w:val="00D32D47"/>
    <w:rsid w:val="00D73718"/>
    <w:rsid w:val="00D84054"/>
    <w:rsid w:val="00DB5DE9"/>
    <w:rsid w:val="00DC6E87"/>
    <w:rsid w:val="00DD067E"/>
    <w:rsid w:val="00E05BC0"/>
    <w:rsid w:val="00E53FA6"/>
    <w:rsid w:val="00E744B4"/>
    <w:rsid w:val="00E90EB7"/>
    <w:rsid w:val="00EC28A4"/>
    <w:rsid w:val="00EE0845"/>
    <w:rsid w:val="00EE10EA"/>
    <w:rsid w:val="00EE12A6"/>
    <w:rsid w:val="00F0729D"/>
    <w:rsid w:val="00F122E4"/>
    <w:rsid w:val="00F23043"/>
    <w:rsid w:val="00F2641E"/>
    <w:rsid w:val="00F37782"/>
    <w:rsid w:val="00F4020D"/>
    <w:rsid w:val="00F5383E"/>
    <w:rsid w:val="00F56ED6"/>
    <w:rsid w:val="00FA04F8"/>
    <w:rsid w:val="00FA5D60"/>
    <w:rsid w:val="00FB75B4"/>
    <w:rsid w:val="00FC4108"/>
    <w:rsid w:val="00FC6173"/>
    <w:rsid w:val="00FD41F7"/>
    <w:rsid w:val="00FD5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7BE8"/>
  <w15:chartTrackingRefBased/>
  <w15:docId w15:val="{D45FD5B5-5EAD-44AE-8020-ACFA39E5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29D"/>
    <w:pPr>
      <w:spacing w:before="120" w:line="360" w:lineRule="auto"/>
      <w:contextualSpacing/>
      <w:jc w:val="both"/>
    </w:pPr>
    <w:rPr>
      <w:rFonts w:ascii="Arial" w:hAnsi="Arial"/>
    </w:rPr>
  </w:style>
  <w:style w:type="paragraph" w:styleId="berschrift1">
    <w:name w:val="heading 1"/>
    <w:basedOn w:val="Standard"/>
    <w:next w:val="Standard"/>
    <w:link w:val="berschrift1Zchn"/>
    <w:uiPriority w:val="9"/>
    <w:qFormat/>
    <w:rsid w:val="004B62F8"/>
    <w:pPr>
      <w:keepNext/>
      <w:keepLines/>
      <w:numPr>
        <w:numId w:val="4"/>
      </w:numPr>
      <w:spacing w:before="240" w:after="0"/>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4B62F8"/>
    <w:pPr>
      <w:numPr>
        <w:ilvl w:val="1"/>
      </w:numPr>
      <w:outlineLvl w:val="1"/>
    </w:pPr>
  </w:style>
  <w:style w:type="paragraph" w:styleId="berschrift4">
    <w:name w:val="heading 4"/>
    <w:aliases w:val="Fußnote"/>
    <w:basedOn w:val="Funotentext"/>
    <w:next w:val="Funotentext"/>
    <w:link w:val="berschrift4Zchn"/>
    <w:uiPriority w:val="9"/>
    <w:unhideWhenUsed/>
    <w:qFormat/>
    <w:rsid w:val="0026520A"/>
    <w:pPr>
      <w:outlineLvl w:val="3"/>
    </w:pPr>
    <w:rPr>
      <w:rFonts w:ascii="Times New Roman" w:eastAsia="Times New Roman" w:hAnsi="Times New Roman" w:cs="Times New Roman"/>
    </w:rPr>
  </w:style>
  <w:style w:type="paragraph" w:styleId="berschrift6">
    <w:name w:val="heading 6"/>
    <w:basedOn w:val="Standard"/>
    <w:link w:val="berschrift6Zchn"/>
    <w:uiPriority w:val="9"/>
    <w:qFormat/>
    <w:rsid w:val="0043716B"/>
    <w:pPr>
      <w:spacing w:before="100" w:beforeAutospacing="1" w:after="100" w:afterAutospacing="1" w:line="240" w:lineRule="auto"/>
      <w:contextualSpacing w:val="0"/>
      <w:jc w:val="left"/>
      <w:outlineLvl w:val="5"/>
    </w:pPr>
    <w:rPr>
      <w:rFonts w:ascii="Times New Roman" w:eastAsia="Times New Roman" w:hAnsi="Times New Roman" w:cs="Times New Roman"/>
      <w:b/>
      <w:bCs/>
      <w:kern w:val="0"/>
      <w:sz w:val="15"/>
      <w:szCs w:val="15"/>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62F8"/>
    <w:rPr>
      <w:rFonts w:ascii="Arial" w:eastAsiaTheme="majorEastAsia" w:hAnsi="Arial" w:cstheme="majorBidi"/>
      <w:b/>
      <w:szCs w:val="32"/>
    </w:rPr>
  </w:style>
  <w:style w:type="numbering" w:customStyle="1" w:styleId="Formatvorlage1">
    <w:name w:val="Formatvorlage1"/>
    <w:uiPriority w:val="99"/>
    <w:rsid w:val="00F0729D"/>
    <w:pPr>
      <w:numPr>
        <w:numId w:val="1"/>
      </w:numPr>
    </w:pPr>
  </w:style>
  <w:style w:type="numbering" w:customStyle="1" w:styleId="FormatvorlageNummerierungBA">
    <w:name w:val="Formatvorlage Nummerierung BA"/>
    <w:uiPriority w:val="99"/>
    <w:rsid w:val="00F0729D"/>
    <w:pPr>
      <w:numPr>
        <w:numId w:val="2"/>
      </w:numPr>
    </w:pPr>
  </w:style>
  <w:style w:type="character" w:customStyle="1" w:styleId="berschrift1Zchn">
    <w:name w:val="Überschrift 1 Zchn"/>
    <w:basedOn w:val="Absatz-Standardschriftart"/>
    <w:link w:val="berschrift1"/>
    <w:uiPriority w:val="9"/>
    <w:rsid w:val="004B62F8"/>
    <w:rPr>
      <w:rFonts w:ascii="Arial" w:eastAsiaTheme="majorEastAsia" w:hAnsi="Arial" w:cstheme="majorBidi"/>
      <w:b/>
      <w:szCs w:val="32"/>
    </w:rPr>
  </w:style>
  <w:style w:type="character" w:customStyle="1" w:styleId="berschrift4Zchn">
    <w:name w:val="Überschrift 4 Zchn"/>
    <w:aliases w:val="Fußnote Zchn"/>
    <w:basedOn w:val="Absatz-Standardschriftart"/>
    <w:link w:val="berschrift4"/>
    <w:uiPriority w:val="9"/>
    <w:rsid w:val="0026520A"/>
    <w:rPr>
      <w:rFonts w:ascii="Times New Roman" w:eastAsia="Times New Roman" w:hAnsi="Times New Roman" w:cs="Times New Roman"/>
      <w:sz w:val="20"/>
      <w:szCs w:val="20"/>
    </w:rPr>
  </w:style>
  <w:style w:type="paragraph" w:styleId="Funotentext">
    <w:name w:val="footnote text"/>
    <w:basedOn w:val="Standard"/>
    <w:link w:val="FunotentextZchn"/>
    <w:uiPriority w:val="99"/>
    <w:semiHidden/>
    <w:unhideWhenUsed/>
    <w:rsid w:val="0026520A"/>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26520A"/>
    <w:rPr>
      <w:rFonts w:ascii="Arial" w:hAnsi="Arial"/>
      <w:sz w:val="20"/>
      <w:szCs w:val="20"/>
    </w:rPr>
  </w:style>
  <w:style w:type="table" w:styleId="Tabellenraster">
    <w:name w:val="Table Grid"/>
    <w:basedOn w:val="NormaleTabelle"/>
    <w:uiPriority w:val="39"/>
    <w:rsid w:val="002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4BF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04BFA"/>
    <w:rPr>
      <w:rFonts w:ascii="Arial" w:hAnsi="Arial"/>
    </w:rPr>
  </w:style>
  <w:style w:type="paragraph" w:styleId="Fuzeile">
    <w:name w:val="footer"/>
    <w:basedOn w:val="Standard"/>
    <w:link w:val="FuzeileZchn"/>
    <w:uiPriority w:val="99"/>
    <w:unhideWhenUsed/>
    <w:rsid w:val="00204BF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04BFA"/>
    <w:rPr>
      <w:rFonts w:ascii="Arial" w:hAnsi="Arial"/>
    </w:rPr>
  </w:style>
  <w:style w:type="character" w:styleId="Kommentarzeichen">
    <w:name w:val="annotation reference"/>
    <w:basedOn w:val="Absatz-Standardschriftart"/>
    <w:uiPriority w:val="99"/>
    <w:semiHidden/>
    <w:unhideWhenUsed/>
    <w:rsid w:val="00FA04F8"/>
    <w:rPr>
      <w:sz w:val="16"/>
      <w:szCs w:val="16"/>
    </w:rPr>
  </w:style>
  <w:style w:type="paragraph" w:styleId="Kommentartext">
    <w:name w:val="annotation text"/>
    <w:basedOn w:val="Standard"/>
    <w:link w:val="KommentartextZchn"/>
    <w:uiPriority w:val="99"/>
    <w:unhideWhenUsed/>
    <w:rsid w:val="00FA04F8"/>
    <w:pPr>
      <w:spacing w:line="240" w:lineRule="auto"/>
    </w:pPr>
    <w:rPr>
      <w:sz w:val="20"/>
      <w:szCs w:val="20"/>
    </w:rPr>
  </w:style>
  <w:style w:type="character" w:customStyle="1" w:styleId="KommentartextZchn">
    <w:name w:val="Kommentartext Zchn"/>
    <w:basedOn w:val="Absatz-Standardschriftart"/>
    <w:link w:val="Kommentartext"/>
    <w:uiPriority w:val="99"/>
    <w:rsid w:val="00FA04F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A04F8"/>
    <w:rPr>
      <w:b/>
      <w:bCs/>
    </w:rPr>
  </w:style>
  <w:style w:type="character" w:customStyle="1" w:styleId="KommentarthemaZchn">
    <w:name w:val="Kommentarthema Zchn"/>
    <w:basedOn w:val="KommentartextZchn"/>
    <w:link w:val="Kommentarthema"/>
    <w:uiPriority w:val="99"/>
    <w:semiHidden/>
    <w:rsid w:val="00FA04F8"/>
    <w:rPr>
      <w:rFonts w:ascii="Arial" w:hAnsi="Arial"/>
      <w:b/>
      <w:bCs/>
      <w:sz w:val="20"/>
      <w:szCs w:val="20"/>
    </w:rPr>
  </w:style>
  <w:style w:type="character" w:styleId="Hyperlink">
    <w:name w:val="Hyperlink"/>
    <w:basedOn w:val="Absatz-Standardschriftart"/>
    <w:uiPriority w:val="99"/>
    <w:unhideWhenUsed/>
    <w:rsid w:val="003611CC"/>
    <w:rPr>
      <w:color w:val="0563C1" w:themeColor="hyperlink"/>
      <w:u w:val="single"/>
    </w:rPr>
  </w:style>
  <w:style w:type="character" w:styleId="NichtaufgelsteErwhnung">
    <w:name w:val="Unresolved Mention"/>
    <w:basedOn w:val="Absatz-Standardschriftart"/>
    <w:uiPriority w:val="99"/>
    <w:semiHidden/>
    <w:unhideWhenUsed/>
    <w:rsid w:val="003611CC"/>
    <w:rPr>
      <w:color w:val="605E5C"/>
      <w:shd w:val="clear" w:color="auto" w:fill="E1DFDD"/>
    </w:rPr>
  </w:style>
  <w:style w:type="paragraph" w:styleId="Listenabsatz">
    <w:name w:val="List Paragraph"/>
    <w:basedOn w:val="Standard"/>
    <w:uiPriority w:val="34"/>
    <w:qFormat/>
    <w:rsid w:val="0043716B"/>
    <w:pPr>
      <w:ind w:left="720"/>
    </w:pPr>
  </w:style>
  <w:style w:type="character" w:customStyle="1" w:styleId="berschrift6Zchn">
    <w:name w:val="Überschrift 6 Zchn"/>
    <w:basedOn w:val="Absatz-Standardschriftart"/>
    <w:link w:val="berschrift6"/>
    <w:uiPriority w:val="9"/>
    <w:rsid w:val="0043716B"/>
    <w:rPr>
      <w:rFonts w:ascii="Times New Roman" w:eastAsia="Times New Roman" w:hAnsi="Times New Roman" w:cs="Times New Roman"/>
      <w:b/>
      <w:bCs/>
      <w:kern w:val="0"/>
      <w:sz w:val="15"/>
      <w:szCs w:val="15"/>
      <w:lang w:eastAsia="de-DE"/>
      <w14:ligatures w14:val="none"/>
    </w:rPr>
  </w:style>
  <w:style w:type="paragraph" w:customStyle="1" w:styleId="ng-binding">
    <w:name w:val="ng-binding"/>
    <w:basedOn w:val="Standard"/>
    <w:rsid w:val="0043716B"/>
    <w:pPr>
      <w:spacing w:before="100" w:beforeAutospacing="1" w:after="100" w:afterAutospacing="1" w:line="240" w:lineRule="auto"/>
      <w:contextualSpacing w:val="0"/>
      <w:jc w:val="left"/>
    </w:pPr>
    <w:rPr>
      <w:rFonts w:ascii="Times New Roman" w:eastAsia="Times New Roman" w:hAnsi="Times New Roman" w:cs="Times New Roman"/>
      <w:kern w:val="0"/>
      <w:sz w:val="24"/>
      <w:szCs w:val="24"/>
      <w:lang w:eastAsia="de-DE"/>
      <w14:ligatures w14:val="none"/>
    </w:rPr>
  </w:style>
  <w:style w:type="character" w:customStyle="1" w:styleId="availability-status">
    <w:name w:val="availability-status"/>
    <w:basedOn w:val="Absatz-Standardschriftart"/>
    <w:rsid w:val="0043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845">
      <w:bodyDiv w:val="1"/>
      <w:marLeft w:val="0"/>
      <w:marRight w:val="0"/>
      <w:marTop w:val="0"/>
      <w:marBottom w:val="0"/>
      <w:divBdr>
        <w:top w:val="none" w:sz="0" w:space="0" w:color="auto"/>
        <w:left w:val="none" w:sz="0" w:space="0" w:color="auto"/>
        <w:bottom w:val="none" w:sz="0" w:space="0" w:color="auto"/>
        <w:right w:val="none" w:sz="0" w:space="0" w:color="auto"/>
      </w:divBdr>
      <w:divsChild>
        <w:div w:id="1745643962">
          <w:marLeft w:val="0"/>
          <w:marRight w:val="0"/>
          <w:marTop w:val="0"/>
          <w:marBottom w:val="0"/>
          <w:divBdr>
            <w:top w:val="none" w:sz="0" w:space="0" w:color="auto"/>
            <w:left w:val="none" w:sz="0" w:space="0" w:color="auto"/>
            <w:bottom w:val="none" w:sz="0" w:space="0" w:color="auto"/>
            <w:right w:val="none" w:sz="0" w:space="0" w:color="auto"/>
          </w:divBdr>
          <w:divsChild>
            <w:div w:id="19248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200">
      <w:bodyDiv w:val="1"/>
      <w:marLeft w:val="0"/>
      <w:marRight w:val="0"/>
      <w:marTop w:val="0"/>
      <w:marBottom w:val="0"/>
      <w:divBdr>
        <w:top w:val="none" w:sz="0" w:space="0" w:color="auto"/>
        <w:left w:val="none" w:sz="0" w:space="0" w:color="auto"/>
        <w:bottom w:val="none" w:sz="0" w:space="0" w:color="auto"/>
        <w:right w:val="none" w:sz="0" w:space="0" w:color="auto"/>
      </w:divBdr>
      <w:divsChild>
        <w:div w:id="445778314">
          <w:marLeft w:val="0"/>
          <w:marRight w:val="0"/>
          <w:marTop w:val="0"/>
          <w:marBottom w:val="0"/>
          <w:divBdr>
            <w:top w:val="none" w:sz="0" w:space="0" w:color="auto"/>
            <w:left w:val="none" w:sz="0" w:space="0" w:color="auto"/>
            <w:bottom w:val="none" w:sz="0" w:space="0" w:color="auto"/>
            <w:right w:val="none" w:sz="0" w:space="0" w:color="auto"/>
          </w:divBdr>
          <w:divsChild>
            <w:div w:id="14317813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84895902">
      <w:bodyDiv w:val="1"/>
      <w:marLeft w:val="0"/>
      <w:marRight w:val="0"/>
      <w:marTop w:val="0"/>
      <w:marBottom w:val="0"/>
      <w:divBdr>
        <w:top w:val="none" w:sz="0" w:space="0" w:color="auto"/>
        <w:left w:val="none" w:sz="0" w:space="0" w:color="auto"/>
        <w:bottom w:val="none" w:sz="0" w:space="0" w:color="auto"/>
        <w:right w:val="none" w:sz="0" w:space="0" w:color="auto"/>
      </w:divBdr>
    </w:div>
    <w:div w:id="600769587">
      <w:bodyDiv w:val="1"/>
      <w:marLeft w:val="0"/>
      <w:marRight w:val="0"/>
      <w:marTop w:val="0"/>
      <w:marBottom w:val="0"/>
      <w:divBdr>
        <w:top w:val="none" w:sz="0" w:space="0" w:color="auto"/>
        <w:left w:val="none" w:sz="0" w:space="0" w:color="auto"/>
        <w:bottom w:val="none" w:sz="0" w:space="0" w:color="auto"/>
        <w:right w:val="none" w:sz="0" w:space="0" w:color="auto"/>
      </w:divBdr>
    </w:div>
    <w:div w:id="657196591">
      <w:bodyDiv w:val="1"/>
      <w:marLeft w:val="0"/>
      <w:marRight w:val="0"/>
      <w:marTop w:val="0"/>
      <w:marBottom w:val="0"/>
      <w:divBdr>
        <w:top w:val="none" w:sz="0" w:space="0" w:color="auto"/>
        <w:left w:val="none" w:sz="0" w:space="0" w:color="auto"/>
        <w:bottom w:val="none" w:sz="0" w:space="0" w:color="auto"/>
        <w:right w:val="none" w:sz="0" w:space="0" w:color="auto"/>
      </w:divBdr>
    </w:div>
    <w:div w:id="815341687">
      <w:bodyDiv w:val="1"/>
      <w:marLeft w:val="0"/>
      <w:marRight w:val="0"/>
      <w:marTop w:val="0"/>
      <w:marBottom w:val="0"/>
      <w:divBdr>
        <w:top w:val="none" w:sz="0" w:space="0" w:color="auto"/>
        <w:left w:val="none" w:sz="0" w:space="0" w:color="auto"/>
        <w:bottom w:val="none" w:sz="0" w:space="0" w:color="auto"/>
        <w:right w:val="none" w:sz="0" w:space="0" w:color="auto"/>
      </w:divBdr>
      <w:divsChild>
        <w:div w:id="284964976">
          <w:marLeft w:val="0"/>
          <w:marRight w:val="0"/>
          <w:marTop w:val="0"/>
          <w:marBottom w:val="0"/>
          <w:divBdr>
            <w:top w:val="none" w:sz="0" w:space="0" w:color="auto"/>
            <w:left w:val="none" w:sz="0" w:space="0" w:color="auto"/>
            <w:bottom w:val="none" w:sz="0" w:space="0" w:color="auto"/>
            <w:right w:val="none" w:sz="0" w:space="0" w:color="auto"/>
          </w:divBdr>
          <w:divsChild>
            <w:div w:id="2065789126">
              <w:marLeft w:val="0"/>
              <w:marRight w:val="0"/>
              <w:marTop w:val="0"/>
              <w:marBottom w:val="0"/>
              <w:divBdr>
                <w:top w:val="none" w:sz="0" w:space="0" w:color="auto"/>
                <w:left w:val="none" w:sz="0" w:space="0" w:color="auto"/>
                <w:bottom w:val="none" w:sz="0" w:space="0" w:color="auto"/>
                <w:right w:val="none" w:sz="0" w:space="0" w:color="auto"/>
              </w:divBdr>
              <w:divsChild>
                <w:div w:id="14121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419">
      <w:bodyDiv w:val="1"/>
      <w:marLeft w:val="0"/>
      <w:marRight w:val="0"/>
      <w:marTop w:val="0"/>
      <w:marBottom w:val="0"/>
      <w:divBdr>
        <w:top w:val="none" w:sz="0" w:space="0" w:color="auto"/>
        <w:left w:val="none" w:sz="0" w:space="0" w:color="auto"/>
        <w:bottom w:val="none" w:sz="0" w:space="0" w:color="auto"/>
        <w:right w:val="none" w:sz="0" w:space="0" w:color="auto"/>
      </w:divBdr>
    </w:div>
    <w:div w:id="978610217">
      <w:bodyDiv w:val="1"/>
      <w:marLeft w:val="0"/>
      <w:marRight w:val="0"/>
      <w:marTop w:val="0"/>
      <w:marBottom w:val="0"/>
      <w:divBdr>
        <w:top w:val="none" w:sz="0" w:space="0" w:color="auto"/>
        <w:left w:val="none" w:sz="0" w:space="0" w:color="auto"/>
        <w:bottom w:val="none" w:sz="0" w:space="0" w:color="auto"/>
        <w:right w:val="none" w:sz="0" w:space="0" w:color="auto"/>
      </w:divBdr>
    </w:div>
    <w:div w:id="1013842417">
      <w:bodyDiv w:val="1"/>
      <w:marLeft w:val="0"/>
      <w:marRight w:val="0"/>
      <w:marTop w:val="0"/>
      <w:marBottom w:val="0"/>
      <w:divBdr>
        <w:top w:val="none" w:sz="0" w:space="0" w:color="auto"/>
        <w:left w:val="none" w:sz="0" w:space="0" w:color="auto"/>
        <w:bottom w:val="none" w:sz="0" w:space="0" w:color="auto"/>
        <w:right w:val="none" w:sz="0" w:space="0" w:color="auto"/>
      </w:divBdr>
      <w:divsChild>
        <w:div w:id="1322661554">
          <w:marLeft w:val="0"/>
          <w:marRight w:val="0"/>
          <w:marTop w:val="0"/>
          <w:marBottom w:val="0"/>
          <w:divBdr>
            <w:top w:val="none" w:sz="0" w:space="0" w:color="auto"/>
            <w:left w:val="none" w:sz="0" w:space="0" w:color="auto"/>
            <w:bottom w:val="none" w:sz="0" w:space="0" w:color="auto"/>
            <w:right w:val="none" w:sz="0" w:space="0" w:color="auto"/>
          </w:divBdr>
          <w:divsChild>
            <w:div w:id="785348054">
              <w:marLeft w:val="0"/>
              <w:marRight w:val="0"/>
              <w:marTop w:val="0"/>
              <w:marBottom w:val="0"/>
              <w:divBdr>
                <w:top w:val="none" w:sz="0" w:space="0" w:color="auto"/>
                <w:left w:val="none" w:sz="0" w:space="0" w:color="auto"/>
                <w:bottom w:val="none" w:sz="0" w:space="0" w:color="auto"/>
                <w:right w:val="none" w:sz="0" w:space="0" w:color="auto"/>
              </w:divBdr>
              <w:divsChild>
                <w:div w:id="1934432547">
                  <w:marLeft w:val="0"/>
                  <w:marRight w:val="0"/>
                  <w:marTop w:val="0"/>
                  <w:marBottom w:val="0"/>
                  <w:divBdr>
                    <w:top w:val="none" w:sz="0" w:space="0" w:color="auto"/>
                    <w:left w:val="none" w:sz="0" w:space="0" w:color="auto"/>
                    <w:bottom w:val="none" w:sz="0" w:space="0" w:color="auto"/>
                    <w:right w:val="none" w:sz="0" w:space="0" w:color="auto"/>
                  </w:divBdr>
                </w:div>
                <w:div w:id="364719892">
                  <w:marLeft w:val="0"/>
                  <w:marRight w:val="0"/>
                  <w:marTop w:val="0"/>
                  <w:marBottom w:val="0"/>
                  <w:divBdr>
                    <w:top w:val="none" w:sz="0" w:space="0" w:color="auto"/>
                    <w:left w:val="none" w:sz="0" w:space="0" w:color="auto"/>
                    <w:bottom w:val="none" w:sz="0" w:space="0" w:color="auto"/>
                    <w:right w:val="none" w:sz="0" w:space="0" w:color="auto"/>
                  </w:divBdr>
                  <w:divsChild>
                    <w:div w:id="1940797508">
                      <w:marLeft w:val="0"/>
                      <w:marRight w:val="0"/>
                      <w:marTop w:val="0"/>
                      <w:marBottom w:val="0"/>
                      <w:divBdr>
                        <w:top w:val="none" w:sz="0" w:space="0" w:color="auto"/>
                        <w:left w:val="none" w:sz="0" w:space="0" w:color="auto"/>
                        <w:bottom w:val="none" w:sz="0" w:space="0" w:color="auto"/>
                        <w:right w:val="none" w:sz="0" w:space="0" w:color="auto"/>
                      </w:divBdr>
                    </w:div>
                    <w:div w:id="790438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9046">
          <w:marLeft w:val="0"/>
          <w:marRight w:val="0"/>
          <w:marTop w:val="0"/>
          <w:marBottom w:val="600"/>
          <w:divBdr>
            <w:top w:val="none" w:sz="0" w:space="0" w:color="auto"/>
            <w:left w:val="none" w:sz="0" w:space="0" w:color="auto"/>
            <w:bottom w:val="none" w:sz="0" w:space="0" w:color="auto"/>
            <w:right w:val="none" w:sz="0" w:space="0" w:color="auto"/>
          </w:divBdr>
          <w:divsChild>
            <w:div w:id="833958721">
              <w:marLeft w:val="0"/>
              <w:marRight w:val="0"/>
              <w:marTop w:val="0"/>
              <w:marBottom w:val="0"/>
              <w:divBdr>
                <w:top w:val="none" w:sz="0" w:space="0" w:color="auto"/>
                <w:left w:val="none" w:sz="0" w:space="0" w:color="auto"/>
                <w:bottom w:val="none" w:sz="0" w:space="0" w:color="auto"/>
                <w:right w:val="none" w:sz="0" w:space="0" w:color="auto"/>
              </w:divBdr>
              <w:divsChild>
                <w:div w:id="1116603277">
                  <w:marLeft w:val="0"/>
                  <w:marRight w:val="0"/>
                  <w:marTop w:val="0"/>
                  <w:marBottom w:val="0"/>
                  <w:divBdr>
                    <w:top w:val="none" w:sz="0" w:space="0" w:color="auto"/>
                    <w:left w:val="none" w:sz="0" w:space="0" w:color="auto"/>
                    <w:bottom w:val="none" w:sz="0" w:space="0" w:color="auto"/>
                    <w:right w:val="none" w:sz="0" w:space="0" w:color="auto"/>
                  </w:divBdr>
                  <w:divsChild>
                    <w:div w:id="1501505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4347782">
          <w:marLeft w:val="0"/>
          <w:marRight w:val="0"/>
          <w:marTop w:val="0"/>
          <w:marBottom w:val="0"/>
          <w:divBdr>
            <w:top w:val="none" w:sz="0" w:space="0" w:color="auto"/>
            <w:left w:val="none" w:sz="0" w:space="0" w:color="auto"/>
            <w:bottom w:val="none" w:sz="0" w:space="0" w:color="auto"/>
            <w:right w:val="none" w:sz="0" w:space="0" w:color="auto"/>
          </w:divBdr>
          <w:divsChild>
            <w:div w:id="740951804">
              <w:marLeft w:val="0"/>
              <w:marRight w:val="0"/>
              <w:marTop w:val="0"/>
              <w:marBottom w:val="600"/>
              <w:divBdr>
                <w:top w:val="single" w:sz="12" w:space="30" w:color="D5D5D5"/>
                <w:left w:val="none" w:sz="0" w:space="0" w:color="auto"/>
                <w:bottom w:val="none" w:sz="0" w:space="0" w:color="auto"/>
                <w:right w:val="none" w:sz="0" w:space="0" w:color="auto"/>
              </w:divBdr>
            </w:div>
            <w:div w:id="1262182453">
              <w:marLeft w:val="0"/>
              <w:marRight w:val="0"/>
              <w:marTop w:val="0"/>
              <w:marBottom w:val="0"/>
              <w:divBdr>
                <w:top w:val="none" w:sz="0" w:space="0" w:color="auto"/>
                <w:left w:val="none" w:sz="0" w:space="0" w:color="auto"/>
                <w:bottom w:val="none" w:sz="0" w:space="0" w:color="auto"/>
                <w:right w:val="none" w:sz="0" w:space="0" w:color="auto"/>
              </w:divBdr>
              <w:divsChild>
                <w:div w:id="33580975">
                  <w:marLeft w:val="0"/>
                  <w:marRight w:val="0"/>
                  <w:marTop w:val="0"/>
                  <w:marBottom w:val="0"/>
                  <w:divBdr>
                    <w:top w:val="none" w:sz="0" w:space="0" w:color="auto"/>
                    <w:left w:val="none" w:sz="0" w:space="0" w:color="auto"/>
                    <w:bottom w:val="none" w:sz="0" w:space="0" w:color="auto"/>
                    <w:right w:val="none" w:sz="0" w:space="0" w:color="auto"/>
                  </w:divBdr>
                  <w:divsChild>
                    <w:div w:id="149686379">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 w:id="1702363724">
              <w:marLeft w:val="0"/>
              <w:marRight w:val="0"/>
              <w:marTop w:val="0"/>
              <w:marBottom w:val="0"/>
              <w:divBdr>
                <w:top w:val="none" w:sz="0" w:space="0" w:color="auto"/>
                <w:left w:val="none" w:sz="0" w:space="0" w:color="auto"/>
                <w:bottom w:val="none" w:sz="0" w:space="0" w:color="auto"/>
                <w:right w:val="none" w:sz="0" w:space="0" w:color="auto"/>
              </w:divBdr>
              <w:divsChild>
                <w:div w:id="17645723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19762941">
      <w:bodyDiv w:val="1"/>
      <w:marLeft w:val="0"/>
      <w:marRight w:val="0"/>
      <w:marTop w:val="0"/>
      <w:marBottom w:val="0"/>
      <w:divBdr>
        <w:top w:val="none" w:sz="0" w:space="0" w:color="auto"/>
        <w:left w:val="none" w:sz="0" w:space="0" w:color="auto"/>
        <w:bottom w:val="none" w:sz="0" w:space="0" w:color="auto"/>
        <w:right w:val="none" w:sz="0" w:space="0" w:color="auto"/>
      </w:divBdr>
      <w:divsChild>
        <w:div w:id="326789003">
          <w:marLeft w:val="0"/>
          <w:marRight w:val="0"/>
          <w:marTop w:val="0"/>
          <w:marBottom w:val="0"/>
          <w:divBdr>
            <w:top w:val="none" w:sz="0" w:space="0" w:color="auto"/>
            <w:left w:val="none" w:sz="0" w:space="0" w:color="auto"/>
            <w:bottom w:val="none" w:sz="0" w:space="0" w:color="auto"/>
            <w:right w:val="none" w:sz="0" w:space="0" w:color="auto"/>
          </w:divBdr>
          <w:divsChild>
            <w:div w:id="1127505380">
              <w:marLeft w:val="0"/>
              <w:marRight w:val="0"/>
              <w:marTop w:val="0"/>
              <w:marBottom w:val="600"/>
              <w:divBdr>
                <w:top w:val="none" w:sz="0" w:space="0" w:color="auto"/>
                <w:left w:val="none" w:sz="0" w:space="0" w:color="auto"/>
                <w:bottom w:val="none" w:sz="0" w:space="0" w:color="auto"/>
                <w:right w:val="none" w:sz="0" w:space="0" w:color="auto"/>
              </w:divBdr>
            </w:div>
          </w:divsChild>
        </w:div>
        <w:div w:id="489444450">
          <w:marLeft w:val="0"/>
          <w:marRight w:val="0"/>
          <w:marTop w:val="0"/>
          <w:marBottom w:val="0"/>
          <w:divBdr>
            <w:top w:val="none" w:sz="0" w:space="0" w:color="auto"/>
            <w:left w:val="none" w:sz="0" w:space="0" w:color="auto"/>
            <w:bottom w:val="none" w:sz="0" w:space="0" w:color="auto"/>
            <w:right w:val="none" w:sz="0" w:space="0" w:color="auto"/>
          </w:divBdr>
          <w:divsChild>
            <w:div w:id="2014644592">
              <w:marLeft w:val="0"/>
              <w:marRight w:val="0"/>
              <w:marTop w:val="0"/>
              <w:marBottom w:val="0"/>
              <w:divBdr>
                <w:top w:val="none" w:sz="0" w:space="0" w:color="auto"/>
                <w:left w:val="none" w:sz="0" w:space="0" w:color="auto"/>
                <w:bottom w:val="none" w:sz="0" w:space="0" w:color="auto"/>
                <w:right w:val="none" w:sz="0" w:space="0" w:color="auto"/>
              </w:divBdr>
              <w:divsChild>
                <w:div w:id="1553737594">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165824754">
      <w:bodyDiv w:val="1"/>
      <w:marLeft w:val="0"/>
      <w:marRight w:val="0"/>
      <w:marTop w:val="0"/>
      <w:marBottom w:val="0"/>
      <w:divBdr>
        <w:top w:val="none" w:sz="0" w:space="0" w:color="auto"/>
        <w:left w:val="none" w:sz="0" w:space="0" w:color="auto"/>
        <w:bottom w:val="none" w:sz="0" w:space="0" w:color="auto"/>
        <w:right w:val="none" w:sz="0" w:space="0" w:color="auto"/>
      </w:divBdr>
      <w:divsChild>
        <w:div w:id="1194535600">
          <w:marLeft w:val="0"/>
          <w:marRight w:val="0"/>
          <w:marTop w:val="0"/>
          <w:marBottom w:val="0"/>
          <w:divBdr>
            <w:top w:val="none" w:sz="0" w:space="0" w:color="auto"/>
            <w:left w:val="none" w:sz="0" w:space="0" w:color="auto"/>
            <w:bottom w:val="none" w:sz="0" w:space="0" w:color="auto"/>
            <w:right w:val="none" w:sz="0" w:space="0" w:color="auto"/>
          </w:divBdr>
          <w:divsChild>
            <w:div w:id="1510027032">
              <w:marLeft w:val="0"/>
              <w:marRight w:val="0"/>
              <w:marTop w:val="0"/>
              <w:marBottom w:val="600"/>
              <w:divBdr>
                <w:top w:val="none" w:sz="0" w:space="0" w:color="auto"/>
                <w:left w:val="none" w:sz="0" w:space="0" w:color="auto"/>
                <w:bottom w:val="none" w:sz="0" w:space="0" w:color="auto"/>
                <w:right w:val="none" w:sz="0" w:space="0" w:color="auto"/>
              </w:divBdr>
            </w:div>
          </w:divsChild>
        </w:div>
        <w:div w:id="1881816530">
          <w:marLeft w:val="0"/>
          <w:marRight w:val="0"/>
          <w:marTop w:val="0"/>
          <w:marBottom w:val="0"/>
          <w:divBdr>
            <w:top w:val="none" w:sz="0" w:space="0" w:color="auto"/>
            <w:left w:val="none" w:sz="0" w:space="0" w:color="auto"/>
            <w:bottom w:val="none" w:sz="0" w:space="0" w:color="auto"/>
            <w:right w:val="none" w:sz="0" w:space="0" w:color="auto"/>
          </w:divBdr>
          <w:divsChild>
            <w:div w:id="1846632791">
              <w:marLeft w:val="0"/>
              <w:marRight w:val="0"/>
              <w:marTop w:val="0"/>
              <w:marBottom w:val="0"/>
              <w:divBdr>
                <w:top w:val="none" w:sz="0" w:space="0" w:color="auto"/>
                <w:left w:val="none" w:sz="0" w:space="0" w:color="auto"/>
                <w:bottom w:val="none" w:sz="0" w:space="0" w:color="auto"/>
                <w:right w:val="none" w:sz="0" w:space="0" w:color="auto"/>
              </w:divBdr>
              <w:divsChild>
                <w:div w:id="980574461">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206722066">
      <w:bodyDiv w:val="1"/>
      <w:marLeft w:val="0"/>
      <w:marRight w:val="0"/>
      <w:marTop w:val="0"/>
      <w:marBottom w:val="0"/>
      <w:divBdr>
        <w:top w:val="none" w:sz="0" w:space="0" w:color="auto"/>
        <w:left w:val="none" w:sz="0" w:space="0" w:color="auto"/>
        <w:bottom w:val="none" w:sz="0" w:space="0" w:color="auto"/>
        <w:right w:val="none" w:sz="0" w:space="0" w:color="auto"/>
      </w:divBdr>
      <w:divsChild>
        <w:div w:id="24717349">
          <w:marLeft w:val="0"/>
          <w:marRight w:val="0"/>
          <w:marTop w:val="0"/>
          <w:marBottom w:val="0"/>
          <w:divBdr>
            <w:top w:val="none" w:sz="0" w:space="0" w:color="auto"/>
            <w:left w:val="none" w:sz="0" w:space="0" w:color="auto"/>
            <w:bottom w:val="none" w:sz="0" w:space="0" w:color="auto"/>
            <w:right w:val="none" w:sz="0" w:space="0" w:color="auto"/>
          </w:divBdr>
          <w:divsChild>
            <w:div w:id="5132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5422">
      <w:bodyDiv w:val="1"/>
      <w:marLeft w:val="0"/>
      <w:marRight w:val="0"/>
      <w:marTop w:val="0"/>
      <w:marBottom w:val="0"/>
      <w:divBdr>
        <w:top w:val="none" w:sz="0" w:space="0" w:color="auto"/>
        <w:left w:val="none" w:sz="0" w:space="0" w:color="auto"/>
        <w:bottom w:val="none" w:sz="0" w:space="0" w:color="auto"/>
        <w:right w:val="none" w:sz="0" w:space="0" w:color="auto"/>
      </w:divBdr>
    </w:div>
    <w:div w:id="1298871788">
      <w:bodyDiv w:val="1"/>
      <w:marLeft w:val="0"/>
      <w:marRight w:val="0"/>
      <w:marTop w:val="0"/>
      <w:marBottom w:val="0"/>
      <w:divBdr>
        <w:top w:val="none" w:sz="0" w:space="0" w:color="auto"/>
        <w:left w:val="none" w:sz="0" w:space="0" w:color="auto"/>
        <w:bottom w:val="none" w:sz="0" w:space="0" w:color="auto"/>
        <w:right w:val="none" w:sz="0" w:space="0" w:color="auto"/>
      </w:divBdr>
    </w:div>
    <w:div w:id="1317490432">
      <w:bodyDiv w:val="1"/>
      <w:marLeft w:val="0"/>
      <w:marRight w:val="0"/>
      <w:marTop w:val="0"/>
      <w:marBottom w:val="0"/>
      <w:divBdr>
        <w:top w:val="none" w:sz="0" w:space="0" w:color="auto"/>
        <w:left w:val="none" w:sz="0" w:space="0" w:color="auto"/>
        <w:bottom w:val="none" w:sz="0" w:space="0" w:color="auto"/>
        <w:right w:val="none" w:sz="0" w:space="0" w:color="auto"/>
      </w:divBdr>
    </w:div>
    <w:div w:id="1440371060">
      <w:bodyDiv w:val="1"/>
      <w:marLeft w:val="0"/>
      <w:marRight w:val="0"/>
      <w:marTop w:val="0"/>
      <w:marBottom w:val="0"/>
      <w:divBdr>
        <w:top w:val="none" w:sz="0" w:space="0" w:color="auto"/>
        <w:left w:val="none" w:sz="0" w:space="0" w:color="auto"/>
        <w:bottom w:val="none" w:sz="0" w:space="0" w:color="auto"/>
        <w:right w:val="none" w:sz="0" w:space="0" w:color="auto"/>
      </w:divBdr>
      <w:divsChild>
        <w:div w:id="1141265625">
          <w:marLeft w:val="0"/>
          <w:marRight w:val="0"/>
          <w:marTop w:val="0"/>
          <w:marBottom w:val="0"/>
          <w:divBdr>
            <w:top w:val="none" w:sz="0" w:space="0" w:color="auto"/>
            <w:left w:val="none" w:sz="0" w:space="0" w:color="auto"/>
            <w:bottom w:val="none" w:sz="0" w:space="0" w:color="auto"/>
            <w:right w:val="none" w:sz="0" w:space="0" w:color="auto"/>
          </w:divBdr>
          <w:divsChild>
            <w:div w:id="1707832660">
              <w:marLeft w:val="0"/>
              <w:marRight w:val="0"/>
              <w:marTop w:val="0"/>
              <w:marBottom w:val="0"/>
              <w:divBdr>
                <w:top w:val="none" w:sz="0" w:space="0" w:color="auto"/>
                <w:left w:val="none" w:sz="0" w:space="0" w:color="auto"/>
                <w:bottom w:val="single" w:sz="6" w:space="19" w:color="E6E6E6"/>
                <w:right w:val="none" w:sz="0" w:space="0" w:color="auto"/>
              </w:divBdr>
              <w:divsChild>
                <w:div w:id="335304799">
                  <w:marLeft w:val="0"/>
                  <w:marRight w:val="0"/>
                  <w:marTop w:val="0"/>
                  <w:marBottom w:val="0"/>
                  <w:divBdr>
                    <w:top w:val="none" w:sz="0" w:space="0" w:color="auto"/>
                    <w:left w:val="none" w:sz="0" w:space="0" w:color="auto"/>
                    <w:bottom w:val="none" w:sz="0" w:space="0" w:color="auto"/>
                    <w:right w:val="none" w:sz="0" w:space="0" w:color="auto"/>
                  </w:divBdr>
                  <w:divsChild>
                    <w:div w:id="1611207849">
                      <w:marLeft w:val="0"/>
                      <w:marRight w:val="1590"/>
                      <w:marTop w:val="0"/>
                      <w:marBottom w:val="0"/>
                      <w:divBdr>
                        <w:top w:val="none" w:sz="0" w:space="0" w:color="auto"/>
                        <w:left w:val="none" w:sz="0" w:space="0" w:color="auto"/>
                        <w:bottom w:val="none" w:sz="0" w:space="0" w:color="auto"/>
                        <w:right w:val="none" w:sz="0" w:space="0" w:color="auto"/>
                      </w:divBdr>
                      <w:divsChild>
                        <w:div w:id="1117602089">
                          <w:marLeft w:val="0"/>
                          <w:marRight w:val="0"/>
                          <w:marTop w:val="210"/>
                          <w:marBottom w:val="0"/>
                          <w:divBdr>
                            <w:top w:val="none" w:sz="0" w:space="0" w:color="auto"/>
                            <w:left w:val="none" w:sz="0" w:space="0" w:color="auto"/>
                            <w:bottom w:val="none" w:sz="0" w:space="0" w:color="auto"/>
                            <w:right w:val="none" w:sz="0" w:space="0" w:color="auto"/>
                          </w:divBdr>
                          <w:divsChild>
                            <w:div w:id="2106416563">
                              <w:marLeft w:val="0"/>
                              <w:marRight w:val="0"/>
                              <w:marTop w:val="120"/>
                              <w:marBottom w:val="0"/>
                              <w:divBdr>
                                <w:top w:val="none" w:sz="0" w:space="0" w:color="auto"/>
                                <w:left w:val="none" w:sz="0" w:space="0" w:color="auto"/>
                                <w:bottom w:val="none" w:sz="0" w:space="0" w:color="auto"/>
                                <w:right w:val="none" w:sz="0" w:space="0" w:color="auto"/>
                              </w:divBdr>
                              <w:divsChild>
                                <w:div w:id="11976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073920">
      <w:bodyDiv w:val="1"/>
      <w:marLeft w:val="0"/>
      <w:marRight w:val="0"/>
      <w:marTop w:val="0"/>
      <w:marBottom w:val="0"/>
      <w:divBdr>
        <w:top w:val="none" w:sz="0" w:space="0" w:color="auto"/>
        <w:left w:val="none" w:sz="0" w:space="0" w:color="auto"/>
        <w:bottom w:val="none" w:sz="0" w:space="0" w:color="auto"/>
        <w:right w:val="none" w:sz="0" w:space="0" w:color="auto"/>
      </w:divBdr>
    </w:div>
    <w:div w:id="1501504238">
      <w:bodyDiv w:val="1"/>
      <w:marLeft w:val="0"/>
      <w:marRight w:val="0"/>
      <w:marTop w:val="0"/>
      <w:marBottom w:val="0"/>
      <w:divBdr>
        <w:top w:val="none" w:sz="0" w:space="0" w:color="auto"/>
        <w:left w:val="none" w:sz="0" w:space="0" w:color="auto"/>
        <w:bottom w:val="none" w:sz="0" w:space="0" w:color="auto"/>
        <w:right w:val="none" w:sz="0" w:space="0" w:color="auto"/>
      </w:divBdr>
    </w:div>
    <w:div w:id="1506284068">
      <w:bodyDiv w:val="1"/>
      <w:marLeft w:val="0"/>
      <w:marRight w:val="0"/>
      <w:marTop w:val="0"/>
      <w:marBottom w:val="0"/>
      <w:divBdr>
        <w:top w:val="none" w:sz="0" w:space="0" w:color="auto"/>
        <w:left w:val="none" w:sz="0" w:space="0" w:color="auto"/>
        <w:bottom w:val="none" w:sz="0" w:space="0" w:color="auto"/>
        <w:right w:val="none" w:sz="0" w:space="0" w:color="auto"/>
      </w:divBdr>
    </w:div>
    <w:div w:id="1575312500">
      <w:bodyDiv w:val="1"/>
      <w:marLeft w:val="0"/>
      <w:marRight w:val="0"/>
      <w:marTop w:val="0"/>
      <w:marBottom w:val="0"/>
      <w:divBdr>
        <w:top w:val="none" w:sz="0" w:space="0" w:color="auto"/>
        <w:left w:val="none" w:sz="0" w:space="0" w:color="auto"/>
        <w:bottom w:val="none" w:sz="0" w:space="0" w:color="auto"/>
        <w:right w:val="none" w:sz="0" w:space="0" w:color="auto"/>
      </w:divBdr>
    </w:div>
    <w:div w:id="1616911709">
      <w:bodyDiv w:val="1"/>
      <w:marLeft w:val="0"/>
      <w:marRight w:val="0"/>
      <w:marTop w:val="0"/>
      <w:marBottom w:val="0"/>
      <w:divBdr>
        <w:top w:val="none" w:sz="0" w:space="0" w:color="auto"/>
        <w:left w:val="none" w:sz="0" w:space="0" w:color="auto"/>
        <w:bottom w:val="none" w:sz="0" w:space="0" w:color="auto"/>
        <w:right w:val="none" w:sz="0" w:space="0" w:color="auto"/>
      </w:divBdr>
      <w:divsChild>
        <w:div w:id="388457936">
          <w:marLeft w:val="0"/>
          <w:marRight w:val="0"/>
          <w:marTop w:val="0"/>
          <w:marBottom w:val="0"/>
          <w:divBdr>
            <w:top w:val="none" w:sz="0" w:space="0" w:color="auto"/>
            <w:left w:val="none" w:sz="0" w:space="0" w:color="auto"/>
            <w:bottom w:val="none" w:sz="0" w:space="0" w:color="auto"/>
            <w:right w:val="none" w:sz="0" w:space="0" w:color="auto"/>
          </w:divBdr>
          <w:divsChild>
            <w:div w:id="1097293117">
              <w:marLeft w:val="0"/>
              <w:marRight w:val="0"/>
              <w:marTop w:val="0"/>
              <w:marBottom w:val="0"/>
              <w:divBdr>
                <w:top w:val="none" w:sz="0" w:space="0" w:color="auto"/>
                <w:left w:val="none" w:sz="0" w:space="0" w:color="auto"/>
                <w:bottom w:val="single" w:sz="6" w:space="19" w:color="E6E6E6"/>
                <w:right w:val="none" w:sz="0" w:space="0" w:color="auto"/>
              </w:divBdr>
              <w:divsChild>
                <w:div w:id="1028724903">
                  <w:marLeft w:val="0"/>
                  <w:marRight w:val="0"/>
                  <w:marTop w:val="0"/>
                  <w:marBottom w:val="0"/>
                  <w:divBdr>
                    <w:top w:val="none" w:sz="0" w:space="0" w:color="auto"/>
                    <w:left w:val="none" w:sz="0" w:space="0" w:color="auto"/>
                    <w:bottom w:val="none" w:sz="0" w:space="0" w:color="auto"/>
                    <w:right w:val="none" w:sz="0" w:space="0" w:color="auto"/>
                  </w:divBdr>
                  <w:divsChild>
                    <w:div w:id="1489787959">
                      <w:marLeft w:val="0"/>
                      <w:marRight w:val="1590"/>
                      <w:marTop w:val="0"/>
                      <w:marBottom w:val="0"/>
                      <w:divBdr>
                        <w:top w:val="none" w:sz="0" w:space="0" w:color="auto"/>
                        <w:left w:val="none" w:sz="0" w:space="0" w:color="auto"/>
                        <w:bottom w:val="none" w:sz="0" w:space="0" w:color="auto"/>
                        <w:right w:val="none" w:sz="0" w:space="0" w:color="auto"/>
                      </w:divBdr>
                      <w:divsChild>
                        <w:div w:id="1219784287">
                          <w:marLeft w:val="0"/>
                          <w:marRight w:val="0"/>
                          <w:marTop w:val="210"/>
                          <w:marBottom w:val="0"/>
                          <w:divBdr>
                            <w:top w:val="none" w:sz="0" w:space="0" w:color="auto"/>
                            <w:left w:val="none" w:sz="0" w:space="0" w:color="auto"/>
                            <w:bottom w:val="none" w:sz="0" w:space="0" w:color="auto"/>
                            <w:right w:val="none" w:sz="0" w:space="0" w:color="auto"/>
                          </w:divBdr>
                          <w:divsChild>
                            <w:div w:id="1761901959">
                              <w:marLeft w:val="0"/>
                              <w:marRight w:val="0"/>
                              <w:marTop w:val="120"/>
                              <w:marBottom w:val="0"/>
                              <w:divBdr>
                                <w:top w:val="none" w:sz="0" w:space="0" w:color="auto"/>
                                <w:left w:val="none" w:sz="0" w:space="0" w:color="auto"/>
                                <w:bottom w:val="none" w:sz="0" w:space="0" w:color="auto"/>
                                <w:right w:val="none" w:sz="0" w:space="0" w:color="auto"/>
                              </w:divBdr>
                              <w:divsChild>
                                <w:div w:id="1716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19406">
      <w:bodyDiv w:val="1"/>
      <w:marLeft w:val="0"/>
      <w:marRight w:val="0"/>
      <w:marTop w:val="0"/>
      <w:marBottom w:val="0"/>
      <w:divBdr>
        <w:top w:val="none" w:sz="0" w:space="0" w:color="auto"/>
        <w:left w:val="none" w:sz="0" w:space="0" w:color="auto"/>
        <w:bottom w:val="none" w:sz="0" w:space="0" w:color="auto"/>
        <w:right w:val="none" w:sz="0" w:space="0" w:color="auto"/>
      </w:divBdr>
      <w:divsChild>
        <w:div w:id="73674736">
          <w:marLeft w:val="0"/>
          <w:marRight w:val="0"/>
          <w:marTop w:val="0"/>
          <w:marBottom w:val="0"/>
          <w:divBdr>
            <w:top w:val="none" w:sz="0" w:space="0" w:color="auto"/>
            <w:left w:val="none" w:sz="0" w:space="0" w:color="auto"/>
            <w:bottom w:val="none" w:sz="0" w:space="0" w:color="auto"/>
            <w:right w:val="none" w:sz="0" w:space="0" w:color="auto"/>
          </w:divBdr>
          <w:divsChild>
            <w:div w:id="10395546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02598251">
      <w:bodyDiv w:val="1"/>
      <w:marLeft w:val="0"/>
      <w:marRight w:val="0"/>
      <w:marTop w:val="0"/>
      <w:marBottom w:val="0"/>
      <w:divBdr>
        <w:top w:val="none" w:sz="0" w:space="0" w:color="auto"/>
        <w:left w:val="none" w:sz="0" w:space="0" w:color="auto"/>
        <w:bottom w:val="none" w:sz="0" w:space="0" w:color="auto"/>
        <w:right w:val="none" w:sz="0" w:space="0" w:color="auto"/>
      </w:divBdr>
    </w:div>
    <w:div w:id="1932929807">
      <w:bodyDiv w:val="1"/>
      <w:marLeft w:val="0"/>
      <w:marRight w:val="0"/>
      <w:marTop w:val="0"/>
      <w:marBottom w:val="0"/>
      <w:divBdr>
        <w:top w:val="none" w:sz="0" w:space="0" w:color="auto"/>
        <w:left w:val="none" w:sz="0" w:space="0" w:color="auto"/>
        <w:bottom w:val="none" w:sz="0" w:space="0" w:color="auto"/>
        <w:right w:val="none" w:sz="0" w:space="0" w:color="auto"/>
      </w:divBdr>
    </w:div>
    <w:div w:id="2047874903">
      <w:bodyDiv w:val="1"/>
      <w:marLeft w:val="0"/>
      <w:marRight w:val="0"/>
      <w:marTop w:val="0"/>
      <w:marBottom w:val="0"/>
      <w:divBdr>
        <w:top w:val="none" w:sz="0" w:space="0" w:color="auto"/>
        <w:left w:val="none" w:sz="0" w:space="0" w:color="auto"/>
        <w:bottom w:val="none" w:sz="0" w:space="0" w:color="auto"/>
        <w:right w:val="none" w:sz="0" w:space="0" w:color="auto"/>
      </w:divBdr>
      <w:divsChild>
        <w:div w:id="757286258">
          <w:marLeft w:val="0"/>
          <w:marRight w:val="0"/>
          <w:marTop w:val="0"/>
          <w:marBottom w:val="0"/>
          <w:divBdr>
            <w:top w:val="none" w:sz="0" w:space="0" w:color="auto"/>
            <w:left w:val="none" w:sz="0" w:space="0" w:color="auto"/>
            <w:bottom w:val="none" w:sz="0" w:space="0" w:color="auto"/>
            <w:right w:val="none" w:sz="0" w:space="0" w:color="auto"/>
          </w:divBdr>
          <w:divsChild>
            <w:div w:id="1942107508">
              <w:marLeft w:val="0"/>
              <w:marRight w:val="0"/>
              <w:marTop w:val="0"/>
              <w:marBottom w:val="0"/>
              <w:divBdr>
                <w:top w:val="none" w:sz="0" w:space="0" w:color="auto"/>
                <w:left w:val="none" w:sz="0" w:space="0" w:color="auto"/>
                <w:bottom w:val="none" w:sz="0" w:space="0" w:color="auto"/>
                <w:right w:val="none" w:sz="0" w:space="0" w:color="auto"/>
              </w:divBdr>
              <w:divsChild>
                <w:div w:id="136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amazon.de/Gewalt-Verh%C3%A4ltnisse-Feministische-Perspektiven-Geschlecht-Geschlechterverh%C3%A4ltnisse/dp/3593371162?asin=3593371162&amp;revisionId=&amp;format=4&amp;depth=1" TargetMode="External"/><Relationship Id="rId1" Type="http://schemas.openxmlformats.org/officeDocument/2006/relationships/hyperlink" Target="https://www.meta-katalog.eu/Record/14744auszeite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4899</Words>
  <Characters>30869</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Veenema</dc:creator>
  <cp:keywords/>
  <dc:description/>
  <cp:lastModifiedBy>Amelie Veenema</cp:lastModifiedBy>
  <cp:revision>189</cp:revision>
  <dcterms:created xsi:type="dcterms:W3CDTF">2023-10-16T11:39:00Z</dcterms:created>
  <dcterms:modified xsi:type="dcterms:W3CDTF">2023-10-19T15:14:00Z</dcterms:modified>
</cp:coreProperties>
</file>