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1" w:rightFromText="141" w:vertAnchor="text" w:horzAnchor="margin" w:tblpY="114"/>
        <w:tblW w:w="14454" w:type="dxa"/>
        <w:tblLook w:val="04A0" w:firstRow="1" w:lastRow="0" w:firstColumn="1" w:lastColumn="0" w:noHBand="0" w:noVBand="1"/>
      </w:tblPr>
      <w:tblGrid>
        <w:gridCol w:w="4390"/>
        <w:gridCol w:w="10064"/>
      </w:tblGrid>
      <w:tr w:rsidR="00A86737" w:rsidRPr="00F434B0" w14:paraId="2C216C04" w14:textId="77777777" w:rsidTr="00A86737">
        <w:tc>
          <w:tcPr>
            <w:tcW w:w="4390" w:type="dxa"/>
            <w:shd w:val="clear" w:color="auto" w:fill="DEEAF6" w:themeFill="accent5" w:themeFillTint="33"/>
            <w:vAlign w:val="bottom"/>
          </w:tcPr>
          <w:p w14:paraId="7641AB28" w14:textId="093CA35F" w:rsidR="00716146" w:rsidRPr="00F434B0" w:rsidRDefault="00716146" w:rsidP="003A5925">
            <w:pPr>
              <w:spacing w:line="240" w:lineRule="auto"/>
              <w:jc w:val="left"/>
              <w:rPr>
                <w:rFonts w:cs="Arial"/>
                <w:b/>
                <w:bCs/>
                <w:sz w:val="20"/>
                <w:szCs w:val="20"/>
              </w:rPr>
            </w:pPr>
            <w:r w:rsidRPr="00F434B0">
              <w:rPr>
                <w:rFonts w:cs="Arial"/>
                <w:b/>
                <w:bCs/>
                <w:sz w:val="20"/>
                <w:szCs w:val="20"/>
              </w:rPr>
              <w:t>Literaturangabe</w:t>
            </w:r>
          </w:p>
        </w:tc>
        <w:tc>
          <w:tcPr>
            <w:tcW w:w="10064" w:type="dxa"/>
            <w:shd w:val="clear" w:color="auto" w:fill="DEEAF6" w:themeFill="accent5" w:themeFillTint="33"/>
            <w:vAlign w:val="bottom"/>
          </w:tcPr>
          <w:p w14:paraId="50501AD0" w14:textId="236D5FCA" w:rsidR="00716146" w:rsidRPr="00F434B0" w:rsidRDefault="00B51D65" w:rsidP="003A5925">
            <w:pPr>
              <w:spacing w:line="240" w:lineRule="auto"/>
              <w:jc w:val="left"/>
              <w:rPr>
                <w:rFonts w:cs="Arial"/>
                <w:b/>
                <w:bCs/>
                <w:sz w:val="20"/>
                <w:szCs w:val="20"/>
              </w:rPr>
            </w:pPr>
            <w:r w:rsidRPr="00F434B0">
              <w:rPr>
                <w:rFonts w:cs="Arial"/>
                <w:b/>
                <w:bCs/>
                <w:sz w:val="20"/>
                <w:szCs w:val="20"/>
              </w:rPr>
              <w:t>Abstract</w:t>
            </w:r>
          </w:p>
        </w:tc>
      </w:tr>
      <w:tr w:rsidR="00AA3741" w:rsidRPr="00237EE0" w14:paraId="75DDC07B" w14:textId="77777777" w:rsidTr="00296493">
        <w:tc>
          <w:tcPr>
            <w:tcW w:w="4390" w:type="dxa"/>
            <w:shd w:val="clear" w:color="auto" w:fill="A8D08D" w:themeFill="accent6" w:themeFillTint="99"/>
          </w:tcPr>
          <w:p w14:paraId="518CAF76" w14:textId="77777777" w:rsidR="00AA3741" w:rsidRPr="00F434B0" w:rsidRDefault="00AA3741" w:rsidP="003A5925">
            <w:pPr>
              <w:spacing w:before="0" w:line="240" w:lineRule="auto"/>
              <w:jc w:val="left"/>
              <w:rPr>
                <w:rFonts w:cs="Arial"/>
                <w:sz w:val="20"/>
                <w:szCs w:val="20"/>
                <w:lang w:val="en-US"/>
              </w:rPr>
            </w:pPr>
            <w:proofErr w:type="spellStart"/>
            <w:r w:rsidRPr="00F434B0">
              <w:rPr>
                <w:rFonts w:cs="Arial"/>
                <w:sz w:val="20"/>
                <w:szCs w:val="20"/>
                <w:lang w:val="en-US"/>
              </w:rPr>
              <w:t>Almeling</w:t>
            </w:r>
            <w:proofErr w:type="spellEnd"/>
            <w:r w:rsidRPr="00F434B0">
              <w:rPr>
                <w:rFonts w:cs="Arial"/>
                <w:sz w:val="20"/>
                <w:szCs w:val="20"/>
                <w:lang w:val="en-US"/>
              </w:rPr>
              <w:t>, R</w:t>
            </w:r>
            <w:r>
              <w:rPr>
                <w:rFonts w:cs="Arial"/>
                <w:sz w:val="20"/>
                <w:szCs w:val="20"/>
                <w:lang w:val="en-US"/>
              </w:rPr>
              <w:t>ene.</w:t>
            </w:r>
            <w:r w:rsidRPr="00F434B0">
              <w:rPr>
                <w:rFonts w:cs="Arial"/>
                <w:sz w:val="20"/>
                <w:szCs w:val="20"/>
                <w:lang w:val="en-US"/>
              </w:rPr>
              <w:t xml:space="preserve"> 2015. Reproduction</w:t>
            </w:r>
            <w:r w:rsidRPr="001F2799">
              <w:rPr>
                <w:rFonts w:cs="Arial"/>
                <w:i/>
                <w:iCs/>
                <w:sz w:val="20"/>
                <w:szCs w:val="20"/>
                <w:lang w:val="en-US"/>
              </w:rPr>
              <w:t>. Annual Review of Sociology</w:t>
            </w:r>
            <w:r w:rsidRPr="00F434B0">
              <w:rPr>
                <w:rFonts w:cs="Arial"/>
                <w:sz w:val="20"/>
                <w:szCs w:val="20"/>
                <w:lang w:val="en-US"/>
              </w:rPr>
              <w:t xml:space="preserve"> 41</w:t>
            </w:r>
            <w:r>
              <w:rPr>
                <w:rFonts w:cs="Arial"/>
                <w:sz w:val="20"/>
                <w:szCs w:val="20"/>
                <w:lang w:val="en-US"/>
              </w:rPr>
              <w:t xml:space="preserve">: </w:t>
            </w:r>
            <w:r w:rsidRPr="00F434B0">
              <w:rPr>
                <w:rFonts w:cs="Arial"/>
                <w:sz w:val="20"/>
                <w:szCs w:val="20"/>
                <w:lang w:val="en-US"/>
              </w:rPr>
              <w:t>423–442. http://www.jstor.org/stable/24807606</w:t>
            </w:r>
          </w:p>
        </w:tc>
        <w:tc>
          <w:tcPr>
            <w:tcW w:w="10064" w:type="dxa"/>
          </w:tcPr>
          <w:p w14:paraId="1D342E37"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Every human being in every society results from reproduction, and most American men and women will have a child at some point in their lives. Even those who do not want to have children must contend with strong cultural presumptions around parenthood and, if they are sexually active, take steps to ensure they do not reproduce. In this review I discuss recent research on pregnancy, birth, abortion, contraception, infertility, and assisted reproduction. I argue that social scientists have conceptualized reproduction as a series of events that occur primarily in women's bodies. To stimulate theoretical and empirical research in this area, I develop a new conceptualization of reproduction as a biological and social process. I conclude by pointing to areas in need of further research, including reproductive aging, men, and the integration of qualitative and quantitative research.</w:t>
            </w:r>
          </w:p>
        </w:tc>
      </w:tr>
      <w:tr w:rsidR="00AA3741" w:rsidRPr="00F434B0" w14:paraId="1D548C9D" w14:textId="77777777" w:rsidTr="00DE397D">
        <w:tc>
          <w:tcPr>
            <w:tcW w:w="4390" w:type="dxa"/>
            <w:shd w:val="clear" w:color="auto" w:fill="FF66CC"/>
          </w:tcPr>
          <w:p w14:paraId="572E19FB" w14:textId="77777777" w:rsidR="00AA3741" w:rsidRPr="004029FA" w:rsidRDefault="00AA3741" w:rsidP="003A5925">
            <w:pPr>
              <w:spacing w:before="0" w:line="240" w:lineRule="auto"/>
              <w:jc w:val="left"/>
              <w:rPr>
                <w:rFonts w:cs="Arial"/>
                <w:sz w:val="20"/>
                <w:szCs w:val="20"/>
                <w:lang w:val="en-US"/>
              </w:rPr>
            </w:pPr>
            <w:r w:rsidRPr="004029FA">
              <w:rPr>
                <w:rFonts w:cs="Arial"/>
                <w:sz w:val="20"/>
                <w:szCs w:val="20"/>
                <w:lang w:val="en-US"/>
              </w:rPr>
              <w:t xml:space="preserve">Athan, Aurélie M. 2020. Reproductive Identity: An Emerging Concept. </w:t>
            </w:r>
            <w:r w:rsidRPr="004029FA">
              <w:rPr>
                <w:rFonts w:cs="Arial"/>
                <w:i/>
                <w:iCs/>
                <w:sz w:val="20"/>
                <w:szCs w:val="20"/>
                <w:lang w:val="en-US"/>
              </w:rPr>
              <w:t xml:space="preserve">American Psychologist </w:t>
            </w:r>
            <w:r w:rsidRPr="004029FA">
              <w:rPr>
                <w:rFonts w:cs="Arial"/>
                <w:sz w:val="20"/>
                <w:szCs w:val="20"/>
                <w:lang w:val="en-US"/>
              </w:rPr>
              <w:t>75 (4): 445–456.</w:t>
            </w:r>
          </w:p>
        </w:tc>
        <w:tc>
          <w:tcPr>
            <w:tcW w:w="10064" w:type="dxa"/>
          </w:tcPr>
          <w:p w14:paraId="1EA79039" w14:textId="77777777" w:rsidR="00AA3741" w:rsidRPr="004029FA" w:rsidRDefault="00AA3741" w:rsidP="003A5925">
            <w:pPr>
              <w:spacing w:before="0" w:line="240" w:lineRule="auto"/>
              <w:jc w:val="left"/>
              <w:rPr>
                <w:rFonts w:cs="Arial"/>
                <w:sz w:val="20"/>
                <w:szCs w:val="20"/>
              </w:rPr>
            </w:pPr>
            <w:r w:rsidRPr="004029FA">
              <w:rPr>
                <w:rFonts w:cs="Arial"/>
                <w:sz w:val="20"/>
                <w:szCs w:val="20"/>
                <w:lang w:val="en-US"/>
              </w:rPr>
              <w:t xml:space="preserve">Deciding </w:t>
            </w:r>
            <w:proofErr w:type="gramStart"/>
            <w:r w:rsidRPr="004029FA">
              <w:rPr>
                <w:rFonts w:cs="Arial"/>
                <w:sz w:val="20"/>
                <w:szCs w:val="20"/>
                <w:lang w:val="en-US"/>
              </w:rPr>
              <w:t>whether or not</w:t>
            </w:r>
            <w:proofErr w:type="gramEnd"/>
            <w:r w:rsidRPr="004029FA">
              <w:rPr>
                <w:rFonts w:cs="Arial"/>
                <w:sz w:val="20"/>
                <w:szCs w:val="20"/>
                <w:lang w:val="en-US"/>
              </w:rPr>
              <w:t xml:space="preserve"> to become a parent is a developmental milestone in the adult life course yet the specific term of reproductive identity is not commonplace. Significant demographic shifts in fertility and the social ideals of self-realization have impacted how reproduction is performed and families are structured, particularly for women and Lesbian, Gay, Bisexual, Transgender, Queer, Intersex and Asexual (LGBTQIA) communities. Like gender and sexuality, reproduction is a healthy aspect of human expression to be openly explored, destigmatized, and self-authored. This article will review relevant identity development theories and propose a preliminary definition for the emerging concept of reproductive identity. </w:t>
            </w:r>
            <w:proofErr w:type="spellStart"/>
            <w:r w:rsidRPr="004029FA">
              <w:rPr>
                <w:rFonts w:cs="Arial"/>
                <w:sz w:val="20"/>
                <w:szCs w:val="20"/>
              </w:rPr>
              <w:t>Implications</w:t>
            </w:r>
            <w:proofErr w:type="spellEnd"/>
            <w:r w:rsidRPr="004029FA">
              <w:rPr>
                <w:rFonts w:cs="Arial"/>
                <w:sz w:val="20"/>
                <w:szCs w:val="20"/>
              </w:rPr>
              <w:t xml:space="preserve"> </w:t>
            </w:r>
            <w:proofErr w:type="spellStart"/>
            <w:r w:rsidRPr="004029FA">
              <w:rPr>
                <w:rFonts w:cs="Arial"/>
                <w:sz w:val="20"/>
                <w:szCs w:val="20"/>
              </w:rPr>
              <w:t>for</w:t>
            </w:r>
            <w:proofErr w:type="spellEnd"/>
            <w:r w:rsidRPr="004029FA">
              <w:rPr>
                <w:rFonts w:cs="Arial"/>
                <w:sz w:val="20"/>
                <w:szCs w:val="20"/>
              </w:rPr>
              <w:t xml:space="preserve"> </w:t>
            </w:r>
            <w:proofErr w:type="spellStart"/>
            <w:r w:rsidRPr="004029FA">
              <w:rPr>
                <w:rFonts w:cs="Arial"/>
                <w:sz w:val="20"/>
                <w:szCs w:val="20"/>
              </w:rPr>
              <w:t>research</w:t>
            </w:r>
            <w:proofErr w:type="spellEnd"/>
            <w:r w:rsidRPr="004029FA">
              <w:rPr>
                <w:rFonts w:cs="Arial"/>
                <w:sz w:val="20"/>
                <w:szCs w:val="20"/>
              </w:rPr>
              <w:t xml:space="preserve">, </w:t>
            </w:r>
            <w:proofErr w:type="spellStart"/>
            <w:r w:rsidRPr="004029FA">
              <w:rPr>
                <w:rFonts w:cs="Arial"/>
                <w:sz w:val="20"/>
                <w:szCs w:val="20"/>
              </w:rPr>
              <w:t>education</w:t>
            </w:r>
            <w:proofErr w:type="spellEnd"/>
            <w:r w:rsidRPr="004029FA">
              <w:rPr>
                <w:rFonts w:cs="Arial"/>
                <w:sz w:val="20"/>
                <w:szCs w:val="20"/>
              </w:rPr>
              <w:t xml:space="preserve">, and </w:t>
            </w:r>
            <w:proofErr w:type="spellStart"/>
            <w:r w:rsidRPr="004029FA">
              <w:rPr>
                <w:rFonts w:cs="Arial"/>
                <w:sz w:val="20"/>
                <w:szCs w:val="20"/>
              </w:rPr>
              <w:t>counseling</w:t>
            </w:r>
            <w:proofErr w:type="spellEnd"/>
            <w:r w:rsidRPr="004029FA">
              <w:rPr>
                <w:rFonts w:cs="Arial"/>
                <w:sz w:val="20"/>
                <w:szCs w:val="20"/>
              </w:rPr>
              <w:t xml:space="preserve"> will </w:t>
            </w:r>
            <w:proofErr w:type="spellStart"/>
            <w:r w:rsidRPr="004029FA">
              <w:rPr>
                <w:rFonts w:cs="Arial"/>
                <w:sz w:val="20"/>
                <w:szCs w:val="20"/>
              </w:rPr>
              <w:t>be</w:t>
            </w:r>
            <w:proofErr w:type="spellEnd"/>
            <w:r w:rsidRPr="004029FA">
              <w:rPr>
                <w:rFonts w:cs="Arial"/>
                <w:sz w:val="20"/>
                <w:szCs w:val="20"/>
              </w:rPr>
              <w:t xml:space="preserve"> </w:t>
            </w:r>
            <w:proofErr w:type="spellStart"/>
            <w:r w:rsidRPr="004029FA">
              <w:rPr>
                <w:rFonts w:cs="Arial"/>
                <w:sz w:val="20"/>
                <w:szCs w:val="20"/>
              </w:rPr>
              <w:t>considered</w:t>
            </w:r>
            <w:proofErr w:type="spellEnd"/>
            <w:r w:rsidRPr="004029FA">
              <w:rPr>
                <w:rFonts w:cs="Arial"/>
                <w:sz w:val="20"/>
                <w:szCs w:val="20"/>
              </w:rPr>
              <w:t>.</w:t>
            </w:r>
          </w:p>
        </w:tc>
      </w:tr>
      <w:tr w:rsidR="00AA3741" w:rsidRPr="00F434B0" w14:paraId="51BFA152" w14:textId="77777777" w:rsidTr="00F551DF">
        <w:tc>
          <w:tcPr>
            <w:tcW w:w="4390" w:type="dxa"/>
            <w:shd w:val="clear" w:color="auto" w:fill="E482D1"/>
          </w:tcPr>
          <w:p w14:paraId="4FA31576" w14:textId="77777777" w:rsidR="00AA3741" w:rsidRPr="00F434B0" w:rsidRDefault="00AA3741" w:rsidP="001B794A">
            <w:pPr>
              <w:spacing w:before="0" w:line="240" w:lineRule="auto"/>
              <w:jc w:val="left"/>
              <w:rPr>
                <w:rFonts w:cs="Arial"/>
                <w:sz w:val="20"/>
                <w:szCs w:val="20"/>
              </w:rPr>
            </w:pPr>
            <w:proofErr w:type="spellStart"/>
            <w:r w:rsidRPr="00F434B0">
              <w:rPr>
                <w:rFonts w:cs="Arial"/>
                <w:sz w:val="20"/>
                <w:szCs w:val="20"/>
              </w:rPr>
              <w:t>Aulenbacher</w:t>
            </w:r>
            <w:proofErr w:type="spellEnd"/>
            <w:r w:rsidRPr="00F434B0">
              <w:rPr>
                <w:rFonts w:cs="Arial"/>
                <w:sz w:val="20"/>
                <w:szCs w:val="20"/>
              </w:rPr>
              <w:t>, B</w:t>
            </w:r>
            <w:r>
              <w:rPr>
                <w:rFonts w:cs="Arial"/>
                <w:sz w:val="20"/>
                <w:szCs w:val="20"/>
              </w:rPr>
              <w:t>rigitte</w:t>
            </w:r>
            <w:r w:rsidRPr="00F434B0">
              <w:rPr>
                <w:rFonts w:cs="Arial"/>
                <w:sz w:val="20"/>
                <w:szCs w:val="20"/>
              </w:rPr>
              <w:t xml:space="preserve">, </w:t>
            </w:r>
            <w:r>
              <w:rPr>
                <w:rFonts w:cs="Arial"/>
                <w:sz w:val="20"/>
                <w:szCs w:val="20"/>
              </w:rPr>
              <w:t xml:space="preserve">Birgit </w:t>
            </w:r>
            <w:proofErr w:type="spellStart"/>
            <w:r>
              <w:rPr>
                <w:rFonts w:cs="Arial"/>
                <w:sz w:val="20"/>
                <w:szCs w:val="20"/>
              </w:rPr>
              <w:t>Riegraf</w:t>
            </w:r>
            <w:proofErr w:type="spellEnd"/>
            <w:r>
              <w:rPr>
                <w:rFonts w:cs="Arial"/>
                <w:sz w:val="20"/>
                <w:szCs w:val="20"/>
              </w:rPr>
              <w:t xml:space="preserve"> und Hildegard Theobald, Hrsg. </w:t>
            </w:r>
            <w:r w:rsidRPr="00F434B0">
              <w:rPr>
                <w:rFonts w:cs="Arial"/>
                <w:sz w:val="20"/>
                <w:szCs w:val="20"/>
              </w:rPr>
              <w:t xml:space="preserve">2014. </w:t>
            </w:r>
            <w:r w:rsidRPr="001B794A">
              <w:rPr>
                <w:rFonts w:cs="Arial"/>
                <w:i/>
                <w:iCs/>
                <w:sz w:val="20"/>
                <w:szCs w:val="20"/>
              </w:rPr>
              <w:t>Sorge: Arbeit, Verhältnisse, Regime.</w:t>
            </w:r>
            <w:r w:rsidRPr="00F434B0">
              <w:rPr>
                <w:rFonts w:cs="Arial"/>
                <w:sz w:val="20"/>
                <w:szCs w:val="20"/>
              </w:rPr>
              <w:t xml:space="preserve"> </w:t>
            </w:r>
            <w:r>
              <w:rPr>
                <w:rFonts w:cs="Arial"/>
                <w:sz w:val="20"/>
                <w:szCs w:val="20"/>
              </w:rPr>
              <w:t xml:space="preserve">Sonderheft </w:t>
            </w:r>
            <w:r w:rsidRPr="00F434B0">
              <w:rPr>
                <w:rFonts w:cs="Arial"/>
                <w:sz w:val="20"/>
                <w:szCs w:val="20"/>
              </w:rPr>
              <w:t>Soziale Welt</w:t>
            </w:r>
            <w:r>
              <w:rPr>
                <w:rFonts w:cs="Arial"/>
                <w:sz w:val="20"/>
                <w:szCs w:val="20"/>
              </w:rPr>
              <w:t xml:space="preserve"> (20). </w:t>
            </w:r>
            <w:r w:rsidRPr="00F434B0">
              <w:rPr>
                <w:rFonts w:cs="Arial"/>
                <w:sz w:val="20"/>
                <w:szCs w:val="20"/>
              </w:rPr>
              <w:t>Baden-Baden: Nomos.</w:t>
            </w:r>
          </w:p>
        </w:tc>
        <w:tc>
          <w:tcPr>
            <w:tcW w:w="10064" w:type="dxa"/>
          </w:tcPr>
          <w:p w14:paraId="3E7B3313" w14:textId="77777777" w:rsidR="00AA3741" w:rsidRPr="00F434B0" w:rsidRDefault="00AA3741" w:rsidP="004916F8">
            <w:pPr>
              <w:spacing w:before="0" w:line="240" w:lineRule="auto"/>
              <w:jc w:val="left"/>
              <w:rPr>
                <w:rFonts w:cs="Arial"/>
                <w:sz w:val="20"/>
                <w:szCs w:val="20"/>
              </w:rPr>
            </w:pPr>
            <w:r w:rsidRPr="00F434B0">
              <w:rPr>
                <w:rFonts w:cs="Arial"/>
                <w:sz w:val="20"/>
                <w:szCs w:val="20"/>
              </w:rPr>
              <w:t>Sorge und Sorgearbeit sind in ihrer Gefährdung zu gesellschaftlich und soziologisch bedeutsamen Themen geworden. In internationalen Sozialdiagnosen und Weiterführungen des Forschungsstandes vermisst der Sonderband der Sozialen Welt das Forschungsfeld neu und nimmt Ursachen der Veränderungen wie Herausforderungen für die Soziologie in den Blick.</w:t>
            </w:r>
          </w:p>
          <w:commentRangeStart w:id="0"/>
          <w:p w14:paraId="17632643" w14:textId="77777777" w:rsidR="00AA3741" w:rsidRPr="00F434B0" w:rsidRDefault="00AA3741" w:rsidP="004916F8">
            <w:pPr>
              <w:spacing w:before="0" w:line="240" w:lineRule="auto"/>
              <w:jc w:val="left"/>
              <w:rPr>
                <w:rFonts w:cs="Arial"/>
                <w:sz w:val="20"/>
                <w:szCs w:val="20"/>
              </w:rPr>
            </w:pPr>
            <w:r w:rsidRPr="00F434B0">
              <w:rPr>
                <w:rFonts w:cs="Arial"/>
                <w:sz w:val="20"/>
                <w:szCs w:val="20"/>
              </w:rPr>
              <w:fldChar w:fldCharType="begin"/>
            </w:r>
            <w:r w:rsidRPr="00F434B0">
              <w:rPr>
                <w:rFonts w:cs="Arial"/>
                <w:sz w:val="20"/>
                <w:szCs w:val="20"/>
              </w:rPr>
              <w:instrText>HYPERLINK "https://www.nomos-elibrary.de/10.5771/9783845255545/sorge-arbeit-verhaeltnisse-regime?page=1"</w:instrText>
            </w:r>
            <w:r w:rsidRPr="00F434B0">
              <w:rPr>
                <w:rFonts w:cs="Arial"/>
                <w:sz w:val="20"/>
                <w:szCs w:val="20"/>
              </w:rPr>
            </w:r>
            <w:r w:rsidRPr="00F434B0">
              <w:rPr>
                <w:rFonts w:cs="Arial"/>
                <w:sz w:val="20"/>
                <w:szCs w:val="20"/>
              </w:rPr>
              <w:fldChar w:fldCharType="separate"/>
            </w:r>
            <w:r w:rsidRPr="00F434B0">
              <w:rPr>
                <w:rStyle w:val="Hyperlink"/>
                <w:rFonts w:cs="Arial"/>
                <w:sz w:val="20"/>
                <w:szCs w:val="20"/>
              </w:rPr>
              <w:t>https://www.nomos-elibrary.de/10.5771/9783845255545/sorge-arbeit-verhaeltnisse-regime?page=1</w:t>
            </w:r>
            <w:r w:rsidRPr="00F434B0">
              <w:rPr>
                <w:rFonts w:cs="Arial"/>
                <w:sz w:val="20"/>
                <w:szCs w:val="20"/>
              </w:rPr>
              <w:fldChar w:fldCharType="end"/>
            </w:r>
            <w:commentRangeEnd w:id="0"/>
            <w:r w:rsidRPr="00F434B0">
              <w:rPr>
                <w:rStyle w:val="Kommentarzeichen"/>
                <w:rFonts w:cs="Arial"/>
                <w:sz w:val="20"/>
                <w:szCs w:val="20"/>
              </w:rPr>
              <w:commentReference w:id="0"/>
            </w:r>
            <w:r w:rsidRPr="00F434B0">
              <w:rPr>
                <w:rFonts w:cs="Arial"/>
                <w:sz w:val="20"/>
                <w:szCs w:val="20"/>
              </w:rPr>
              <w:t xml:space="preserve"> </w:t>
            </w:r>
          </w:p>
        </w:tc>
      </w:tr>
      <w:tr w:rsidR="00AA3741" w:rsidRPr="00F434B0" w14:paraId="4FF728E0" w14:textId="77777777" w:rsidTr="00ED724E">
        <w:tc>
          <w:tcPr>
            <w:tcW w:w="4390" w:type="dxa"/>
            <w:shd w:val="clear" w:color="auto" w:fill="FF66CC"/>
          </w:tcPr>
          <w:p w14:paraId="3F9C9D7B"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Bauhardt</w:t>
            </w:r>
            <w:proofErr w:type="spellEnd"/>
            <w:r w:rsidRPr="00F434B0">
              <w:rPr>
                <w:rFonts w:cs="Arial"/>
                <w:sz w:val="20"/>
                <w:szCs w:val="20"/>
              </w:rPr>
              <w:t>, C</w:t>
            </w:r>
            <w:r>
              <w:rPr>
                <w:rFonts w:cs="Arial"/>
                <w:sz w:val="20"/>
                <w:szCs w:val="20"/>
              </w:rPr>
              <w:t>hristine</w:t>
            </w:r>
            <w:r w:rsidRPr="00F434B0">
              <w:rPr>
                <w:rFonts w:cs="Arial"/>
                <w:sz w:val="20"/>
                <w:szCs w:val="20"/>
              </w:rPr>
              <w:t xml:space="preserve">. 2017. Living in a Material World: Entwurf einer queer-feministischen Ökonomie. </w:t>
            </w:r>
            <w:r w:rsidRPr="002C7D75">
              <w:rPr>
                <w:rFonts w:cs="Arial"/>
                <w:i/>
                <w:iCs/>
                <w:sz w:val="20"/>
                <w:szCs w:val="20"/>
              </w:rPr>
              <w:t>GENDER - Zeitschrift für Geschlecht, Kultur und Gesellschaft</w:t>
            </w:r>
            <w:r>
              <w:rPr>
                <w:rFonts w:cs="Arial"/>
                <w:i/>
                <w:iCs/>
                <w:sz w:val="20"/>
                <w:szCs w:val="20"/>
              </w:rPr>
              <w:t xml:space="preserve"> </w:t>
            </w:r>
            <w:r w:rsidRPr="00F434B0">
              <w:rPr>
                <w:rFonts w:cs="Arial"/>
                <w:sz w:val="20"/>
                <w:szCs w:val="20"/>
              </w:rPr>
              <w:t>9(1)</w:t>
            </w:r>
            <w:r>
              <w:rPr>
                <w:rFonts w:cs="Arial"/>
                <w:sz w:val="20"/>
                <w:szCs w:val="20"/>
              </w:rPr>
              <w:t>:</w:t>
            </w:r>
            <w:r w:rsidRPr="00F434B0">
              <w:rPr>
                <w:rFonts w:cs="Arial"/>
                <w:sz w:val="20"/>
                <w:szCs w:val="20"/>
              </w:rPr>
              <w:t xml:space="preserve"> 99-114. https://doi.org/10.3224/gender.v9i1.07</w:t>
            </w:r>
          </w:p>
        </w:tc>
        <w:tc>
          <w:tcPr>
            <w:tcW w:w="10064" w:type="dxa"/>
          </w:tcPr>
          <w:p w14:paraId="76525797"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Das Zusammendenken von strukturalistisch-materialistischem Feminismus und Neuem materialistischem Feminismus ermöglicht die Weiterentwicklung ökofeministischer Kritik an gesellschaftlichen Naturverhältnissen im Kapitalismus. Ausgehend von der Analyse der Sozialen Reproduktion als materieller Struktur kapitalistischer Produktions- und Machtverhältnisse rückt die materielle Re-Produktivität des Frauenkörpers erneut in den Fokus feministischer Analyse. Die </w:t>
            </w:r>
            <w:proofErr w:type="spellStart"/>
            <w:r w:rsidRPr="00F434B0">
              <w:rPr>
                <w:rFonts w:cs="Arial"/>
                <w:sz w:val="20"/>
                <w:szCs w:val="20"/>
              </w:rPr>
              <w:t>queerökologische</w:t>
            </w:r>
            <w:proofErr w:type="spellEnd"/>
            <w:r w:rsidRPr="00F434B0">
              <w:rPr>
                <w:rFonts w:cs="Arial"/>
                <w:sz w:val="20"/>
                <w:szCs w:val="20"/>
              </w:rPr>
              <w:t xml:space="preserve"> Perspektive auf den Nexus von Sexualität, Natur, Weiblichkeit und Sorgeverantwortung dekonstruiert die 'Natürlichkeit' weiblicher </w:t>
            </w:r>
            <w:proofErr w:type="spellStart"/>
            <w:r w:rsidRPr="00F434B0">
              <w:rPr>
                <w:rFonts w:cs="Arial"/>
                <w:sz w:val="20"/>
                <w:szCs w:val="20"/>
              </w:rPr>
              <w:t>ReProduktivität</w:t>
            </w:r>
            <w:proofErr w:type="spellEnd"/>
            <w:r w:rsidRPr="00F434B0">
              <w:rPr>
                <w:rFonts w:cs="Arial"/>
                <w:sz w:val="20"/>
                <w:szCs w:val="20"/>
              </w:rPr>
              <w:t xml:space="preserve"> und heterosexueller Mutterschaft. Der Ansatz der Queer </w:t>
            </w:r>
            <w:proofErr w:type="spellStart"/>
            <w:r w:rsidRPr="00F434B0">
              <w:rPr>
                <w:rFonts w:cs="Arial"/>
                <w:sz w:val="20"/>
                <w:szCs w:val="20"/>
              </w:rPr>
              <w:t>Ecologies</w:t>
            </w:r>
            <w:proofErr w:type="spellEnd"/>
            <w:r w:rsidRPr="00F434B0">
              <w:rPr>
                <w:rFonts w:cs="Arial"/>
                <w:sz w:val="20"/>
                <w:szCs w:val="20"/>
              </w:rPr>
              <w:t xml:space="preserve"> erweitert die ökofeministische Analyse um eine nicht-heteronormative Konzeption von Sorgeverantwortung für Menschen und Natur, die nicht an heterosexuelle Mutterschaft gebunden ist. Alternative Ökonomien jenseits von kapitalistischen </w:t>
            </w:r>
            <w:proofErr w:type="spellStart"/>
            <w:r w:rsidRPr="00F434B0">
              <w:rPr>
                <w:rFonts w:cs="Arial"/>
                <w:sz w:val="20"/>
                <w:szCs w:val="20"/>
              </w:rPr>
              <w:t>ReProduktionsverhältnissen</w:t>
            </w:r>
            <w:proofErr w:type="spellEnd"/>
            <w:r w:rsidRPr="00F434B0">
              <w:rPr>
                <w:rFonts w:cs="Arial"/>
                <w:sz w:val="20"/>
                <w:szCs w:val="20"/>
              </w:rPr>
              <w:t xml:space="preserve"> werden dann nicht nur die Ausbeutung von natürlichen Ressourcen beenden, sondern auch die gesellschaftliche </w:t>
            </w:r>
            <w:proofErr w:type="spellStart"/>
            <w:r w:rsidRPr="00F434B0">
              <w:rPr>
                <w:rFonts w:cs="Arial"/>
                <w:sz w:val="20"/>
                <w:szCs w:val="20"/>
              </w:rPr>
              <w:t>Vernutzung</w:t>
            </w:r>
            <w:proofErr w:type="spellEnd"/>
            <w:r w:rsidRPr="00F434B0">
              <w:rPr>
                <w:rFonts w:cs="Arial"/>
                <w:sz w:val="20"/>
                <w:szCs w:val="20"/>
              </w:rPr>
              <w:t xml:space="preserve"> und ökonomische Unsichtbarkeit der Arbeit von Frauen in der Sozialen Reproduktion.</w:t>
            </w:r>
          </w:p>
        </w:tc>
      </w:tr>
      <w:tr w:rsidR="00AA3741" w:rsidRPr="00F434B0" w14:paraId="634055E0" w14:textId="77777777" w:rsidTr="00C20600">
        <w:tc>
          <w:tcPr>
            <w:tcW w:w="4390" w:type="dxa"/>
            <w:shd w:val="clear" w:color="auto" w:fill="A8D08D" w:themeFill="accent6" w:themeFillTint="99"/>
          </w:tcPr>
          <w:p w14:paraId="57E7FE4D" w14:textId="77777777" w:rsidR="00AA3741" w:rsidRPr="00F434B0" w:rsidRDefault="00AA3741" w:rsidP="003A5925">
            <w:pPr>
              <w:spacing w:before="0" w:line="240" w:lineRule="auto"/>
              <w:jc w:val="left"/>
              <w:rPr>
                <w:rFonts w:cs="Arial"/>
                <w:sz w:val="20"/>
                <w:szCs w:val="20"/>
              </w:rPr>
            </w:pPr>
            <w:r w:rsidRPr="008422B8">
              <w:rPr>
                <w:rFonts w:cs="Arial"/>
                <w:sz w:val="20"/>
                <w:szCs w:val="20"/>
              </w:rPr>
              <w:t>Bosbach</w:t>
            </w:r>
            <w:r w:rsidRPr="00F434B0">
              <w:rPr>
                <w:rFonts w:cs="Arial"/>
                <w:sz w:val="20"/>
                <w:szCs w:val="20"/>
              </w:rPr>
              <w:t>, I</w:t>
            </w:r>
            <w:r>
              <w:rPr>
                <w:rFonts w:cs="Arial"/>
                <w:sz w:val="20"/>
                <w:szCs w:val="20"/>
              </w:rPr>
              <w:t>sabelle</w:t>
            </w:r>
            <w:r w:rsidRPr="00F434B0">
              <w:rPr>
                <w:rFonts w:cs="Arial"/>
                <w:sz w:val="20"/>
                <w:szCs w:val="20"/>
              </w:rPr>
              <w:t xml:space="preserve">. 2023. Zeit und Kryotechnologien. Vorsorge im Spannungsfeld von biografischer Zukunftsorientierung, biologischer Eigenzeit und Gegenwartsdehnung. In </w:t>
            </w:r>
            <w:r w:rsidRPr="00453A7A">
              <w:rPr>
                <w:rFonts w:cs="Arial"/>
                <w:i/>
                <w:iCs/>
                <w:sz w:val="20"/>
                <w:szCs w:val="20"/>
              </w:rPr>
              <w:t>Zeit und Sorge</w:t>
            </w:r>
            <w:r>
              <w:rPr>
                <w:rFonts w:cs="Arial"/>
                <w:iCs/>
                <w:sz w:val="20"/>
                <w:szCs w:val="20"/>
              </w:rPr>
              <w:t xml:space="preserve">, hrsg. von Anna Henkel, Isolde Karle, </w:t>
            </w:r>
            <w:r>
              <w:rPr>
                <w:rFonts w:cs="Arial"/>
                <w:iCs/>
                <w:sz w:val="20"/>
                <w:szCs w:val="20"/>
              </w:rPr>
              <w:lastRenderedPageBreak/>
              <w:t>Gesa Lindemann und Micha Werner,</w:t>
            </w:r>
            <w:r w:rsidRPr="00F434B0">
              <w:rPr>
                <w:rFonts w:cs="Arial"/>
                <w:sz w:val="20"/>
                <w:szCs w:val="20"/>
              </w:rPr>
              <w:t xml:space="preserve"> 20</w:t>
            </w:r>
            <w:r>
              <w:rPr>
                <w:rFonts w:cs="Arial"/>
                <w:sz w:val="20"/>
                <w:szCs w:val="20"/>
              </w:rPr>
              <w:t>7-</w:t>
            </w:r>
            <w:r w:rsidRPr="00F434B0">
              <w:rPr>
                <w:rFonts w:cs="Arial"/>
                <w:sz w:val="20"/>
                <w:szCs w:val="20"/>
              </w:rPr>
              <w:t>226.</w:t>
            </w:r>
            <w:r>
              <w:rPr>
                <w:rFonts w:cs="Arial"/>
                <w:sz w:val="20"/>
                <w:szCs w:val="20"/>
              </w:rPr>
              <w:t xml:space="preserve"> Baden-Baden: Nomos. </w:t>
            </w:r>
            <w:r w:rsidRPr="00F434B0">
              <w:rPr>
                <w:rFonts w:cs="Arial"/>
                <w:sz w:val="20"/>
                <w:szCs w:val="20"/>
              </w:rPr>
              <w:t xml:space="preserve"> </w:t>
            </w:r>
          </w:p>
        </w:tc>
        <w:tc>
          <w:tcPr>
            <w:tcW w:w="10064" w:type="dxa"/>
          </w:tcPr>
          <w:p w14:paraId="7A13C382"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Kein Abstract</w:t>
            </w:r>
          </w:p>
        </w:tc>
      </w:tr>
      <w:tr w:rsidR="00AA3741" w:rsidRPr="00F434B0" w14:paraId="257B9AF8" w14:textId="77777777" w:rsidTr="009B6F46">
        <w:tc>
          <w:tcPr>
            <w:tcW w:w="4390" w:type="dxa"/>
            <w:shd w:val="clear" w:color="auto" w:fill="FF66CC"/>
          </w:tcPr>
          <w:p w14:paraId="362B51C2" w14:textId="77777777" w:rsidR="00AA3741" w:rsidRPr="00F434B0" w:rsidRDefault="00AA3741" w:rsidP="003A5925">
            <w:pPr>
              <w:spacing w:before="0" w:line="240" w:lineRule="auto"/>
              <w:jc w:val="left"/>
              <w:rPr>
                <w:rFonts w:cs="Arial"/>
                <w:sz w:val="20"/>
                <w:szCs w:val="20"/>
              </w:rPr>
            </w:pPr>
            <w:commentRangeStart w:id="1"/>
            <w:r w:rsidRPr="00F434B0">
              <w:rPr>
                <w:rFonts w:cs="Arial"/>
                <w:sz w:val="20"/>
                <w:szCs w:val="20"/>
              </w:rPr>
              <w:t>Burkhart</w:t>
            </w:r>
            <w:commentRangeEnd w:id="1"/>
            <w:r>
              <w:rPr>
                <w:rStyle w:val="Kommentarzeichen"/>
              </w:rPr>
              <w:commentReference w:id="1"/>
            </w:r>
            <w:r w:rsidRPr="00F434B0">
              <w:rPr>
                <w:rFonts w:cs="Arial"/>
                <w:sz w:val="20"/>
                <w:szCs w:val="20"/>
              </w:rPr>
              <w:t>, G</w:t>
            </w:r>
            <w:r>
              <w:rPr>
                <w:rFonts w:cs="Arial"/>
                <w:sz w:val="20"/>
                <w:szCs w:val="20"/>
              </w:rPr>
              <w:t>ünter</w:t>
            </w:r>
            <w:r w:rsidRPr="00F434B0">
              <w:rPr>
                <w:rFonts w:cs="Arial"/>
                <w:sz w:val="20"/>
                <w:szCs w:val="20"/>
              </w:rPr>
              <w:t>. 2008. Subjekt und Sexualität bei Giddens und Foucault.</w:t>
            </w:r>
            <w:r>
              <w:rPr>
                <w:rFonts w:cs="Arial"/>
                <w:sz w:val="20"/>
                <w:szCs w:val="20"/>
              </w:rPr>
              <w:t xml:space="preserve"> 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F434B0">
              <w:rPr>
                <w:rFonts w:cs="Arial"/>
                <w:sz w:val="20"/>
                <w:szCs w:val="20"/>
              </w:rPr>
              <w:t>4737-4746</w:t>
            </w:r>
            <w:r>
              <w:rPr>
                <w:rFonts w:cs="Arial"/>
                <w:sz w:val="20"/>
                <w:szCs w:val="20"/>
              </w:rPr>
              <w:t>.</w:t>
            </w:r>
            <w:r w:rsidRPr="00F434B0">
              <w:rPr>
                <w:rFonts w:cs="Arial"/>
                <w:sz w:val="20"/>
                <w:szCs w:val="20"/>
              </w:rPr>
              <w:t xml:space="preserve"> Frankfurt am Main: Campus. https://nbn-resolving.org/urn:nbn:de:0168-ssoar-154618</w:t>
            </w:r>
          </w:p>
        </w:tc>
        <w:tc>
          <w:tcPr>
            <w:tcW w:w="10064" w:type="dxa"/>
          </w:tcPr>
          <w:p w14:paraId="36EC6215" w14:textId="77777777" w:rsidR="00AA3741" w:rsidRPr="00F434B0" w:rsidRDefault="00AA3741" w:rsidP="003A5925">
            <w:pPr>
              <w:spacing w:before="0" w:line="240" w:lineRule="auto"/>
              <w:jc w:val="left"/>
              <w:rPr>
                <w:rFonts w:cs="Arial"/>
                <w:sz w:val="20"/>
                <w:szCs w:val="20"/>
              </w:rPr>
            </w:pPr>
            <w:r w:rsidRPr="00F434B0">
              <w:rPr>
                <w:rFonts w:cs="Arial"/>
                <w:sz w:val="20"/>
                <w:szCs w:val="20"/>
              </w:rPr>
              <w:t>Michel Foucault und Anthony Giddens gehören zu jener kleinen Gruppe von Sozialtheoretikern, die Sexualität nicht nur thematisieren, sondern sie für eine zentrale Basis von moderner Identität und Individualität halten. Beide stimmen außerdem darin überein, dass die moderne Sexualität und das moderne Paar nicht mehr auf die traditionelle Geschlechterdifferenz angewiesen sind. Das Paar wird deshalb nach dem Modell der Homosexualität konzipiert, die Sexualität wird zum Selbstausdruck. Damit wird auch die enge Verbindung zwischen Geschlecht, Sexualität und Generativität gelockert, mit weitreichenden Konsequenzen für das Geschlechterverhältnis und die Bevölkerungspolitik. Während bei Giddens diese Entwicklung im Kontext einer überwiegend positiv verstandenen Individualisierung steht - Befreiung von Strukturzwängen, Wahlfreiheit usw. - weist Foucault stärker auf problematische Aspekte hin, insbesondere in der Kontrolldimension, sowohl auf der individuellen Ebene (Körpertechnologien) als auch auf der gesellschaftlichen Ebene (Biopolitik). Zwar lässt sich Foucault auch als Theoretiker der Individualisierung begreifen, aber das heißt bei ihm nicht Befreiung oder Entscheidungsautonomie, sondern Subjektivierung in einem speziellen Sinn. Anfangs mit Ausschluss und Ausgrenzung verbunden - Subjekt wird man durch Abweichung von der Normalität -, wird Subjektivierung später auf Bekenntnis- und Geständniszwang bezogen (von der Pastoralmacht bis zur Therapie). Interpretiert man die Geständnispflicht aber eher als Wille zur Wahrheit bei den Subjekten, kommt man Giddens näher, der Individualität und Subjektivität auf das Leben als selbstreflexives Projekt bezieht. Während es für Giddens vor allem um Lebenspolitik der Subjekte geht, bleibt für Foucault der Kontrollaspekt vorrangig: individuelle Geburtenkontrolle und Bio-Politik des Staates gehen Hand in Hand. In diesem Sinn könnte man sagen, dass Foucault stärker als Giddens dessen methodologische Forderung nach einer Verknüpfung von Mikro- und Makro-Struktur ernst nimmt. Foucault scheint sich jedoch in seiner letzten Werkphase einer optimistischen Perspektive anzunähern, wie sie von Giddens vertreten wird. Deshalb könnte eine theoretische Konvergenz von Lebenspolitik (Giddens) und Sorge um sich (Technologien des Selbst, Hermeneutik des Subjekts, Ethik der Freiheit) konstruiert werden. Der Beitrag will prüfen, ob die Vermutung einer solchen Übereinstimmung nachgewiesen werden kann und was das für die Brauchbarkeit der beiden Konzeptionen heißen könnte, aktuelle Probleme von Generativität und Geschlecht, Sexualität und Identität, adäquat zu erfassen.</w:t>
            </w:r>
          </w:p>
        </w:tc>
      </w:tr>
      <w:tr w:rsidR="00AA3741" w:rsidRPr="00237EE0" w14:paraId="015B3F01" w14:textId="77777777" w:rsidTr="00855C97">
        <w:tc>
          <w:tcPr>
            <w:tcW w:w="4390" w:type="dxa"/>
            <w:shd w:val="clear" w:color="auto" w:fill="A8D08D" w:themeFill="accent6" w:themeFillTint="99"/>
          </w:tcPr>
          <w:p w14:paraId="11F4DFAF" w14:textId="77777777" w:rsidR="00AA3741" w:rsidRPr="00F434B0" w:rsidRDefault="00AA3741" w:rsidP="003A5925">
            <w:pPr>
              <w:spacing w:before="0" w:line="240" w:lineRule="auto"/>
              <w:jc w:val="left"/>
              <w:rPr>
                <w:rFonts w:cs="Arial"/>
                <w:sz w:val="20"/>
                <w:szCs w:val="20"/>
                <w:lang w:val="en-US"/>
              </w:rPr>
            </w:pPr>
            <w:r w:rsidRPr="009A2863">
              <w:rPr>
                <w:rFonts w:cs="Arial"/>
                <w:sz w:val="20"/>
                <w:szCs w:val="20"/>
                <w:lang w:val="en-US"/>
              </w:rPr>
              <w:t xml:space="preserve">Camera, Guilia, Antonio </w:t>
            </w:r>
            <w:proofErr w:type="spellStart"/>
            <w:r w:rsidRPr="009A2863">
              <w:rPr>
                <w:rFonts w:cs="Arial"/>
                <w:sz w:val="20"/>
                <w:szCs w:val="20"/>
                <w:lang w:val="en-US"/>
              </w:rPr>
              <w:t>Dellagiulia</w:t>
            </w:r>
            <w:proofErr w:type="spellEnd"/>
            <w:r w:rsidRPr="009A2863">
              <w:rPr>
                <w:rFonts w:cs="Arial"/>
                <w:sz w:val="20"/>
                <w:szCs w:val="20"/>
                <w:lang w:val="en-US"/>
              </w:rPr>
              <w:t xml:space="preserve">, Maria Spinelli, Mirco Fasolo, Francesca Lionetti.2023. </w:t>
            </w:r>
            <w:r w:rsidRPr="00F434B0">
              <w:rPr>
                <w:rFonts w:cs="Arial"/>
                <w:sz w:val="20"/>
                <w:szCs w:val="20"/>
                <w:lang w:val="en-US"/>
              </w:rPr>
              <w:t>The Influence of Insecure Romantic Attachment on Generativity. J</w:t>
            </w:r>
            <w:r>
              <w:rPr>
                <w:rFonts w:cs="Arial"/>
                <w:sz w:val="20"/>
                <w:szCs w:val="20"/>
                <w:lang w:val="en-US"/>
              </w:rPr>
              <w:t xml:space="preserve">ournal of </w:t>
            </w:r>
            <w:r w:rsidRPr="00F434B0">
              <w:rPr>
                <w:rFonts w:cs="Arial"/>
                <w:sz w:val="20"/>
                <w:szCs w:val="20"/>
                <w:lang w:val="en-US"/>
              </w:rPr>
              <w:t>Adult Dev</w:t>
            </w:r>
            <w:r>
              <w:rPr>
                <w:rFonts w:cs="Arial"/>
                <w:sz w:val="20"/>
                <w:szCs w:val="20"/>
                <w:lang w:val="en-US"/>
              </w:rPr>
              <w:t xml:space="preserve">elopment. </w:t>
            </w:r>
            <w:hyperlink r:id="rId11" w:history="1">
              <w:r w:rsidRPr="00370BA2">
                <w:rPr>
                  <w:rStyle w:val="Hyperlink"/>
                  <w:rFonts w:cs="Arial"/>
                  <w:sz w:val="20"/>
                  <w:szCs w:val="20"/>
                  <w:lang w:val="en-US"/>
                </w:rPr>
                <w:t>https://doi.org/10.1007/s10804-023-09448-5</w:t>
              </w:r>
            </w:hyperlink>
            <w:r>
              <w:rPr>
                <w:rFonts w:cs="Arial"/>
                <w:sz w:val="20"/>
                <w:szCs w:val="20"/>
                <w:lang w:val="en-US"/>
              </w:rPr>
              <w:t xml:space="preserve"> </w:t>
            </w:r>
          </w:p>
        </w:tc>
        <w:tc>
          <w:tcPr>
            <w:tcW w:w="10064" w:type="dxa"/>
          </w:tcPr>
          <w:p w14:paraId="7A35E9E7"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Existing research concerning the development of generativity, the capacity to provide care and guidance to future generations, has primarily focused on the role of sociodemographic variables. However, one important feature that might be of importance for the study of generativity is insecure romantic attachment, given its influence on how people establish relationships with others. Still, the role of the two dimensions of insecure romantic attachment (i.e., anxiety and avoidance) on the most studied aspects of generativity (i.e., generative concern and generative acts) remains largely underexplored. Therefore, the present study investigates what contributes to generativity by exploring the role of sociodemographic features (i.e., age, gender, having children, years of education) and above all the two dimensions of insecure romantic attachment on generative concern and acts. A sample of 427 adults (age range: 25–65 years old) completed an online survey including romantic attachment and generativity measures. Afterwards, correlational and regression analyses were conducted to explore the data. Results showed that years of education positively predicted generative concern, whereas both anxiety and avoidance negatively predicted it. Yet, no sociodemographic feature nor dimension of </w:t>
            </w:r>
            <w:r w:rsidRPr="00F434B0">
              <w:rPr>
                <w:rFonts w:cs="Arial"/>
                <w:sz w:val="20"/>
                <w:szCs w:val="20"/>
                <w:lang w:val="en-US"/>
              </w:rPr>
              <w:lastRenderedPageBreak/>
              <w:t>insecure romantic attachment predicted generative acts. Thus, insecure romantic attachment could be a useful key to understanding generative concern.</w:t>
            </w:r>
          </w:p>
        </w:tc>
      </w:tr>
      <w:tr w:rsidR="00AA3741" w:rsidRPr="00F434B0" w14:paraId="64628AE5" w14:textId="77777777" w:rsidTr="00D64DB7">
        <w:tc>
          <w:tcPr>
            <w:tcW w:w="4390" w:type="dxa"/>
            <w:shd w:val="clear" w:color="auto" w:fill="E482D1"/>
          </w:tcPr>
          <w:p w14:paraId="248CB50C" w14:textId="77777777" w:rsidR="00AA3741" w:rsidRPr="007712B3" w:rsidRDefault="00AA3741" w:rsidP="001C2FC9">
            <w:pPr>
              <w:spacing w:before="0" w:line="240" w:lineRule="auto"/>
              <w:jc w:val="left"/>
              <w:rPr>
                <w:rFonts w:cs="Arial"/>
                <w:i/>
                <w:sz w:val="20"/>
                <w:szCs w:val="20"/>
              </w:rPr>
            </w:pPr>
            <w:commentRangeStart w:id="2"/>
            <w:r w:rsidRPr="00F434B0">
              <w:rPr>
                <w:rFonts w:cs="Arial"/>
                <w:sz w:val="20"/>
                <w:szCs w:val="20"/>
              </w:rPr>
              <w:lastRenderedPageBreak/>
              <w:t>Dackweiler</w:t>
            </w:r>
            <w:commentRangeEnd w:id="2"/>
            <w:r w:rsidRPr="00F434B0">
              <w:rPr>
                <w:rStyle w:val="Kommentarzeichen"/>
                <w:rFonts w:cs="Arial"/>
                <w:sz w:val="20"/>
                <w:szCs w:val="20"/>
              </w:rPr>
              <w:commentReference w:id="2"/>
            </w:r>
            <w:r w:rsidRPr="00F434B0">
              <w:rPr>
                <w:rFonts w:cs="Arial"/>
                <w:sz w:val="20"/>
                <w:szCs w:val="20"/>
              </w:rPr>
              <w:t>, R</w:t>
            </w:r>
            <w:r>
              <w:rPr>
                <w:rFonts w:cs="Arial"/>
                <w:sz w:val="20"/>
                <w:szCs w:val="20"/>
              </w:rPr>
              <w:t>egina-Maria</w:t>
            </w:r>
            <w:r w:rsidRPr="00F434B0">
              <w:rPr>
                <w:rFonts w:cs="Arial"/>
                <w:sz w:val="20"/>
                <w:szCs w:val="20"/>
              </w:rPr>
              <w:t xml:space="preserve">. 2006. Reproduktives Handeln im Kontext wohlfahrtsstaatlicher Geschlechterregime. In </w:t>
            </w:r>
            <w:r w:rsidRPr="007712B3">
              <w:rPr>
                <w:rFonts w:cs="Arial"/>
                <w:i/>
                <w:sz w:val="20"/>
                <w:szCs w:val="20"/>
              </w:rPr>
              <w:t>Der demographische Wandel. Chancen für die</w:t>
            </w:r>
          </w:p>
          <w:p w14:paraId="450A633A" w14:textId="77777777" w:rsidR="00AA3741" w:rsidRPr="00F434B0" w:rsidRDefault="00AA3741" w:rsidP="001C2FC9">
            <w:pPr>
              <w:spacing w:before="0" w:line="240" w:lineRule="auto"/>
              <w:jc w:val="left"/>
              <w:rPr>
                <w:rFonts w:cs="Arial"/>
                <w:sz w:val="20"/>
                <w:szCs w:val="20"/>
              </w:rPr>
            </w:pPr>
            <w:r w:rsidRPr="007712B3">
              <w:rPr>
                <w:rFonts w:cs="Arial"/>
                <w:i/>
                <w:sz w:val="20"/>
                <w:szCs w:val="20"/>
              </w:rPr>
              <w:t>Neuordnung der Geschlechterverhältnisse</w:t>
            </w:r>
            <w:r>
              <w:rPr>
                <w:rFonts w:cs="Arial"/>
                <w:i/>
                <w:sz w:val="20"/>
                <w:szCs w:val="20"/>
              </w:rPr>
              <w:t xml:space="preserve">, </w:t>
            </w:r>
            <w:r>
              <w:rPr>
                <w:rFonts w:cs="Arial"/>
                <w:sz w:val="20"/>
                <w:szCs w:val="20"/>
              </w:rPr>
              <w:t xml:space="preserve">hrsg. von Peter A. </w:t>
            </w:r>
            <w:r w:rsidRPr="00F434B0">
              <w:rPr>
                <w:rFonts w:cs="Arial"/>
                <w:sz w:val="20"/>
                <w:szCs w:val="20"/>
              </w:rPr>
              <w:t>Berger</w:t>
            </w:r>
            <w:r>
              <w:rPr>
                <w:rFonts w:cs="Arial"/>
                <w:sz w:val="20"/>
                <w:szCs w:val="20"/>
              </w:rPr>
              <w:t xml:space="preserve"> und </w:t>
            </w:r>
            <w:r w:rsidRPr="00F434B0">
              <w:rPr>
                <w:rFonts w:cs="Arial"/>
                <w:sz w:val="20"/>
                <w:szCs w:val="20"/>
              </w:rPr>
              <w:t>H</w:t>
            </w:r>
            <w:r>
              <w:rPr>
                <w:rFonts w:cs="Arial"/>
                <w:sz w:val="20"/>
                <w:szCs w:val="20"/>
              </w:rPr>
              <w:t>eike</w:t>
            </w:r>
            <w:r w:rsidRPr="00F434B0">
              <w:rPr>
                <w:rFonts w:cs="Arial"/>
                <w:sz w:val="20"/>
                <w:szCs w:val="20"/>
              </w:rPr>
              <w:t xml:space="preserve"> Kahlert</w:t>
            </w:r>
            <w:r>
              <w:rPr>
                <w:rFonts w:cs="Arial"/>
                <w:sz w:val="20"/>
                <w:szCs w:val="20"/>
              </w:rPr>
              <w:t xml:space="preserve">, </w:t>
            </w:r>
            <w:r w:rsidRPr="00F434B0">
              <w:rPr>
                <w:rFonts w:cs="Arial"/>
                <w:sz w:val="20"/>
                <w:szCs w:val="20"/>
              </w:rPr>
              <w:t>81–107. Frankfurt a. M.: Campus</w:t>
            </w:r>
            <w:r>
              <w:rPr>
                <w:rFonts w:cs="Arial"/>
                <w:sz w:val="20"/>
                <w:szCs w:val="20"/>
              </w:rPr>
              <w:t xml:space="preserve">. </w:t>
            </w:r>
          </w:p>
        </w:tc>
        <w:tc>
          <w:tcPr>
            <w:tcW w:w="10064" w:type="dxa"/>
          </w:tcPr>
          <w:p w14:paraId="3A8D938E"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Der Beitrag zum demographischen Wandel in der Bundesrepublik Deutschland betrachtet aus einer feministischen Perspektive den geschlechterpolitischen Diskurs zur Steuerbarkeit der Geburtenzahlen. Hierbei geht die Autorin von der Annahme aus, dass jenseits biologischer Voraussetzungen der Entschluss, ein Kind oder Kinder zu haben, eingelassen ist in ein Bündel von subjektiven Handlungsmotiven und Handlungsorientierungen sowie institutionalisierten Handlungsbedingungen. Den Ausgangspunkt der Argumentation stellt das von den Medien angefeuerte Drama der Kinderlosigkeit deutscher Akademikerinnen dar. In einem ersten Schritt wird der geschlechterpolitische Diskurs des weiblichen 'Zuwenig' beleuchtet, der von demographischen Prognosen und Projektionen getragen ist. Dabei wird der in der Diskussion durchgängig gebrauchte demographische Begriff des Fertilitätsverhaltens kritisch auf seine Erkenntnisreichweite für eine sozialwissenschaftliche Auseinandersetzung mit der gesellschaftlich organisierten Generativität hinterfragt. Von reproduktivem Handeln in Strukturen ausgehend wird im zweiten Schritt ein mehrdimensionaler Analyserahmen wohlfahrtsstaatlicher Geschlechterregime vorgestellt, der unterschiedliche Methodologien der vergleichenden feministischen Wohlfahrtsstaatsforschung aus verschiedenen Politikfeldern zusammenführt. Dazu gehören wohlfahrtsstaatlich institutionalisierte Muster (1) der Erwerbs- und Familienarbeit sowie (2) der Kinderbetreuungsregime. Auf diese Weise wird ein Licht auf widersprüchliche, ungleichzeitige und vielfältig </w:t>
            </w:r>
            <w:proofErr w:type="gramStart"/>
            <w:r w:rsidRPr="00F434B0">
              <w:rPr>
                <w:rFonts w:cs="Arial"/>
                <w:sz w:val="20"/>
                <w:szCs w:val="20"/>
              </w:rPr>
              <w:t>ineinander greifende</w:t>
            </w:r>
            <w:proofErr w:type="gramEnd"/>
            <w:r w:rsidRPr="00F434B0">
              <w:rPr>
                <w:rFonts w:cs="Arial"/>
                <w:sz w:val="20"/>
                <w:szCs w:val="20"/>
              </w:rPr>
              <w:t xml:space="preserve"> Handlungsbedingungen geworfen, die Frauen und Männer die Entscheidung zur Prokreation und zum Aufziehen von Kindern ermöglichen oder nicht. Im dritten Schritt wird abschließend ein Schlaglicht auf die geschlechterpolitische Diskussion über einen neuen Geschlechtervertrag geworfen, der einen integralen </w:t>
            </w:r>
            <w:proofErr w:type="spellStart"/>
            <w:r w:rsidRPr="00F434B0">
              <w:rPr>
                <w:rFonts w:cs="Arial"/>
                <w:sz w:val="20"/>
                <w:szCs w:val="20"/>
              </w:rPr>
              <w:t>StaatsbürgerInnenstatus</w:t>
            </w:r>
            <w:proofErr w:type="spellEnd"/>
            <w:r w:rsidRPr="00F434B0">
              <w:rPr>
                <w:rFonts w:cs="Arial"/>
                <w:sz w:val="20"/>
                <w:szCs w:val="20"/>
              </w:rPr>
              <w:t xml:space="preserve"> konzipiert. Dieser bietet alternative Antworten auf die Frage nach der Organisation von Generativität als Fundament der gesellschaftlichen Reproduktion und nach der Organisation der Versorgungsökonomie im Horizont demokratischer Geschlechterverhältnisse.</w:t>
            </w:r>
          </w:p>
        </w:tc>
      </w:tr>
      <w:tr w:rsidR="00AA3741" w:rsidRPr="00F434B0" w14:paraId="415C646C" w14:textId="77777777" w:rsidTr="009B6F46">
        <w:tc>
          <w:tcPr>
            <w:tcW w:w="4390" w:type="dxa"/>
            <w:shd w:val="clear" w:color="auto" w:fill="FF66CC"/>
          </w:tcPr>
          <w:p w14:paraId="33776B01" w14:textId="77777777" w:rsidR="00AA3741" w:rsidRPr="00F434B0" w:rsidRDefault="00AA3741" w:rsidP="003A5925">
            <w:pPr>
              <w:spacing w:before="0" w:line="240" w:lineRule="auto"/>
              <w:jc w:val="left"/>
              <w:rPr>
                <w:rFonts w:cs="Arial"/>
                <w:sz w:val="20"/>
                <w:szCs w:val="20"/>
              </w:rPr>
            </w:pPr>
            <w:commentRangeStart w:id="3"/>
            <w:r w:rsidRPr="00F434B0">
              <w:rPr>
                <w:rFonts w:cs="Arial"/>
                <w:sz w:val="20"/>
                <w:szCs w:val="20"/>
              </w:rPr>
              <w:t>Dackweiler</w:t>
            </w:r>
            <w:commentRangeEnd w:id="3"/>
            <w:r w:rsidRPr="00F434B0">
              <w:rPr>
                <w:rStyle w:val="Kommentarzeichen"/>
                <w:rFonts w:cs="Arial"/>
                <w:sz w:val="20"/>
                <w:szCs w:val="20"/>
              </w:rPr>
              <w:commentReference w:id="3"/>
            </w:r>
            <w:r w:rsidRPr="00F434B0">
              <w:rPr>
                <w:rFonts w:cs="Arial"/>
                <w:sz w:val="20"/>
                <w:szCs w:val="20"/>
              </w:rPr>
              <w:t>, R</w:t>
            </w:r>
            <w:r>
              <w:rPr>
                <w:rFonts w:cs="Arial"/>
                <w:sz w:val="20"/>
                <w:szCs w:val="20"/>
              </w:rPr>
              <w:t>egina-Maria</w:t>
            </w:r>
            <w:r w:rsidRPr="00F434B0">
              <w:rPr>
                <w:rFonts w:cs="Arial"/>
                <w:sz w:val="20"/>
                <w:szCs w:val="20"/>
              </w:rPr>
              <w:t xml:space="preserve">. 2008. „Demografischer Wandel “als soziales Problem? Feministische Perspektiven auf eine gesellschaftliche Debatte. </w:t>
            </w:r>
            <w:r>
              <w:rPr>
                <w:rFonts w:cs="Arial"/>
                <w:sz w:val="20"/>
                <w:szCs w:val="20"/>
              </w:rPr>
              <w:t xml:space="preserve">In </w:t>
            </w:r>
            <w:r w:rsidRPr="00411C3D">
              <w:rPr>
                <w:rFonts w:cs="Arial"/>
                <w:i/>
                <w:iCs/>
                <w:sz w:val="20"/>
                <w:szCs w:val="20"/>
              </w:rPr>
              <w:t>Gerechtigkeit, Geschlecht und demografischer Wandel</w:t>
            </w:r>
            <w:r>
              <w:rPr>
                <w:rFonts w:cs="Arial"/>
                <w:i/>
                <w:iCs/>
                <w:sz w:val="20"/>
                <w:szCs w:val="20"/>
              </w:rPr>
              <w:t xml:space="preserve">, </w:t>
            </w:r>
            <w:r>
              <w:rPr>
                <w:rFonts w:cs="Arial"/>
                <w:iCs/>
                <w:sz w:val="20"/>
                <w:szCs w:val="20"/>
              </w:rPr>
              <w:t xml:space="preserve">hrsg. von Annemarie Bauer und Katharina Gröning, 219-240. </w:t>
            </w:r>
            <w:r w:rsidRPr="00F434B0">
              <w:rPr>
                <w:rFonts w:cs="Arial"/>
                <w:sz w:val="20"/>
                <w:szCs w:val="20"/>
              </w:rPr>
              <w:t>Frankfurt</w:t>
            </w:r>
            <w:r>
              <w:rPr>
                <w:rFonts w:cs="Arial"/>
                <w:sz w:val="20"/>
                <w:szCs w:val="20"/>
              </w:rPr>
              <w:t xml:space="preserve"> a. M.: Mabuse. </w:t>
            </w:r>
          </w:p>
        </w:tc>
        <w:tc>
          <w:tcPr>
            <w:tcW w:w="10064" w:type="dxa"/>
          </w:tcPr>
          <w:p w14:paraId="0750C9DA"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Die Verfasserin setzt sich aus ideologiekritischer Perspektive mit geschlechterpolitischen Dimensionen und Implikationen der sozialen Konstruktion demographischen Wandels auseinander. Ausgehend vom medial inszenierten "Drama der kinderlosen weiblichen Elite" macht sie die </w:t>
            </w:r>
            <w:proofErr w:type="spellStart"/>
            <w:r w:rsidRPr="00F434B0">
              <w:rPr>
                <w:rFonts w:cs="Arial"/>
                <w:sz w:val="20"/>
                <w:szCs w:val="20"/>
              </w:rPr>
              <w:t>pronatalistisch</w:t>
            </w:r>
            <w:proofErr w:type="spellEnd"/>
            <w:r w:rsidRPr="00F434B0">
              <w:rPr>
                <w:rFonts w:cs="Arial"/>
                <w:sz w:val="20"/>
                <w:szCs w:val="20"/>
              </w:rPr>
              <w:t xml:space="preserve">-nationalistische Einfärbung des Diskurses um einen Geburtenrückgang sichtbar. In einem zweiten Schritt </w:t>
            </w:r>
            <w:proofErr w:type="gramStart"/>
            <w:r w:rsidRPr="00F434B0">
              <w:rPr>
                <w:rFonts w:cs="Arial"/>
                <w:sz w:val="20"/>
                <w:szCs w:val="20"/>
              </w:rPr>
              <w:t>wird</w:t>
            </w:r>
            <w:proofErr w:type="gramEnd"/>
            <w:r w:rsidRPr="00F434B0">
              <w:rPr>
                <w:rFonts w:cs="Arial"/>
                <w:sz w:val="20"/>
                <w:szCs w:val="20"/>
              </w:rPr>
              <w:t xml:space="preserve"> der in der Diskussion durchgängig gebrauchte demografische Begriff des "Fertilitätsverhaltens" kritisch auf seine Erkenntnisreichweite für eine sozialwissenschaftliche Auseinandersetzung mit der gesellschaftlich organisierten Generativität hinterfragt. Ein dritter Schritt untersucht sodann die Entscheidung, Kinder zu haben, als eingelassen in ein Bündel von subjektiven Handlungsmotiven und -orientierungen einerseits und institutionalisierten Handlungsbedingungen andererseits. Die Untersuchung zeigt insgesamt, dass erst eine Analyse der historisch gewachsenen, vielschichtigen Handlungskontexte von Individuen und Paaren als politisch zu gestaltende Handlungsbedingungen es ermöglicht, die Um- und Neugestaltung dieser Kontexte hinsichtlich der Entwicklung von "Kinderwunsch" und dessen Realisierung zu projektieren.</w:t>
            </w:r>
          </w:p>
        </w:tc>
      </w:tr>
      <w:tr w:rsidR="00AA3741" w:rsidRPr="00F434B0" w14:paraId="2298AFFD" w14:textId="77777777" w:rsidTr="00295035">
        <w:tc>
          <w:tcPr>
            <w:tcW w:w="4390" w:type="dxa"/>
            <w:shd w:val="clear" w:color="auto" w:fill="A8D08D" w:themeFill="accent6" w:themeFillTint="99"/>
          </w:tcPr>
          <w:p w14:paraId="10854DDE"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Diabaté</w:t>
            </w:r>
            <w:proofErr w:type="spellEnd"/>
            <w:r w:rsidRPr="00F434B0">
              <w:rPr>
                <w:rFonts w:cs="Arial"/>
                <w:sz w:val="20"/>
                <w:szCs w:val="20"/>
              </w:rPr>
              <w:t xml:space="preserve">, </w:t>
            </w:r>
            <w:r>
              <w:rPr>
                <w:rFonts w:cs="Arial"/>
                <w:sz w:val="20"/>
                <w:szCs w:val="20"/>
              </w:rPr>
              <w:t>Sabine, und Detlev Lück</w:t>
            </w:r>
            <w:r w:rsidRPr="00F434B0">
              <w:rPr>
                <w:rFonts w:cs="Arial"/>
                <w:sz w:val="20"/>
                <w:szCs w:val="20"/>
              </w:rPr>
              <w:t>.</w:t>
            </w:r>
            <w:r>
              <w:rPr>
                <w:rFonts w:cs="Arial"/>
                <w:sz w:val="20"/>
                <w:szCs w:val="20"/>
              </w:rPr>
              <w:t xml:space="preserve"> </w:t>
            </w:r>
            <w:r w:rsidRPr="00F434B0">
              <w:rPr>
                <w:rFonts w:cs="Arial"/>
                <w:sz w:val="20"/>
                <w:szCs w:val="20"/>
              </w:rPr>
              <w:t xml:space="preserve">2014. Familienleitbilder: Identifikation und Wirkungsweise auf generatives Verhalten. </w:t>
            </w:r>
            <w:r w:rsidRPr="00C879C9">
              <w:rPr>
                <w:rFonts w:cs="Arial"/>
                <w:i/>
                <w:iCs/>
                <w:sz w:val="20"/>
                <w:szCs w:val="20"/>
              </w:rPr>
              <w:t xml:space="preserve">Zeitschrift für </w:t>
            </w:r>
            <w:r w:rsidRPr="00C879C9">
              <w:rPr>
                <w:rFonts w:cs="Arial"/>
                <w:i/>
                <w:iCs/>
                <w:sz w:val="20"/>
                <w:szCs w:val="20"/>
              </w:rPr>
              <w:lastRenderedPageBreak/>
              <w:t>Familienforschung</w:t>
            </w:r>
            <w:r w:rsidRPr="00F434B0">
              <w:rPr>
                <w:rFonts w:cs="Arial"/>
                <w:sz w:val="20"/>
                <w:szCs w:val="20"/>
              </w:rPr>
              <w:t xml:space="preserve"> 26</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49-69. https://nbn-resolving.org/urn:nbn:de:0168-ssoar-404134</w:t>
            </w:r>
          </w:p>
        </w:tc>
        <w:tc>
          <w:tcPr>
            <w:tcW w:w="10064" w:type="dxa"/>
          </w:tcPr>
          <w:p w14:paraId="6508EDD3"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 xml:space="preserve">Seit langem zeichnet sich die Bundesrepublik Deutschland durch ein niedriges Geburtenniveau aus. In den vergangenen zwei Jahrzehnten wurden zur Erklärung des generativen Verhaltens vor allem sozioökonomische und strukturelle Rahmenbedingungen herangezogen. Dieser Beitrag versteht sich als Plädoyer für eine Leitbildforschung, in der normativ-kulturelle Erklärungsansätze weiterentwickelt werden, um bestehende Konzepte </w:t>
            </w:r>
            <w:r w:rsidRPr="00F434B0">
              <w:rPr>
                <w:rFonts w:cs="Arial"/>
                <w:sz w:val="20"/>
                <w:szCs w:val="20"/>
              </w:rPr>
              <w:lastRenderedPageBreak/>
              <w:t xml:space="preserve">komplementär zu ergänzen und zu einem umfassenderen Verständnis beizutragen. Hierbei wird angenommen, dass kollektiv geteilte Leitbilder existieren, welche beispielsweise die Gestaltung der Partnerschaft oder Elternschaft und den Kinderwunsch bzw. die Entscheidung für oder gegen (weitere) Kinder beeinflussen. Es werden verschiedene Kriterien entwickelt, um eine künftige empirische Suche und Identifikation von Familienleitbildern theoretisch zu fundieren. Abschließend werden methodische Herausforderungen für eine soziologische Leitbildforschung diskutiert. </w:t>
            </w:r>
          </w:p>
        </w:tc>
      </w:tr>
      <w:tr w:rsidR="00AA3741" w:rsidRPr="00237EE0" w14:paraId="46000596" w14:textId="77777777" w:rsidTr="00705DC4">
        <w:tc>
          <w:tcPr>
            <w:tcW w:w="4390" w:type="dxa"/>
            <w:shd w:val="clear" w:color="auto" w:fill="E482D1"/>
          </w:tcPr>
          <w:p w14:paraId="56A44BCF" w14:textId="77777777" w:rsidR="00AA3741" w:rsidRPr="000F54C2" w:rsidRDefault="00AA3741" w:rsidP="003A5925">
            <w:pPr>
              <w:spacing w:before="0" w:line="240" w:lineRule="auto"/>
              <w:jc w:val="left"/>
              <w:rPr>
                <w:rFonts w:cs="Arial"/>
                <w:sz w:val="20"/>
                <w:szCs w:val="20"/>
                <w:lang w:val="en-US"/>
              </w:rPr>
            </w:pPr>
            <w:r w:rsidRPr="00F434B0">
              <w:rPr>
                <w:rFonts w:cs="Arial"/>
                <w:sz w:val="20"/>
                <w:szCs w:val="20"/>
                <w:lang w:val="en-US"/>
              </w:rPr>
              <w:lastRenderedPageBreak/>
              <w:t>Donath, O</w:t>
            </w:r>
            <w:r>
              <w:rPr>
                <w:rFonts w:cs="Arial"/>
                <w:sz w:val="20"/>
                <w:szCs w:val="20"/>
                <w:lang w:val="en-US"/>
              </w:rPr>
              <w:t xml:space="preserve">rna. </w:t>
            </w:r>
            <w:r w:rsidRPr="00F434B0">
              <w:rPr>
                <w:rFonts w:cs="Arial"/>
                <w:sz w:val="20"/>
                <w:szCs w:val="20"/>
                <w:lang w:val="en-US"/>
              </w:rPr>
              <w:t xml:space="preserve">2015. Regretting </w:t>
            </w:r>
            <w:r>
              <w:rPr>
                <w:rFonts w:cs="Arial"/>
                <w:sz w:val="20"/>
                <w:szCs w:val="20"/>
                <w:lang w:val="en-US"/>
              </w:rPr>
              <w:t>M</w:t>
            </w:r>
            <w:r w:rsidRPr="00F434B0">
              <w:rPr>
                <w:rFonts w:cs="Arial"/>
                <w:sz w:val="20"/>
                <w:szCs w:val="20"/>
                <w:lang w:val="en-US"/>
              </w:rPr>
              <w:t xml:space="preserve">otherhood: A </w:t>
            </w:r>
            <w:r>
              <w:rPr>
                <w:rFonts w:cs="Arial"/>
                <w:sz w:val="20"/>
                <w:szCs w:val="20"/>
                <w:lang w:val="en-US"/>
              </w:rPr>
              <w:t>S</w:t>
            </w:r>
            <w:r w:rsidRPr="00F434B0">
              <w:rPr>
                <w:rFonts w:cs="Arial"/>
                <w:sz w:val="20"/>
                <w:szCs w:val="20"/>
                <w:lang w:val="en-US"/>
              </w:rPr>
              <w:t xml:space="preserve">ociopolitical </w:t>
            </w:r>
            <w:r>
              <w:rPr>
                <w:rFonts w:cs="Arial"/>
                <w:sz w:val="20"/>
                <w:szCs w:val="20"/>
                <w:lang w:val="en-US"/>
              </w:rPr>
              <w:t>A</w:t>
            </w:r>
            <w:r w:rsidRPr="00F434B0">
              <w:rPr>
                <w:rFonts w:cs="Arial"/>
                <w:sz w:val="20"/>
                <w:szCs w:val="20"/>
                <w:lang w:val="en-US"/>
              </w:rPr>
              <w:t xml:space="preserve">nalysis. </w:t>
            </w:r>
            <w:r w:rsidRPr="000F54C2">
              <w:rPr>
                <w:rFonts w:cs="Arial"/>
                <w:i/>
                <w:iCs/>
                <w:sz w:val="20"/>
                <w:szCs w:val="20"/>
                <w:lang w:val="en-US"/>
              </w:rPr>
              <w:t>Signs: Journal of Women in Culture and Society</w:t>
            </w:r>
            <w:r w:rsidRPr="000F54C2">
              <w:rPr>
                <w:rFonts w:cs="Arial"/>
                <w:sz w:val="20"/>
                <w:szCs w:val="20"/>
                <w:lang w:val="en-US"/>
              </w:rPr>
              <w:t xml:space="preserve"> 40</w:t>
            </w:r>
            <w:r>
              <w:rPr>
                <w:rFonts w:cs="Arial"/>
                <w:sz w:val="20"/>
                <w:szCs w:val="20"/>
                <w:lang w:val="en-US"/>
              </w:rPr>
              <w:t xml:space="preserve"> </w:t>
            </w:r>
            <w:r w:rsidRPr="000F54C2">
              <w:rPr>
                <w:rFonts w:cs="Arial"/>
                <w:sz w:val="20"/>
                <w:szCs w:val="20"/>
                <w:lang w:val="en-US"/>
              </w:rPr>
              <w:t>(2), 343-367.</w:t>
            </w:r>
          </w:p>
        </w:tc>
        <w:tc>
          <w:tcPr>
            <w:tcW w:w="10064" w:type="dxa"/>
          </w:tcPr>
          <w:p w14:paraId="77FD284D"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Based on in-depth interviews with twenty-three Israeli mothers, this article seeks to contribute to an ongoing inquiry into women’s subjective experiences of mothering by addressing an understudied maternal emotive and cognitive stance: regretting motherhood. The literature teaches us that within a </w:t>
            </w:r>
            <w:proofErr w:type="spellStart"/>
            <w:r w:rsidRPr="00F434B0">
              <w:rPr>
                <w:rFonts w:cs="Arial"/>
                <w:sz w:val="20"/>
                <w:szCs w:val="20"/>
                <w:lang w:val="en-US"/>
              </w:rPr>
              <w:t>pronatal</w:t>
            </w:r>
            <w:proofErr w:type="spellEnd"/>
            <w:r w:rsidRPr="00F434B0">
              <w:rPr>
                <w:rFonts w:cs="Arial"/>
                <w:sz w:val="20"/>
                <w:szCs w:val="20"/>
                <w:lang w:val="en-US"/>
              </w:rPr>
              <w:t xml:space="preserve"> monopoly, threatening women that they will inevitably regret not having children acts as powerful reproducer of the ideology of motherhood. Simultaneously, motherhood is constructed as a mythical nexus that lies outside and beyond the human terrain of regret, and therefore a desire to undo the maternal experience is conceived as an object of disbelief. By incorporating regret into maternal experiences, the purpose of the article is twofold: The first is to distinguish regret over motherhood from other conflictual and ambivalent maternal emotions. Whereas participants’ expressions of regretting motherhood were not bereft of ambivalence, and thus were not necessarily exceptional or anomalous, they foreground a different emotive and cognitive stance toward motherhood. The second purpose is to situate regret over motherhood in the sociopolitical arena. It has been suggested that the “power of backward thinking” might be used to reflect on the systems of power governing maternal feelings in two ways: first, through a categorical distinction in the target of regret between object (the children) and experience (maternity), which utilizes the cultural structure of mother love; second, by opposing the very essentialist presumption of a fixed female identity that naturally befits mothering or progressively adapts to it and evaluates it as a worthwhile experience.</w:t>
            </w:r>
          </w:p>
        </w:tc>
      </w:tr>
      <w:tr w:rsidR="00AA3741" w:rsidRPr="00F434B0" w14:paraId="1DA9864F" w14:textId="77777777" w:rsidTr="00705DC4">
        <w:tc>
          <w:tcPr>
            <w:tcW w:w="4390" w:type="dxa"/>
            <w:shd w:val="clear" w:color="auto" w:fill="E482D1"/>
          </w:tcPr>
          <w:p w14:paraId="09E32FD3" w14:textId="77777777" w:rsidR="00AA3741" w:rsidRPr="00F434B0" w:rsidRDefault="00AA3741" w:rsidP="003A5925">
            <w:pPr>
              <w:spacing w:before="0" w:line="240" w:lineRule="auto"/>
              <w:jc w:val="left"/>
              <w:rPr>
                <w:rFonts w:cs="Arial"/>
                <w:sz w:val="20"/>
                <w:szCs w:val="20"/>
              </w:rPr>
            </w:pPr>
            <w:r w:rsidRPr="00F434B0">
              <w:rPr>
                <w:rFonts w:cs="Arial"/>
                <w:sz w:val="20"/>
                <w:szCs w:val="20"/>
              </w:rPr>
              <w:t>Feiler, J</w:t>
            </w:r>
            <w:r>
              <w:rPr>
                <w:rFonts w:cs="Arial"/>
                <w:sz w:val="20"/>
                <w:szCs w:val="20"/>
              </w:rPr>
              <w:t xml:space="preserve">ulia. </w:t>
            </w:r>
            <w:r w:rsidRPr="00F434B0">
              <w:rPr>
                <w:rFonts w:cs="Arial"/>
                <w:sz w:val="20"/>
                <w:szCs w:val="20"/>
              </w:rPr>
              <w:t>2020. S</w:t>
            </w:r>
            <w:proofErr w:type="spellStart"/>
            <w:r w:rsidRPr="00F434B0">
              <w:rPr>
                <w:rFonts w:cs="Arial"/>
                <w:sz w:val="20"/>
                <w:szCs w:val="20"/>
              </w:rPr>
              <w:t>ocial</w:t>
            </w:r>
            <w:proofErr w:type="spellEnd"/>
            <w:r w:rsidRPr="00F434B0">
              <w:rPr>
                <w:rFonts w:cs="Arial"/>
                <w:sz w:val="20"/>
                <w:szCs w:val="20"/>
              </w:rPr>
              <w:t xml:space="preserve"> Freezing-Reproduktionsmedizin im Spannungsfeld zwischen Risiko, Moral und Verantwortung. </w:t>
            </w:r>
            <w:r>
              <w:rPr>
                <w:rFonts w:cs="Arial"/>
                <w:sz w:val="20"/>
                <w:szCs w:val="20"/>
              </w:rPr>
              <w:t xml:space="preserve">Wiesbaden: </w:t>
            </w:r>
            <w:r w:rsidRPr="00F434B0">
              <w:rPr>
                <w:rFonts w:cs="Arial"/>
                <w:sz w:val="20"/>
                <w:szCs w:val="20"/>
              </w:rPr>
              <w:t>Springer VS.</w:t>
            </w:r>
          </w:p>
        </w:tc>
        <w:tc>
          <w:tcPr>
            <w:tcW w:w="10064" w:type="dxa"/>
          </w:tcPr>
          <w:p w14:paraId="6BAE6D71" w14:textId="77777777" w:rsidR="00AA3741" w:rsidRPr="00F434B0" w:rsidRDefault="00AA3741" w:rsidP="003A5925">
            <w:pPr>
              <w:spacing w:before="0" w:line="240" w:lineRule="auto"/>
              <w:jc w:val="left"/>
              <w:rPr>
                <w:rFonts w:cs="Arial"/>
                <w:sz w:val="20"/>
                <w:szCs w:val="20"/>
              </w:rPr>
            </w:pPr>
            <w:r w:rsidRPr="00F434B0">
              <w:rPr>
                <w:rFonts w:cs="Arial"/>
                <w:sz w:val="20"/>
                <w:szCs w:val="20"/>
              </w:rPr>
              <w:t>Die Analyse des reproduktionsmedizinischen Diskurses um das Phänomen ‚</w:t>
            </w:r>
            <w:proofErr w:type="spellStart"/>
            <w:r w:rsidRPr="00F434B0">
              <w:rPr>
                <w:rFonts w:cs="Arial"/>
                <w:sz w:val="20"/>
                <w:szCs w:val="20"/>
              </w:rPr>
              <w:t>Social</w:t>
            </w:r>
            <w:proofErr w:type="spellEnd"/>
            <w:r w:rsidRPr="00F434B0">
              <w:rPr>
                <w:rFonts w:cs="Arial"/>
                <w:sz w:val="20"/>
                <w:szCs w:val="20"/>
              </w:rPr>
              <w:t xml:space="preserve"> Freezing‘ zeigt, wie Expert/innen einer Profession, die sich stark selbst verhandelt, das neue Anwendungsgebiet einer Technologie legitimieren und delegitimieren. Entlang der drei Bezugsprobleme Moral, Risiko und Verantwortung werden dabei </w:t>
            </w:r>
            <w:proofErr w:type="spellStart"/>
            <w:r w:rsidRPr="00F434B0">
              <w:rPr>
                <w:rFonts w:cs="Arial"/>
                <w:sz w:val="20"/>
                <w:szCs w:val="20"/>
              </w:rPr>
              <w:t>Responsibilisierungen</w:t>
            </w:r>
            <w:proofErr w:type="spellEnd"/>
            <w:r w:rsidRPr="00F434B0">
              <w:rPr>
                <w:rFonts w:cs="Arial"/>
                <w:sz w:val="20"/>
                <w:szCs w:val="20"/>
              </w:rPr>
              <w:t xml:space="preserve"> und Zuschreibungen vorgenommen und Wissen produziert. Ziel der Studie ist es, ‚</w:t>
            </w:r>
            <w:proofErr w:type="spellStart"/>
            <w:r w:rsidRPr="00F434B0">
              <w:rPr>
                <w:rFonts w:cs="Arial"/>
                <w:sz w:val="20"/>
                <w:szCs w:val="20"/>
              </w:rPr>
              <w:t>Social</w:t>
            </w:r>
            <w:proofErr w:type="spellEnd"/>
            <w:r w:rsidRPr="00F434B0">
              <w:rPr>
                <w:rFonts w:cs="Arial"/>
                <w:sz w:val="20"/>
                <w:szCs w:val="20"/>
              </w:rPr>
              <w:t xml:space="preserve"> Freezing‘ als biopolitische Praxis zu beleuchten und Grenzziehungen zwischen Alter, Geschlecht, Körper, Natur und Technologie nachzeichnen zu können, die Vorstellungen von und Erwartungen an Frauen als Patientinnen, Kundinnen und Bürgerinnen produzieren.</w:t>
            </w:r>
          </w:p>
        </w:tc>
      </w:tr>
      <w:tr w:rsidR="00AA3741" w:rsidRPr="001F2799" w14:paraId="4F08F17D" w14:textId="77777777" w:rsidTr="00FF285E">
        <w:tc>
          <w:tcPr>
            <w:tcW w:w="4390" w:type="dxa"/>
            <w:shd w:val="clear" w:color="auto" w:fill="A8D08D" w:themeFill="accent6" w:themeFillTint="99"/>
          </w:tcPr>
          <w:p w14:paraId="0B923ABA" w14:textId="77777777" w:rsidR="00AA3741" w:rsidRPr="00F434B0" w:rsidRDefault="00AA3741" w:rsidP="003A5925">
            <w:pPr>
              <w:spacing w:before="0" w:line="240" w:lineRule="auto"/>
              <w:jc w:val="left"/>
              <w:rPr>
                <w:rFonts w:cs="Arial"/>
                <w:sz w:val="20"/>
                <w:szCs w:val="20"/>
                <w:lang w:val="en-US"/>
              </w:rPr>
            </w:pPr>
            <w:proofErr w:type="spellStart"/>
            <w:r w:rsidRPr="00F434B0">
              <w:rPr>
                <w:rFonts w:cs="Arial"/>
                <w:sz w:val="20"/>
                <w:szCs w:val="20"/>
              </w:rPr>
              <w:t>Gammeltoft</w:t>
            </w:r>
            <w:proofErr w:type="spellEnd"/>
            <w:r w:rsidRPr="00F434B0">
              <w:rPr>
                <w:rFonts w:cs="Arial"/>
                <w:sz w:val="20"/>
                <w:szCs w:val="20"/>
              </w:rPr>
              <w:t>, T</w:t>
            </w:r>
            <w:r>
              <w:rPr>
                <w:rFonts w:cs="Arial"/>
                <w:sz w:val="20"/>
                <w:szCs w:val="20"/>
              </w:rPr>
              <w:t xml:space="preserve">ine M. und Ayo </w:t>
            </w:r>
            <w:r w:rsidRPr="00F434B0">
              <w:rPr>
                <w:rFonts w:cs="Arial"/>
                <w:sz w:val="20"/>
                <w:szCs w:val="20"/>
              </w:rPr>
              <w:t>Wahlberg.</w:t>
            </w:r>
            <w:r>
              <w:rPr>
                <w:rFonts w:cs="Arial"/>
                <w:sz w:val="20"/>
                <w:szCs w:val="20"/>
              </w:rPr>
              <w:t xml:space="preserve"> </w:t>
            </w:r>
            <w:r w:rsidRPr="00F434B0">
              <w:rPr>
                <w:rFonts w:cs="Arial"/>
                <w:sz w:val="20"/>
                <w:szCs w:val="20"/>
              </w:rPr>
              <w:t xml:space="preserve">2014. </w:t>
            </w:r>
            <w:r w:rsidRPr="00F434B0">
              <w:rPr>
                <w:rFonts w:cs="Arial"/>
                <w:sz w:val="20"/>
                <w:szCs w:val="20"/>
                <w:lang w:val="en-US"/>
              </w:rPr>
              <w:t xml:space="preserve">Selective Reproductive Technologies. </w:t>
            </w:r>
            <w:r w:rsidRPr="003B04C6">
              <w:rPr>
                <w:rFonts w:cs="Arial"/>
                <w:i/>
                <w:iCs/>
                <w:sz w:val="20"/>
                <w:szCs w:val="20"/>
                <w:lang w:val="en-US"/>
              </w:rPr>
              <w:t>Annual Review of Anthropology</w:t>
            </w:r>
            <w:r>
              <w:rPr>
                <w:rFonts w:cs="Arial"/>
                <w:i/>
                <w:iCs/>
                <w:sz w:val="20"/>
                <w:szCs w:val="20"/>
                <w:lang w:val="en-US"/>
              </w:rPr>
              <w:t xml:space="preserve"> </w:t>
            </w:r>
            <w:r w:rsidRPr="00F434B0">
              <w:rPr>
                <w:rFonts w:cs="Arial"/>
                <w:sz w:val="20"/>
                <w:szCs w:val="20"/>
                <w:lang w:val="en-US"/>
              </w:rPr>
              <w:t>4</w:t>
            </w:r>
            <w:r>
              <w:rPr>
                <w:rFonts w:cs="Arial"/>
                <w:sz w:val="20"/>
                <w:szCs w:val="20"/>
                <w:lang w:val="en-US"/>
              </w:rPr>
              <w:t>3:</w:t>
            </w:r>
            <w:r w:rsidRPr="00F434B0">
              <w:rPr>
                <w:rFonts w:cs="Arial"/>
                <w:sz w:val="20"/>
                <w:szCs w:val="20"/>
                <w:lang w:val="en-US"/>
              </w:rPr>
              <w:t xml:space="preserve"> 201–216. http://www.jstor.org/stable/43049571</w:t>
            </w:r>
          </w:p>
        </w:tc>
        <w:tc>
          <w:tcPr>
            <w:tcW w:w="10064" w:type="dxa"/>
          </w:tcPr>
          <w:p w14:paraId="03E3A3A0"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From a historical perspective, selective reproduction is nothing new. Infanticide, abandonment, and selective neglect of children have a long history, and the widespread deployment of sterilization and forced abortion in the twentieth century has been well documented. Yet in recent decades selective reproduction has been placed under the aegis of science and expertise in novel ways. New laboratory and clinical techniques allow for the selective fertilization of gametes, implantation of embryos, or abortion of fetuses. Although they will often overlap with assisted reproductive technologies (ARTs), what we term selective reproductive technologies (SRTs) are of a more specific nature: Rather than aiming to overcome infertility, they are used to prevent or allow the birth of certain kinds of children. This review highlights anthropological research into SRTs in different parts of the world, discussing how selective reproduction engages with issues of long-standing theoretical concern in anthropology, such as politics, kinship, gender, religion, globalization, and inequality.</w:t>
            </w:r>
          </w:p>
        </w:tc>
      </w:tr>
      <w:tr w:rsidR="00AA3741" w:rsidRPr="00F434B0" w14:paraId="2E25E57C" w14:textId="77777777" w:rsidTr="00705DC4">
        <w:tc>
          <w:tcPr>
            <w:tcW w:w="4390" w:type="dxa"/>
            <w:shd w:val="clear" w:color="auto" w:fill="E482D1"/>
          </w:tcPr>
          <w:p w14:paraId="25252360" w14:textId="77777777" w:rsidR="00AA3741" w:rsidRPr="00F434B0" w:rsidRDefault="00AA3741" w:rsidP="003A5925">
            <w:pPr>
              <w:spacing w:before="0" w:line="240" w:lineRule="auto"/>
              <w:jc w:val="left"/>
              <w:rPr>
                <w:rFonts w:cs="Arial"/>
                <w:sz w:val="20"/>
                <w:szCs w:val="20"/>
              </w:rPr>
            </w:pPr>
            <w:commentRangeStart w:id="4"/>
            <w:r w:rsidRPr="00F434B0">
              <w:rPr>
                <w:rFonts w:cs="Arial"/>
                <w:sz w:val="20"/>
                <w:szCs w:val="20"/>
              </w:rPr>
              <w:lastRenderedPageBreak/>
              <w:t>Gehring</w:t>
            </w:r>
            <w:commentRangeEnd w:id="4"/>
            <w:r>
              <w:rPr>
                <w:rStyle w:val="Kommentarzeichen"/>
              </w:rPr>
              <w:commentReference w:id="4"/>
            </w:r>
            <w:r w:rsidRPr="00F434B0">
              <w:rPr>
                <w:rFonts w:cs="Arial"/>
                <w:sz w:val="20"/>
                <w:szCs w:val="20"/>
              </w:rPr>
              <w:t>, P</w:t>
            </w:r>
            <w:r>
              <w:rPr>
                <w:rFonts w:cs="Arial"/>
                <w:sz w:val="20"/>
                <w:szCs w:val="20"/>
              </w:rPr>
              <w:t>etra. 2</w:t>
            </w:r>
            <w:r w:rsidRPr="00F434B0">
              <w:rPr>
                <w:rFonts w:cs="Arial"/>
                <w:sz w:val="20"/>
                <w:szCs w:val="20"/>
              </w:rPr>
              <w:t xml:space="preserve">008. Sex, Generativität, Leben: zu den Machteffekten des biologischen Geschlechts.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hrsg. von Karl-Siegbert Rehberg</w:t>
            </w:r>
            <w:r>
              <w:rPr>
                <w:rFonts w:cs="Arial"/>
                <w:iCs/>
                <w:sz w:val="20"/>
                <w:szCs w:val="20"/>
              </w:rPr>
              <w:t>, 513-523</w:t>
            </w:r>
            <w:r>
              <w:rPr>
                <w:rFonts w:cs="Arial"/>
                <w:sz w:val="20"/>
                <w:szCs w:val="20"/>
              </w:rPr>
              <w:t>.</w:t>
            </w:r>
            <w:r w:rsidRPr="00F434B0">
              <w:rPr>
                <w:rFonts w:cs="Arial"/>
                <w:sz w:val="20"/>
                <w:szCs w:val="20"/>
              </w:rPr>
              <w:t xml:space="preserve"> Frankfurt am Main: Campus.</w:t>
            </w:r>
            <w:r>
              <w:rPr>
                <w:rFonts w:cs="Arial"/>
                <w:sz w:val="20"/>
                <w:szCs w:val="20"/>
              </w:rPr>
              <w:t xml:space="preserve"> </w:t>
            </w:r>
            <w:r w:rsidRPr="00F434B0">
              <w:rPr>
                <w:rFonts w:cs="Arial"/>
                <w:sz w:val="20"/>
                <w:szCs w:val="20"/>
              </w:rPr>
              <w:t>https://nbn-resolving.org/urn:nbn:de:0168ssoar-153270</w:t>
            </w:r>
          </w:p>
        </w:tc>
        <w:tc>
          <w:tcPr>
            <w:tcW w:w="10064" w:type="dxa"/>
          </w:tcPr>
          <w:p w14:paraId="1CCAE0FC"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Geschlechterdifferenzen sind sozial konstruiert. Frauen- und Männerkörper sind nicht einfach Naturtatsachen. Vielmehr werden diejenigen Aspekte, die wie als Körpernatur erleben, als Natur geschaffen, gelernt, praktiziert. Es gibt nur kulturelle Konstruktionen von Geschlecht. Und: Es gibt nur eine 'kulturelle' Natur der zweigeschlechtlichen Körper. Mit dieser Blickwendung wird die Frage nach der Natur des Geschlechts nicht einfacher. Sie verwandelt sich in die Frage nach Machtverhältnissen. Für die Moderne stellt sich hier vor allem Frage nach der Macht der 'Biologie'. Welche Rolle spielt das Biologische der Geschlechter? Welches Gewicht haben Handlungsordnungen, die dasjenige, was ein (gesunder, normaler, erwachsener) Körper sein soll, gemäß einer - seit dem Neunzehnten Jahrhundert als 'sexuell' erkannten - Normalität von Fortpflanzung regulieren? Der Beitrag stellt Thesen vor, die 1. den 'Sex' (also </w:t>
            </w:r>
            <w:proofErr w:type="gramStart"/>
            <w:r w:rsidRPr="00F434B0">
              <w:rPr>
                <w:rFonts w:cs="Arial"/>
                <w:sz w:val="20"/>
                <w:szCs w:val="20"/>
              </w:rPr>
              <w:t>das biologischen Geschlecht</w:t>
            </w:r>
            <w:proofErr w:type="gramEnd"/>
            <w:r w:rsidRPr="00F434B0">
              <w:rPr>
                <w:rFonts w:cs="Arial"/>
                <w:sz w:val="20"/>
                <w:szCs w:val="20"/>
              </w:rPr>
              <w:t>) als spezifisch moderne Errungenschaft fassen, 2. das biologische Geschlecht und seine natürliche 'Generativität' (also seine Bindung an eine organische Notwendigkeit von Fortpflanzung) in den Zusammenhang eines im Neunzehnten Jahrhundert entstandenen biologisch/ soziologischen Gattungsdenkens stellen, und die 3. die Sexualnatur als eine Art moderner Wissenschaft- und Technikfolge ansprechen. Der Wirklichkeitswert der biologischen Zweigeschlechtlichkeit korrespondiert direkt mit demjenigen von Lebenswissenschaften und Lebenstechnologien.</w:t>
            </w:r>
          </w:p>
        </w:tc>
      </w:tr>
      <w:tr w:rsidR="00AA3741" w:rsidRPr="00F434B0" w14:paraId="4B619600" w14:textId="77777777" w:rsidTr="0013002F">
        <w:tc>
          <w:tcPr>
            <w:tcW w:w="4390" w:type="dxa"/>
            <w:shd w:val="clear" w:color="auto" w:fill="FF66CC"/>
          </w:tcPr>
          <w:p w14:paraId="7EE199E3" w14:textId="77777777" w:rsidR="00AA3741" w:rsidRPr="00F434B0" w:rsidRDefault="00AA3741" w:rsidP="003A5925">
            <w:pPr>
              <w:spacing w:before="0" w:line="240" w:lineRule="auto"/>
              <w:jc w:val="left"/>
              <w:rPr>
                <w:rFonts w:cs="Arial"/>
                <w:sz w:val="20"/>
                <w:szCs w:val="20"/>
                <w:lang w:val="en-US"/>
              </w:rPr>
            </w:pPr>
            <w:r w:rsidRPr="006D5A7E">
              <w:rPr>
                <w:rFonts w:cs="Arial"/>
                <w:sz w:val="20"/>
                <w:szCs w:val="20"/>
              </w:rPr>
              <w:t xml:space="preserve">Ginsburg, Faye und </w:t>
            </w:r>
            <w:proofErr w:type="spellStart"/>
            <w:r w:rsidRPr="006D5A7E">
              <w:rPr>
                <w:rFonts w:cs="Arial"/>
                <w:sz w:val="20"/>
                <w:szCs w:val="20"/>
              </w:rPr>
              <w:t>Rayna</w:t>
            </w:r>
            <w:proofErr w:type="spellEnd"/>
            <w:r w:rsidRPr="006D5A7E">
              <w:rPr>
                <w:rFonts w:cs="Arial"/>
                <w:sz w:val="20"/>
                <w:szCs w:val="20"/>
              </w:rPr>
              <w:t xml:space="preserve"> Rapp</w:t>
            </w:r>
            <w:r>
              <w:rPr>
                <w:rFonts w:cs="Arial"/>
                <w:sz w:val="20"/>
                <w:szCs w:val="20"/>
              </w:rPr>
              <w:t xml:space="preserve">. </w:t>
            </w:r>
            <w:r w:rsidRPr="006D5A7E">
              <w:rPr>
                <w:rFonts w:cs="Arial"/>
                <w:sz w:val="20"/>
                <w:szCs w:val="20"/>
              </w:rPr>
              <w:t xml:space="preserve">1991. </w:t>
            </w:r>
            <w:r w:rsidRPr="00F434B0">
              <w:rPr>
                <w:rFonts w:cs="Arial"/>
                <w:sz w:val="20"/>
                <w:szCs w:val="20"/>
                <w:lang w:val="en-US"/>
              </w:rPr>
              <w:t xml:space="preserve">The Politics of Reproduction. </w:t>
            </w:r>
            <w:r w:rsidRPr="006D5A7E">
              <w:rPr>
                <w:rFonts w:cs="Arial"/>
                <w:i/>
                <w:iCs/>
                <w:sz w:val="20"/>
                <w:szCs w:val="20"/>
                <w:lang w:val="en-US"/>
              </w:rPr>
              <w:t>Annual Review of Anthropology</w:t>
            </w:r>
            <w:r w:rsidRPr="00F434B0">
              <w:rPr>
                <w:rFonts w:cs="Arial"/>
                <w:sz w:val="20"/>
                <w:szCs w:val="20"/>
                <w:lang w:val="en-US"/>
              </w:rPr>
              <w:t xml:space="preserve"> 20</w:t>
            </w:r>
            <w:r>
              <w:rPr>
                <w:rFonts w:cs="Arial"/>
                <w:sz w:val="20"/>
                <w:szCs w:val="20"/>
                <w:lang w:val="en-US"/>
              </w:rPr>
              <w:t>:</w:t>
            </w:r>
            <w:r w:rsidRPr="00F434B0">
              <w:rPr>
                <w:rFonts w:cs="Arial"/>
                <w:sz w:val="20"/>
                <w:szCs w:val="20"/>
                <w:lang w:val="en-US"/>
              </w:rPr>
              <w:t xml:space="preserve"> 311–343. http://www.jstor.org/stable/2155804</w:t>
            </w:r>
          </w:p>
        </w:tc>
        <w:tc>
          <w:tcPr>
            <w:tcW w:w="10064" w:type="dxa"/>
          </w:tcPr>
          <w:p w14:paraId="2FD9A37C"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Kein Abstract</w:t>
            </w:r>
          </w:p>
        </w:tc>
      </w:tr>
      <w:tr w:rsidR="00AA3741" w:rsidRPr="001F2799" w14:paraId="3B95661F" w14:textId="77777777" w:rsidTr="00705DC4">
        <w:tc>
          <w:tcPr>
            <w:tcW w:w="4390" w:type="dxa"/>
            <w:shd w:val="clear" w:color="auto" w:fill="E482D1"/>
          </w:tcPr>
          <w:p w14:paraId="79C4628D" w14:textId="77777777" w:rsidR="00AA3741" w:rsidRPr="00952043" w:rsidRDefault="00AA3741" w:rsidP="003A5925">
            <w:pPr>
              <w:spacing w:before="0" w:line="240" w:lineRule="auto"/>
              <w:jc w:val="left"/>
              <w:rPr>
                <w:rFonts w:cs="Arial"/>
                <w:sz w:val="20"/>
                <w:szCs w:val="20"/>
                <w:lang w:val="en-US"/>
              </w:rPr>
            </w:pPr>
            <w:proofErr w:type="spellStart"/>
            <w:r w:rsidRPr="00952043">
              <w:rPr>
                <w:rFonts w:cs="Arial"/>
                <w:sz w:val="20"/>
                <w:szCs w:val="20"/>
              </w:rPr>
              <w:t>Heffernan</w:t>
            </w:r>
            <w:proofErr w:type="spellEnd"/>
            <w:r w:rsidRPr="00952043">
              <w:rPr>
                <w:rFonts w:cs="Arial"/>
                <w:sz w:val="20"/>
                <w:szCs w:val="20"/>
              </w:rPr>
              <w:t xml:space="preserve">, Valerie und Katherine Stone. 2021. </w:t>
            </w:r>
            <w:r w:rsidRPr="00F434B0">
              <w:rPr>
                <w:rFonts w:cs="Arial"/>
                <w:sz w:val="20"/>
                <w:szCs w:val="20"/>
                <w:lang w:val="en-US"/>
              </w:rPr>
              <w:t xml:space="preserve">#regrettingmotherhood in </w:t>
            </w:r>
            <w:r>
              <w:rPr>
                <w:rFonts w:cs="Arial"/>
                <w:sz w:val="20"/>
                <w:szCs w:val="20"/>
                <w:lang w:val="en-US"/>
              </w:rPr>
              <w:t>G</w:t>
            </w:r>
            <w:r w:rsidRPr="00F434B0">
              <w:rPr>
                <w:rFonts w:cs="Arial"/>
                <w:sz w:val="20"/>
                <w:szCs w:val="20"/>
                <w:lang w:val="en-US"/>
              </w:rPr>
              <w:t xml:space="preserve">ermany: Feminism, </w:t>
            </w:r>
            <w:r>
              <w:rPr>
                <w:rFonts w:cs="Arial"/>
                <w:sz w:val="20"/>
                <w:szCs w:val="20"/>
                <w:lang w:val="en-US"/>
              </w:rPr>
              <w:t>M</w:t>
            </w:r>
            <w:r w:rsidRPr="00F434B0">
              <w:rPr>
                <w:rFonts w:cs="Arial"/>
                <w:sz w:val="20"/>
                <w:szCs w:val="20"/>
                <w:lang w:val="en-US"/>
              </w:rPr>
              <w:t xml:space="preserve">otherhood, and </w:t>
            </w:r>
            <w:r>
              <w:rPr>
                <w:rFonts w:cs="Arial"/>
                <w:sz w:val="20"/>
                <w:szCs w:val="20"/>
                <w:lang w:val="en-US"/>
              </w:rPr>
              <w:t>C</w:t>
            </w:r>
            <w:r w:rsidRPr="00F434B0">
              <w:rPr>
                <w:rFonts w:cs="Arial"/>
                <w:sz w:val="20"/>
                <w:szCs w:val="20"/>
                <w:lang w:val="en-US"/>
              </w:rPr>
              <w:t xml:space="preserve">ulture. </w:t>
            </w:r>
            <w:r w:rsidRPr="00952043">
              <w:rPr>
                <w:rFonts w:cs="Arial"/>
                <w:i/>
                <w:iCs/>
                <w:sz w:val="20"/>
                <w:szCs w:val="20"/>
                <w:lang w:val="en-US"/>
              </w:rPr>
              <w:t>Signs: Journal of Women in Culture and Society</w:t>
            </w:r>
            <w:r w:rsidRPr="00952043">
              <w:rPr>
                <w:rFonts w:cs="Arial"/>
                <w:sz w:val="20"/>
                <w:szCs w:val="20"/>
                <w:lang w:val="en-US"/>
              </w:rPr>
              <w:t xml:space="preserve"> 46 (2): 337-360.</w:t>
            </w:r>
          </w:p>
        </w:tc>
        <w:tc>
          <w:tcPr>
            <w:tcW w:w="10064" w:type="dxa"/>
          </w:tcPr>
          <w:p w14:paraId="7E05B248"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Orna Donath’s controversial article “Regretting Motherhood: A Sociopolitical Analysis,” published in the Winter 2015 edition of Signs, ruffled feathers in many quarters but nowhere more than in Germany, where it inflamed a heated debate in mainstream and social media that lasted for several weeks. In this article, we analyze the subsequent debate under the hashtag #regrettingmotherhood in two ways: First, we explore how the forceful reaction to Donath’s research among the German public exposes a particularly potent ideology of sacrosanct motherhood that has its roots in Protestant tradition and that renders the idea of maternal regret particularly unimaginable in the German context. We further show how the #regrettingmotherhood debate has created a space for German women to voice their dissatisfaction with the social supports available to mothers in Germany as well as their frustration with the social pressure to conform to an impossible standard of caregiving. Second, we relate the media discussion in Germany to broader conversations about the inordinate pressure on mothers in the Western world to meet inflated standards of child nurturance. We argue that the #regrettingmotherhood debate buttresses existing scholarship on how idealizing discourses of maternity add to women’s anxieties about motherhood and police their behaviors and emotions. Moreover, we find ample evidence in some of the reactions to the debate to suggest that maternal myths can also have a negative effect on women’s reproductive choices, in some cases even informing their decision to remain child-free.</w:t>
            </w:r>
          </w:p>
        </w:tc>
      </w:tr>
      <w:tr w:rsidR="00AA3741" w:rsidRPr="00F434B0" w14:paraId="767744C2" w14:textId="77777777" w:rsidTr="00705DC4">
        <w:tc>
          <w:tcPr>
            <w:tcW w:w="4390" w:type="dxa"/>
            <w:shd w:val="clear" w:color="auto" w:fill="E482D1"/>
          </w:tcPr>
          <w:p w14:paraId="6D7B97BD" w14:textId="77777777" w:rsidR="00AA3741" w:rsidRPr="00F434B0" w:rsidRDefault="00AA3741" w:rsidP="003A5925">
            <w:pPr>
              <w:spacing w:before="0" w:line="240" w:lineRule="auto"/>
              <w:jc w:val="left"/>
              <w:rPr>
                <w:rFonts w:cs="Arial"/>
                <w:sz w:val="20"/>
                <w:szCs w:val="20"/>
              </w:rPr>
            </w:pPr>
            <w:proofErr w:type="spellStart"/>
            <w:r w:rsidRPr="00425633">
              <w:rPr>
                <w:rFonts w:cs="Arial"/>
                <w:sz w:val="20"/>
                <w:szCs w:val="20"/>
              </w:rPr>
              <w:t>Heitzmann</w:t>
            </w:r>
            <w:proofErr w:type="spellEnd"/>
            <w:r w:rsidRPr="00F434B0">
              <w:rPr>
                <w:rFonts w:cs="Arial"/>
                <w:sz w:val="20"/>
                <w:szCs w:val="20"/>
              </w:rPr>
              <w:t>, D</w:t>
            </w:r>
            <w:r>
              <w:rPr>
                <w:rFonts w:cs="Arial"/>
                <w:sz w:val="20"/>
                <w:szCs w:val="20"/>
              </w:rPr>
              <w:t>aniela</w:t>
            </w:r>
            <w:r w:rsidRPr="00F434B0">
              <w:rPr>
                <w:rFonts w:cs="Arial"/>
                <w:sz w:val="20"/>
                <w:szCs w:val="20"/>
              </w:rPr>
              <w:t>. 2017. Fortpflanzung und Geschlecht</w:t>
            </w:r>
            <w:r>
              <w:rPr>
                <w:rFonts w:cs="Arial"/>
                <w:sz w:val="20"/>
                <w:szCs w:val="20"/>
              </w:rPr>
              <w:t>. Z</w:t>
            </w:r>
            <w:r w:rsidRPr="00F434B0">
              <w:rPr>
                <w:rFonts w:cs="Arial"/>
                <w:sz w:val="20"/>
                <w:szCs w:val="20"/>
              </w:rPr>
              <w:t>ur Konstruktion und Kategorisierung der generativen Praxis.</w:t>
            </w:r>
            <w:r>
              <w:rPr>
                <w:rFonts w:cs="Arial"/>
                <w:sz w:val="20"/>
                <w:szCs w:val="20"/>
              </w:rPr>
              <w:t xml:space="preserve"> Bielefeld:</w:t>
            </w:r>
            <w:r w:rsidRPr="00F434B0">
              <w:rPr>
                <w:rFonts w:cs="Arial"/>
                <w:sz w:val="20"/>
                <w:szCs w:val="20"/>
              </w:rPr>
              <w:t xml:space="preserve"> </w:t>
            </w:r>
            <w:proofErr w:type="spellStart"/>
            <w:r w:rsidRPr="00F434B0">
              <w:rPr>
                <w:rFonts w:cs="Arial"/>
                <w:sz w:val="20"/>
                <w:szCs w:val="20"/>
              </w:rPr>
              <w:t>transcript</w:t>
            </w:r>
            <w:proofErr w:type="spellEnd"/>
            <w:r w:rsidRPr="00F434B0">
              <w:rPr>
                <w:rFonts w:cs="Arial"/>
                <w:sz w:val="20"/>
                <w:szCs w:val="20"/>
              </w:rPr>
              <w:t xml:space="preserve"> Verlag.</w:t>
            </w:r>
          </w:p>
        </w:tc>
        <w:tc>
          <w:tcPr>
            <w:tcW w:w="10064" w:type="dxa"/>
          </w:tcPr>
          <w:p w14:paraId="39791DC1"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Fortpflanzung als das 'natürlichste' Phänomen der Welt wird häufig als Begründung für die Geschlechterdifferenz herangezogen und dient als Rechtfertigung für das hierarchisch strukturierte Geschlechterverhältnis. Auf der Grundlage der Soziologie Pierre Bourdieus fragt Daniela </w:t>
            </w:r>
            <w:proofErr w:type="spellStart"/>
            <w:r w:rsidRPr="00F434B0">
              <w:rPr>
                <w:rFonts w:cs="Arial"/>
                <w:sz w:val="20"/>
                <w:szCs w:val="20"/>
              </w:rPr>
              <w:t>Heitzmann</w:t>
            </w:r>
            <w:proofErr w:type="spellEnd"/>
            <w:r w:rsidRPr="00F434B0">
              <w:rPr>
                <w:rFonts w:cs="Arial"/>
                <w:sz w:val="20"/>
                <w:szCs w:val="20"/>
              </w:rPr>
              <w:t xml:space="preserve">, wie sich jene vermeintliche Naturtatsache als soziales Phänomen begreifen lässt, um dessen enge Verknüpfung mit dem Frausein einerseits und das eher lose Verhältnis zum Mannsein andererseits zu analysieren. Hierzu entwickelt sie ein Konzept der </w:t>
            </w:r>
            <w:r w:rsidRPr="00F434B0">
              <w:rPr>
                <w:rFonts w:cs="Arial"/>
                <w:sz w:val="20"/>
                <w:szCs w:val="20"/>
              </w:rPr>
              <w:lastRenderedPageBreak/>
              <w:t>generativen Praxis, das zu einem Forschungsprogramm zur Genese von Generativitätsvorstellungen führt und dabei besonders die soziale Konstruktionsarbeit der Soziologie in den Fokus rückt.</w:t>
            </w:r>
          </w:p>
        </w:tc>
      </w:tr>
      <w:tr w:rsidR="00AA3741" w:rsidRPr="00F434B0" w14:paraId="1EC78A89" w14:textId="77777777" w:rsidTr="00B15E99">
        <w:tc>
          <w:tcPr>
            <w:tcW w:w="4390" w:type="dxa"/>
            <w:shd w:val="clear" w:color="auto" w:fill="FF66CC"/>
          </w:tcPr>
          <w:p w14:paraId="5895C9E6" w14:textId="77777777" w:rsidR="00AA3741" w:rsidRPr="00F434B0" w:rsidRDefault="00AA3741" w:rsidP="003A5925">
            <w:pPr>
              <w:spacing w:before="0" w:line="240" w:lineRule="auto"/>
              <w:jc w:val="left"/>
              <w:rPr>
                <w:rFonts w:cs="Arial"/>
                <w:sz w:val="20"/>
                <w:szCs w:val="20"/>
              </w:rPr>
            </w:pPr>
            <w:commentRangeStart w:id="5"/>
            <w:r w:rsidRPr="00F434B0">
              <w:rPr>
                <w:rFonts w:cs="Arial"/>
                <w:sz w:val="20"/>
                <w:szCs w:val="20"/>
              </w:rPr>
              <w:lastRenderedPageBreak/>
              <w:t>Helfferich</w:t>
            </w:r>
            <w:commentRangeEnd w:id="5"/>
            <w:r>
              <w:rPr>
                <w:rStyle w:val="Kommentarzeichen"/>
              </w:rPr>
              <w:commentReference w:id="5"/>
            </w:r>
            <w:r w:rsidRPr="00F434B0">
              <w:rPr>
                <w:rFonts w:cs="Arial"/>
                <w:sz w:val="20"/>
                <w:szCs w:val="20"/>
              </w:rPr>
              <w:t>, C</w:t>
            </w:r>
            <w:r>
              <w:rPr>
                <w:rFonts w:cs="Arial"/>
                <w:sz w:val="20"/>
                <w:szCs w:val="20"/>
              </w:rPr>
              <w:t>ornelia</w:t>
            </w:r>
            <w:r w:rsidRPr="00F434B0">
              <w:rPr>
                <w:rFonts w:cs="Arial"/>
                <w:sz w:val="20"/>
                <w:szCs w:val="20"/>
              </w:rPr>
              <w:t xml:space="preserve">. 2008. Reproduktive Kulturen: die Regeln des angemessenen Umgangs mit Fertilität, reproduktiven Technologien und Geschlechterbeziehungen im Lebenslauf.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Pr>
                <w:rFonts w:cs="Arial"/>
                <w:iCs/>
                <w:sz w:val="20"/>
                <w:szCs w:val="20"/>
              </w:rPr>
              <w:t>441-454</w:t>
            </w:r>
            <w:r>
              <w:rPr>
                <w:rFonts w:cs="Arial"/>
                <w:sz w:val="20"/>
                <w:szCs w:val="20"/>
              </w:rPr>
              <w:t>.</w:t>
            </w:r>
            <w:r w:rsidRPr="00F434B0">
              <w:rPr>
                <w:rFonts w:cs="Arial"/>
                <w:sz w:val="20"/>
                <w:szCs w:val="20"/>
              </w:rPr>
              <w:t xml:space="preserve"> Frankfurt am Main: </w:t>
            </w:r>
            <w:proofErr w:type="spellStart"/>
            <w:r w:rsidRPr="00F434B0">
              <w:rPr>
                <w:rFonts w:cs="Arial"/>
                <w:sz w:val="20"/>
                <w:szCs w:val="20"/>
              </w:rPr>
              <w:t>Campus.</w:t>
            </w:r>
            <w:r w:rsidRPr="00F434B0">
              <w:rPr>
                <w:rFonts w:cs="Arial"/>
                <w:sz w:val="20"/>
                <w:szCs w:val="20"/>
              </w:rPr>
              <w:t>https</w:t>
            </w:r>
            <w:proofErr w:type="spellEnd"/>
            <w:r w:rsidRPr="00F434B0">
              <w:rPr>
                <w:rFonts w:cs="Arial"/>
                <w:sz w:val="20"/>
                <w:szCs w:val="20"/>
              </w:rPr>
              <w:t>://nbn-resolving.org/urn:nbn:de:0168-ssoar-153310</w:t>
            </w:r>
          </w:p>
        </w:tc>
        <w:tc>
          <w:tcPr>
            <w:tcW w:w="10064" w:type="dxa"/>
          </w:tcPr>
          <w:p w14:paraId="056F6D7A"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(aus der Einleitung): Unter einer soziologischen Perspektive gilt es, den Wandel von Fertilitätsmustern in einem theoretischen Rahmen zusammenzubringen mit den großen gesellschaftlichen Wandlungsprozessen. Der Wandel der Fertilitätsmuster ist gekennzeichnet durch ein niedriges Niveau, auf dem sich die Fertilitätsrate eingespielt hat1, einen Aufschub der ersten Geburt in ein zunehmend höheres Alter sowie durch eine »Ausdifferenzierung gruppenspezifischer und lebenslaufspezifischer Reproduktionsweisen« (Birg 1992: 192). Es gibt </w:t>
            </w:r>
            <w:proofErr w:type="gramStart"/>
            <w:r w:rsidRPr="00F434B0">
              <w:rPr>
                <w:rFonts w:cs="Arial"/>
                <w:sz w:val="20"/>
                <w:szCs w:val="20"/>
              </w:rPr>
              <w:t>durchaus eine</w:t>
            </w:r>
            <w:proofErr w:type="gramEnd"/>
            <w:r w:rsidRPr="00F434B0">
              <w:rPr>
                <w:rFonts w:cs="Arial"/>
                <w:sz w:val="20"/>
                <w:szCs w:val="20"/>
              </w:rPr>
              <w:t xml:space="preserve"> Reihe von Ansätzen, die erklären, wie strukturelle Wandlungsprozesse auf das reproduktive Handeln von Einzelnen und von Paaren durchschlagen. Überwiegend werden dabei die Veränderungen der Qualifikation und Erwerbstätigkeit von Frauen, speziell die sich daraus ergebenden Zielkonflikte und Unvereinbarkeiten, für Kinderlosigkeit und Geburtenaufschub verantwortlich gemacht (z.B. Beck-Gernsheim 1997): Frauen verzichten (zumindest zeitweise) aufgrund einer rationalen Abwägung auf die mit Nachteilen verbundene Option der Familiengründung.  </w:t>
            </w:r>
          </w:p>
        </w:tc>
      </w:tr>
      <w:tr w:rsidR="00AA3741" w:rsidRPr="00F434B0" w14:paraId="4C9F97CE" w14:textId="77777777" w:rsidTr="00705DC4">
        <w:tc>
          <w:tcPr>
            <w:tcW w:w="4390" w:type="dxa"/>
            <w:shd w:val="clear" w:color="auto" w:fill="E482D1"/>
          </w:tcPr>
          <w:p w14:paraId="681A597F" w14:textId="77777777" w:rsidR="00AA3741" w:rsidRPr="00F434B0" w:rsidRDefault="00AA3741" w:rsidP="003A5925">
            <w:pPr>
              <w:spacing w:before="0" w:line="240" w:lineRule="auto"/>
              <w:jc w:val="left"/>
              <w:rPr>
                <w:rFonts w:cs="Arial"/>
                <w:sz w:val="20"/>
                <w:szCs w:val="20"/>
              </w:rPr>
            </w:pPr>
            <w:r w:rsidRPr="00F434B0">
              <w:rPr>
                <w:rFonts w:cs="Arial"/>
                <w:sz w:val="20"/>
                <w:szCs w:val="20"/>
              </w:rPr>
              <w:t>Kadi, U</w:t>
            </w:r>
            <w:r>
              <w:rPr>
                <w:rFonts w:cs="Arial"/>
                <w:sz w:val="20"/>
                <w:szCs w:val="20"/>
              </w:rPr>
              <w:t xml:space="preserve">lrike und Katharina </w:t>
            </w:r>
            <w:r w:rsidRPr="00F434B0">
              <w:rPr>
                <w:rFonts w:cs="Arial"/>
                <w:sz w:val="20"/>
                <w:szCs w:val="20"/>
              </w:rPr>
              <w:t>Leithner-</w:t>
            </w:r>
            <w:proofErr w:type="spellStart"/>
            <w:r w:rsidRPr="00F434B0">
              <w:rPr>
                <w:rFonts w:cs="Arial"/>
                <w:sz w:val="20"/>
                <w:szCs w:val="20"/>
              </w:rPr>
              <w:t>Dziubas</w:t>
            </w:r>
            <w:proofErr w:type="spellEnd"/>
            <w:r>
              <w:rPr>
                <w:rFonts w:cs="Arial"/>
                <w:sz w:val="20"/>
                <w:szCs w:val="20"/>
              </w:rPr>
              <w:t xml:space="preserve">. </w:t>
            </w:r>
            <w:r w:rsidRPr="00F434B0">
              <w:rPr>
                <w:rFonts w:cs="Arial"/>
                <w:sz w:val="20"/>
                <w:szCs w:val="20"/>
              </w:rPr>
              <w:t xml:space="preserve">2019. Das Monster einer zweibeinigen Gebärmutter. Leihmutterschaft als Ortswechsel. </w:t>
            </w:r>
            <w:r w:rsidRPr="0034084F">
              <w:rPr>
                <w:rFonts w:cs="Arial"/>
                <w:i/>
                <w:iCs/>
                <w:sz w:val="20"/>
                <w:szCs w:val="20"/>
              </w:rPr>
              <w:t>Feministische Studien</w:t>
            </w:r>
            <w:r w:rsidRPr="00F434B0">
              <w:rPr>
                <w:rFonts w:cs="Arial"/>
                <w:sz w:val="20"/>
                <w:szCs w:val="20"/>
              </w:rPr>
              <w:t xml:space="preserve"> 37</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13-28.</w:t>
            </w:r>
            <w:r>
              <w:rPr>
                <w:rFonts w:cs="Arial"/>
                <w:sz w:val="20"/>
                <w:szCs w:val="20"/>
              </w:rPr>
              <w:t xml:space="preserve"> </w:t>
            </w:r>
            <w:r>
              <w:t xml:space="preserve"> </w:t>
            </w:r>
            <w:r w:rsidRPr="006B2D2B">
              <w:rPr>
                <w:rFonts w:cs="Arial"/>
                <w:sz w:val="20"/>
                <w:szCs w:val="20"/>
              </w:rPr>
              <w:t>DOI 10.1515/fs-2019-0002</w:t>
            </w:r>
          </w:p>
        </w:tc>
        <w:tc>
          <w:tcPr>
            <w:tcW w:w="10064" w:type="dxa"/>
          </w:tcPr>
          <w:p w14:paraId="55E85206"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(aus der Einleitung):  Obwohl Leihmutterschaft eine weltweit zunehmend zum Einsatz kommende Form der technisch assistierten Reproduktion ist, wurde sie bis jetzt im deutschen Sprachraum wenig diskutiert. Sie scheint in besonderem Maße geeignet zu sein, Kritik, vor allem aber Irritation und Empörung </w:t>
            </w:r>
            <w:proofErr w:type="gramStart"/>
            <w:r w:rsidRPr="00F434B0">
              <w:rPr>
                <w:rFonts w:cs="Arial"/>
                <w:sz w:val="20"/>
                <w:szCs w:val="20"/>
              </w:rPr>
              <w:t>hervor zu rufen</w:t>
            </w:r>
            <w:proofErr w:type="gramEnd"/>
            <w:r w:rsidRPr="00F434B0">
              <w:rPr>
                <w:rFonts w:cs="Arial"/>
                <w:sz w:val="20"/>
                <w:szCs w:val="20"/>
              </w:rPr>
              <w:t xml:space="preserve"> (z.B. </w:t>
            </w:r>
            <w:proofErr w:type="spellStart"/>
            <w:r w:rsidRPr="00F434B0">
              <w:rPr>
                <w:rFonts w:cs="Arial"/>
                <w:sz w:val="20"/>
                <w:szCs w:val="20"/>
              </w:rPr>
              <w:t>Ekmann</w:t>
            </w:r>
            <w:proofErr w:type="spellEnd"/>
            <w:r w:rsidRPr="00F434B0">
              <w:rPr>
                <w:rFonts w:cs="Arial"/>
                <w:sz w:val="20"/>
                <w:szCs w:val="20"/>
              </w:rPr>
              <w:t xml:space="preserve"> 2013; Gentile 2013; </w:t>
            </w:r>
            <w:proofErr w:type="spellStart"/>
            <w:r w:rsidRPr="00F434B0">
              <w:rPr>
                <w:rFonts w:cs="Arial"/>
                <w:sz w:val="20"/>
                <w:szCs w:val="20"/>
              </w:rPr>
              <w:t>Levaque</w:t>
            </w:r>
            <w:proofErr w:type="spellEnd"/>
            <w:r w:rsidRPr="00F434B0">
              <w:rPr>
                <w:rFonts w:cs="Arial"/>
                <w:sz w:val="20"/>
                <w:szCs w:val="20"/>
              </w:rPr>
              <w:t xml:space="preserve"> 2017; Metzler 2017; Calla 2017). Zudem gibt es weltweit nicht wenig Bestrebungen, sie generell zu untersagen, als handle es sich dabei auf jeden Fall um ein vor allem monströses Unterfangen. Es ist eine Reihe von Argumentationen bekannt, die für ein generelles Verbot sprechen – beispielsweise die ökonomisch motivierte Ausbeutung von reproduktiven Kapazitäten weiblicher Körper (Phillips 2013), die Interaktion von neoliberalen Ideologien mit Körpern und Körperteilen (Leve 2013) oder fragwürdige Auswirkungen auf die mittels Leihmutterschaft gezeugten Kinder (Romer Witten 2017).3 Wir wenden uns im Folgenden allerdings nicht so sehr den vielen unstrittig problematischen Seiten der Leihmutterschaft zu. Denn wir gehen davon aus, dass manches an der Kritik daran nicht in erster Linie mit ihr selbst zu tun hat, sondern sich aus inhaltlich benachbarten Zusammenhängen speist, die mit der Leihmutterschaft thematisch und phantasmatisch assoziiert sind. Wir werden solche Zusammenhänge beschreiben, um den Raum für ein produktives Nachdenken über die Leihmutterschaft zu vergrößern. Mit Blick auf Margaret Atwoods The </w:t>
            </w:r>
            <w:proofErr w:type="spellStart"/>
            <w:r w:rsidRPr="00F434B0">
              <w:rPr>
                <w:rFonts w:cs="Arial"/>
                <w:sz w:val="20"/>
                <w:szCs w:val="20"/>
              </w:rPr>
              <w:t>Handmaid’s</w:t>
            </w:r>
            <w:proofErr w:type="spellEnd"/>
            <w:r w:rsidRPr="00F434B0">
              <w:rPr>
                <w:rFonts w:cs="Arial"/>
                <w:sz w:val="20"/>
                <w:szCs w:val="20"/>
              </w:rPr>
              <w:t xml:space="preserve"> Tale (1998 [1986]) und zwei der zahlreichen Bearbeitungen dieses Stoffs, nämlich Volker Schlöndorffs Die Geschichte der Dienerin (1990) und der Hulu-Fernsehserie The </w:t>
            </w:r>
            <w:proofErr w:type="spellStart"/>
            <w:r w:rsidRPr="00F434B0">
              <w:rPr>
                <w:rFonts w:cs="Arial"/>
                <w:sz w:val="20"/>
                <w:szCs w:val="20"/>
              </w:rPr>
              <w:t>Handmaid’s</w:t>
            </w:r>
            <w:proofErr w:type="spellEnd"/>
            <w:r w:rsidRPr="00F434B0">
              <w:rPr>
                <w:rFonts w:cs="Arial"/>
                <w:sz w:val="20"/>
                <w:szCs w:val="20"/>
              </w:rPr>
              <w:t xml:space="preserve"> Tale (Der Report der Magd) (2017), werden im Folgenden latente, unbewusste Aspekte herausgearbeitet, die eine Diskussion über Leihmutterschaft im Hintergrund mitbestimmen. Unsere These lautet: Es sind einerseits die </w:t>
            </w:r>
            <w:proofErr w:type="spellStart"/>
            <w:r w:rsidRPr="00F434B0">
              <w:rPr>
                <w:rFonts w:cs="Arial"/>
                <w:sz w:val="20"/>
                <w:szCs w:val="20"/>
              </w:rPr>
              <w:t>topischen</w:t>
            </w:r>
            <w:proofErr w:type="spellEnd"/>
            <w:r w:rsidRPr="00F434B0">
              <w:rPr>
                <w:rFonts w:cs="Arial"/>
                <w:sz w:val="20"/>
                <w:szCs w:val="20"/>
              </w:rPr>
              <w:t xml:space="preserve"> Verhältnisse bei Leihmutterschaften und andererseits erstarrte Bedeutungen von Mutterschaft, die es erschweren, </w:t>
            </w:r>
            <w:proofErr w:type="gramStart"/>
            <w:r w:rsidRPr="00F434B0">
              <w:rPr>
                <w:rFonts w:cs="Arial"/>
                <w:sz w:val="20"/>
                <w:szCs w:val="20"/>
              </w:rPr>
              <w:t>neben destruktiven auch kreative Aspekte</w:t>
            </w:r>
            <w:proofErr w:type="gramEnd"/>
            <w:r w:rsidRPr="00F434B0">
              <w:rPr>
                <w:rFonts w:cs="Arial"/>
                <w:sz w:val="20"/>
                <w:szCs w:val="20"/>
              </w:rPr>
              <w:t xml:space="preserve"> der Leihmutterschaft zu sehen.</w:t>
            </w:r>
          </w:p>
        </w:tc>
      </w:tr>
      <w:tr w:rsidR="00AA3741" w:rsidRPr="00F434B0" w14:paraId="56177B01" w14:textId="77777777" w:rsidTr="00705DC4">
        <w:tc>
          <w:tcPr>
            <w:tcW w:w="4390" w:type="dxa"/>
            <w:shd w:val="clear" w:color="auto" w:fill="E482D1"/>
          </w:tcPr>
          <w:p w14:paraId="218F9BB2" w14:textId="77777777" w:rsidR="00AA3741" w:rsidRPr="00F434B0" w:rsidRDefault="00AA3741" w:rsidP="003A5925">
            <w:pPr>
              <w:spacing w:before="0" w:line="240" w:lineRule="auto"/>
              <w:jc w:val="left"/>
              <w:rPr>
                <w:rFonts w:cs="Arial"/>
                <w:sz w:val="20"/>
                <w:szCs w:val="20"/>
              </w:rPr>
            </w:pPr>
            <w:r w:rsidRPr="00F434B0">
              <w:rPr>
                <w:rFonts w:cs="Arial"/>
                <w:sz w:val="20"/>
                <w:szCs w:val="20"/>
              </w:rPr>
              <w:t>Kahlert, H</w:t>
            </w:r>
            <w:r>
              <w:rPr>
                <w:rFonts w:cs="Arial"/>
                <w:sz w:val="20"/>
                <w:szCs w:val="20"/>
              </w:rPr>
              <w:t xml:space="preserve">eike und Agnes Blome. </w:t>
            </w:r>
            <w:r w:rsidRPr="00F434B0">
              <w:rPr>
                <w:rFonts w:cs="Arial"/>
                <w:sz w:val="20"/>
                <w:szCs w:val="20"/>
              </w:rPr>
              <w:t xml:space="preserve">2020. Politiken der Generativität und Reproduktive Rechte. Eine Einleitung. </w:t>
            </w:r>
            <w:proofErr w:type="spellStart"/>
            <w:r w:rsidRPr="00E756C6">
              <w:rPr>
                <w:rFonts w:cs="Arial"/>
                <w:i/>
                <w:iCs/>
                <w:sz w:val="20"/>
                <w:szCs w:val="20"/>
              </w:rPr>
              <w:t>Femina</w:t>
            </w:r>
            <w:proofErr w:type="spellEnd"/>
            <w:r w:rsidRPr="00E756C6">
              <w:rPr>
                <w:rFonts w:cs="Arial"/>
                <w:i/>
                <w:iCs/>
                <w:sz w:val="20"/>
                <w:szCs w:val="20"/>
              </w:rPr>
              <w:t xml:space="preserve"> </w:t>
            </w:r>
            <w:proofErr w:type="spellStart"/>
            <w:r w:rsidRPr="00E756C6">
              <w:rPr>
                <w:rFonts w:cs="Arial"/>
                <w:i/>
                <w:iCs/>
                <w:sz w:val="20"/>
                <w:szCs w:val="20"/>
              </w:rPr>
              <w:t>Politica</w:t>
            </w:r>
            <w:proofErr w:type="spellEnd"/>
            <w:r w:rsidRPr="00F434B0">
              <w:rPr>
                <w:rFonts w:cs="Arial"/>
                <w:sz w:val="20"/>
                <w:szCs w:val="20"/>
              </w:rPr>
              <w:t xml:space="preserve"> 29(2</w:t>
            </w:r>
            <w:r>
              <w:rPr>
                <w:rFonts w:cs="Arial"/>
                <w:sz w:val="20"/>
                <w:szCs w:val="20"/>
              </w:rPr>
              <w:t xml:space="preserve">): </w:t>
            </w:r>
            <w:r w:rsidRPr="00F434B0">
              <w:rPr>
                <w:rFonts w:cs="Arial"/>
                <w:sz w:val="20"/>
                <w:szCs w:val="20"/>
              </w:rPr>
              <w:t xml:space="preserve"> 9-22.</w:t>
            </w:r>
            <w:r>
              <w:rPr>
                <w:rFonts w:cs="Arial"/>
                <w:sz w:val="20"/>
                <w:szCs w:val="20"/>
              </w:rPr>
              <w:t xml:space="preserve"> </w:t>
            </w:r>
            <w:r w:rsidRPr="00F5716E">
              <w:rPr>
                <w:rFonts w:cs="Arial"/>
                <w:sz w:val="20"/>
                <w:szCs w:val="20"/>
              </w:rPr>
              <w:t>https://doi.org/10.3224/feminapolitica.v29i2.02</w:t>
            </w:r>
          </w:p>
        </w:tc>
        <w:tc>
          <w:tcPr>
            <w:tcW w:w="10064" w:type="dxa"/>
          </w:tcPr>
          <w:p w14:paraId="1D54B7AF"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1995 wurde das im Rahmen der Internationalen Konferenz zu Bevölkerung und Entwicklung ein Jahr zuvor verabschiedete Konzept der Sexuellen und Reproduktiven Gesundheit und Rechte, kurz: Reproduktive Rechte, in die Aktionsplattform der vierten Weltfrauenkonferenz integriert und völkerrechtlich als Bestandteil der Menschenrechte anerkannt. Die Übersetzung dieses Konzepts in nationale Politiken wird seither von einem regen Diskurs und politischen Aktivitäten verschiedener Akteur*innen begleitet. Der Artikel beleuchtet zunächst das komplexe Verhältnis von Staat, Politik und Bevölkerung. Im darauffolgenden Schritt stehen einige feministische </w:t>
            </w:r>
            <w:r w:rsidRPr="00F434B0">
              <w:rPr>
                <w:rFonts w:cs="Arial"/>
                <w:sz w:val="20"/>
                <w:szCs w:val="20"/>
              </w:rPr>
              <w:lastRenderedPageBreak/>
              <w:t>Perspektiven auf ‚Generativität‘ als Fundament der Bevölkerungsentwicklung im Fokus. Danach wird das Konzept der Reproduktiven Rechte näher erörtert und anhand von zentralen Indikatoren im weltweiten Vergleich veranschaulicht. Schließlich werden Konfliktlinien im anhaltenden Streit über die Umsetzung dieses Menschenrechts umrissen. Mit einem Überblick über die Beiträge zum Schwerpunkt schließt die Einleitung.</w:t>
            </w:r>
          </w:p>
        </w:tc>
      </w:tr>
      <w:tr w:rsidR="00AA3741" w:rsidRPr="00F434B0" w14:paraId="6F0EAF27" w14:textId="77777777" w:rsidTr="00705DC4">
        <w:tc>
          <w:tcPr>
            <w:tcW w:w="4390" w:type="dxa"/>
            <w:shd w:val="clear" w:color="auto" w:fill="E482D1"/>
          </w:tcPr>
          <w:p w14:paraId="5DD6CBAC"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Kahlert, H</w:t>
            </w:r>
            <w:r>
              <w:rPr>
                <w:rFonts w:cs="Arial"/>
                <w:sz w:val="20"/>
                <w:szCs w:val="20"/>
              </w:rPr>
              <w:t xml:space="preserve">eike und Anneli </w:t>
            </w:r>
            <w:proofErr w:type="spellStart"/>
            <w:r w:rsidRPr="00F434B0">
              <w:rPr>
                <w:rFonts w:cs="Arial"/>
                <w:sz w:val="20"/>
                <w:szCs w:val="20"/>
              </w:rPr>
              <w:t>Rüling</w:t>
            </w:r>
            <w:proofErr w:type="spellEnd"/>
            <w:r w:rsidRPr="00F434B0">
              <w:rPr>
                <w:rFonts w:cs="Arial"/>
                <w:sz w:val="20"/>
                <w:szCs w:val="20"/>
              </w:rPr>
              <w:t>.</w:t>
            </w:r>
            <w:r>
              <w:rPr>
                <w:rFonts w:cs="Arial"/>
                <w:sz w:val="20"/>
                <w:szCs w:val="20"/>
              </w:rPr>
              <w:t xml:space="preserve"> </w:t>
            </w:r>
            <w:r w:rsidRPr="00F434B0">
              <w:rPr>
                <w:rFonts w:cs="Arial"/>
                <w:sz w:val="20"/>
                <w:szCs w:val="20"/>
              </w:rPr>
              <w:t xml:space="preserve">2008. Geschlecht, Generativität und die "Natur der Gesellschaft": Analysen im Anschluss an Giddens und Foucault.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B70D34">
              <w:rPr>
                <w:rFonts w:cs="Arial"/>
                <w:iCs/>
                <w:sz w:val="20"/>
                <w:szCs w:val="20"/>
              </w:rPr>
              <w:t>4729-4736</w:t>
            </w:r>
            <w:r>
              <w:rPr>
                <w:rFonts w:cs="Arial"/>
                <w:sz w:val="20"/>
                <w:szCs w:val="20"/>
              </w:rPr>
              <w:t>.</w:t>
            </w:r>
            <w:r w:rsidRPr="00F434B0">
              <w:rPr>
                <w:rFonts w:cs="Arial"/>
                <w:sz w:val="20"/>
                <w:szCs w:val="20"/>
              </w:rPr>
              <w:t xml:space="preserve"> Frankfurt am Main: Campus.</w:t>
            </w:r>
            <w:r w:rsidRPr="00F434B0">
              <w:rPr>
                <w:rFonts w:cs="Arial"/>
                <w:sz w:val="20"/>
                <w:szCs w:val="20"/>
              </w:rPr>
              <w:t xml:space="preserve"> https://nbn-resolving.org/urn:nbn:de:0168-ssoar-154627</w:t>
            </w:r>
          </w:p>
        </w:tc>
        <w:tc>
          <w:tcPr>
            <w:tcW w:w="10064" w:type="dxa"/>
          </w:tcPr>
          <w:p w14:paraId="14507E6C" w14:textId="77777777" w:rsidR="00AA3741" w:rsidRPr="00F434B0" w:rsidRDefault="00AA3741" w:rsidP="003A5925">
            <w:pPr>
              <w:spacing w:before="0" w:line="240" w:lineRule="auto"/>
              <w:jc w:val="left"/>
              <w:rPr>
                <w:rFonts w:cs="Arial"/>
                <w:sz w:val="20"/>
                <w:szCs w:val="20"/>
              </w:rPr>
            </w:pPr>
            <w:r w:rsidRPr="00F434B0">
              <w:rPr>
                <w:rFonts w:cs="Arial"/>
                <w:sz w:val="20"/>
                <w:szCs w:val="20"/>
              </w:rPr>
              <w:t>Die spätmoderne Geschlechterordnung ist durch Widersprüche zwischen Re-Naturalisierungs- und Vergesellschaftungsprozessen von Geschlecht gekennzeichnet: Re-naturalisierende Zuschreibungen an die Geschlechter, z.B. hinsichtlich der (mit den generativen Funktionen begründeten) Arbeitsteilung, gehen Hand in Hand mit sozialen Dekonstruktionsprozessen, in denen Geschlecht und Generativität ihrer vorgeblichen Natürlichkeit entledigt und als durch und durch vergesellschaftet verstanden werden. Hier zeichnet sich eine Gleichzeitigkeit von Stabilität und Wandel in den Reproduktionsprozessen von Geschlecht ab. Soziologische Konzepte, die diese widersprüchliche Gleichzeitigkeit auf den Begriff zu bringen ermöglichen, sind jedoch rar. In dem Vortrag diskutieren die Verfasserinnen, welches Erkenntnispotenzial Anthony Giddens' Sozialtheorie der Strukturierung bietet, um dieses komplexe Problem zu begreifen. Dafür skizzieren sie die Figur der Dualität von Geschlecht, in der sie die Konzepte der sozialwissenschaftlichen Frauen- und Geschlechterforschung von Geschlecht als Struktur- und Prozesskategorie mit Giddens' Konzept der Dualität von Struktur und Handlung zusammendenken. Diese Figur ist eng verknüpft mit Giddens' raumzeitlich strukturierten Vorstellungen zur Dialektik von Stabilität und Wandel, die ebenfalls erörtert und auf die oben genannten Widersprüche in den Reproduktionsprozessen von Geschlecht bezogen werden. Schließlich wird unter Rückgriff auf Giddens' Modernisierungstheorie dargelegt, dass die spätmoderne Geschlechterordnung eine von Menschen gestaltete, posttraditionale Ordnung ist, in der auch die Natur vergesellschaftet ist. In Weiterführung von Giddens' Argumentation lässt sich schlussfolgern, dass in dieser posttraditionalen Ordnung die Re-Naturalisierung von Geschlecht der Fortsetzung der patriarchalen Herrschaft dient, während die De-Naturalisierung von Geschlecht zur Demokratisierung beiträgt: Geschlecht und Geschlechterverhältnisse werden hier zum Verhandlungsgegenstand.</w:t>
            </w:r>
          </w:p>
        </w:tc>
      </w:tr>
      <w:tr w:rsidR="00AA3741" w:rsidRPr="00F434B0" w14:paraId="26E9A898" w14:textId="77777777" w:rsidTr="00705DC4">
        <w:tc>
          <w:tcPr>
            <w:tcW w:w="4390" w:type="dxa"/>
            <w:shd w:val="clear" w:color="auto" w:fill="E482D1"/>
          </w:tcPr>
          <w:p w14:paraId="216254AB" w14:textId="77777777" w:rsidR="00AA3741" w:rsidRPr="00F434B0" w:rsidRDefault="00AA3741" w:rsidP="003A5925">
            <w:pPr>
              <w:spacing w:before="0" w:line="240" w:lineRule="auto"/>
              <w:jc w:val="left"/>
              <w:rPr>
                <w:rFonts w:cs="Arial"/>
                <w:sz w:val="20"/>
                <w:szCs w:val="20"/>
              </w:rPr>
            </w:pPr>
            <w:commentRangeStart w:id="6"/>
            <w:r w:rsidRPr="00F434B0">
              <w:rPr>
                <w:rFonts w:cs="Arial"/>
                <w:sz w:val="20"/>
                <w:szCs w:val="20"/>
              </w:rPr>
              <w:t>Kahlert</w:t>
            </w:r>
            <w:commentRangeEnd w:id="6"/>
            <w:r>
              <w:rPr>
                <w:rStyle w:val="Kommentarzeichen"/>
              </w:rPr>
              <w:commentReference w:id="6"/>
            </w:r>
            <w:r w:rsidRPr="00F434B0">
              <w:rPr>
                <w:rFonts w:cs="Arial"/>
                <w:sz w:val="20"/>
                <w:szCs w:val="20"/>
              </w:rPr>
              <w:t>, H</w:t>
            </w:r>
            <w:r>
              <w:rPr>
                <w:rFonts w:cs="Arial"/>
                <w:sz w:val="20"/>
                <w:szCs w:val="20"/>
              </w:rPr>
              <w:t>eike</w:t>
            </w:r>
            <w:r w:rsidRPr="00F434B0">
              <w:rPr>
                <w:rFonts w:cs="Arial"/>
                <w:sz w:val="20"/>
                <w:szCs w:val="20"/>
              </w:rPr>
              <w:t xml:space="preserve">. 2008. "Nachhaltige Bevölkerungsentwicklung": politische Steuerung der Generativität in </w:t>
            </w:r>
            <w:proofErr w:type="spellStart"/>
            <w:r w:rsidRPr="00F434B0">
              <w:rPr>
                <w:rFonts w:cs="Arial"/>
                <w:sz w:val="20"/>
                <w:szCs w:val="20"/>
              </w:rPr>
              <w:t>postnaturalen</w:t>
            </w:r>
            <w:proofErr w:type="spellEnd"/>
            <w:r w:rsidRPr="00F434B0">
              <w:rPr>
                <w:rFonts w:cs="Arial"/>
                <w:sz w:val="20"/>
                <w:szCs w:val="20"/>
              </w:rPr>
              <w:t xml:space="preserve"> Zeiten.</w:t>
            </w:r>
            <w:r>
              <w:rPr>
                <w:rFonts w:cs="Arial"/>
                <w:sz w:val="20"/>
                <w:szCs w:val="20"/>
              </w:rPr>
              <w:t xml:space="preserve">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Pr>
                <w:rFonts w:cs="Arial"/>
                <w:iCs/>
                <w:sz w:val="20"/>
                <w:szCs w:val="20"/>
              </w:rPr>
              <w:t>2288-2301</w:t>
            </w:r>
            <w:r>
              <w:rPr>
                <w:rFonts w:cs="Arial"/>
                <w:sz w:val="20"/>
                <w:szCs w:val="20"/>
              </w:rPr>
              <w:t>.</w:t>
            </w:r>
            <w:r w:rsidRPr="00F434B0">
              <w:rPr>
                <w:rFonts w:cs="Arial"/>
                <w:sz w:val="20"/>
                <w:szCs w:val="20"/>
              </w:rPr>
              <w:t xml:space="preserve"> Frankfurt am Main: Campus.</w:t>
            </w:r>
            <w:r w:rsidRPr="00F434B0">
              <w:rPr>
                <w:rFonts w:cs="Arial"/>
                <w:sz w:val="20"/>
                <w:szCs w:val="20"/>
              </w:rPr>
              <w:t xml:space="preserve"> https://nbnresolving.org/urn:nbn:de:0168-ssoar-152013</w:t>
            </w:r>
          </w:p>
        </w:tc>
        <w:tc>
          <w:tcPr>
            <w:tcW w:w="10064" w:type="dxa"/>
          </w:tcPr>
          <w:p w14:paraId="5456F45E" w14:textId="77777777" w:rsidR="00AA3741" w:rsidRPr="00F434B0" w:rsidRDefault="00AA3741" w:rsidP="003A5925">
            <w:pPr>
              <w:spacing w:before="0" w:line="240" w:lineRule="auto"/>
              <w:jc w:val="left"/>
              <w:rPr>
                <w:rFonts w:cs="Arial"/>
                <w:sz w:val="20"/>
                <w:szCs w:val="20"/>
              </w:rPr>
            </w:pPr>
            <w:r w:rsidRPr="00F434B0">
              <w:rPr>
                <w:rFonts w:cs="Arial"/>
                <w:sz w:val="20"/>
                <w:szCs w:val="20"/>
              </w:rPr>
              <w:t>Spätmoderne Wohlfahrtsgesellschaften sind '</w:t>
            </w:r>
            <w:proofErr w:type="spellStart"/>
            <w:r w:rsidRPr="00F434B0">
              <w:rPr>
                <w:rFonts w:cs="Arial"/>
                <w:sz w:val="20"/>
                <w:szCs w:val="20"/>
              </w:rPr>
              <w:t>postnaturale</w:t>
            </w:r>
            <w:proofErr w:type="spellEnd"/>
            <w:r w:rsidRPr="00F434B0">
              <w:rPr>
                <w:rFonts w:cs="Arial"/>
                <w:sz w:val="20"/>
                <w:szCs w:val="20"/>
              </w:rPr>
              <w:t xml:space="preserve"> Gesellschaften' (Giddens 2001), in denen die 'Natur' menschlich kontrolliert wird und nur noch in Form von 'gestalteter Umwelt' bzw. 'vergesellschafteter Natur' existiert. Mit dem Ende der Natur geht auch das Ende der 'natürlichen' Geschlechterdifferenz einher und mit ihr die Ablösung der Sexualität von ihrer Fortpflanzungsfunktion. Damit sind Geschlechtlichkeit und Generativität zu durch und durch vergesellschafteten Fragen geworden. Eine momentan heiß diskutierte Folge dieser Entwicklung ist, dass in allen westlichen Wohlfahrtsgesellschaften die Geburtenraten sinken und die Bevölkerung zu schrumpfen beginnt. Inzwischen ist Allgemeinwissen, dass Deutschland weltweit zu den Ländern mit den niedrigsten Geburtenraten gehört. Die damit verbundene Sorge drückt sich im staatlichen Handeln u.a. im Abbau der Frauen- und Gleichstellungspolitik und im Erstarken der Familienpolitik aus: Die gezielte Geburtenförderung soll der aktiven und nachhaltigen Bevölkerungsentwicklung dienen. Familienpolitik scheint damit wesentlich zur Bevölkerungspolitik zu werden, auch wenn das derzeit in Deutschland (noch) niemand so offen behaupten mag. Besondere soziologische Aufmerksamkeit verdient, dass es dabei nicht nur um die Steigerung der Quantität des Nachwuchses geht, sondern auch um seine Qualität, denn der Nachwuchs von gebildeten Eltern ist von besonderem Interesse für die Zukunft des Wirtschaftsstandorts Deutschland. Frauen hingegen interessieren politisch derzeit wieder vor allem als (potenzielle) Mütter, während das auf Vielfalt von (weiblichen) Lebensentwürfen zielende (Frauen-)Leitbild der Frauen- und Gleichstellungspolitik nicht zur </w:t>
            </w:r>
            <w:r w:rsidRPr="00F434B0">
              <w:rPr>
                <w:rFonts w:cs="Arial"/>
                <w:sz w:val="20"/>
                <w:szCs w:val="20"/>
              </w:rPr>
              <w:lastRenderedPageBreak/>
              <w:t>schrumpfenden Wohlfahrtsgesellschaft zu passen scheint. In dem Beitrag möchte die Verfasserin also vor dem Hintergrund der 'demographischen Wende' und dem 'PISA-Schock' einen (</w:t>
            </w:r>
            <w:proofErr w:type="spellStart"/>
            <w:r w:rsidRPr="00F434B0">
              <w:rPr>
                <w:rFonts w:cs="Arial"/>
                <w:sz w:val="20"/>
                <w:szCs w:val="20"/>
              </w:rPr>
              <w:t>geschlechter</w:t>
            </w:r>
            <w:proofErr w:type="spellEnd"/>
            <w:r w:rsidRPr="00F434B0">
              <w:rPr>
                <w:rFonts w:cs="Arial"/>
                <w:sz w:val="20"/>
                <w:szCs w:val="20"/>
              </w:rPr>
              <w:t>)kritischen und institutionentheoretisch inspirierten Blick auf die aktuelle familienpolitische Diskussion zur Steuerung der Generativität in Deutschland richten. Dabei soll das Erstarken bevölkerungspolitischer Argumente herausgearbeitet werden.</w:t>
            </w:r>
          </w:p>
        </w:tc>
      </w:tr>
      <w:tr w:rsidR="00AA3741" w:rsidRPr="00F434B0" w14:paraId="74DBEF4D" w14:textId="77777777" w:rsidTr="009B6F46">
        <w:tc>
          <w:tcPr>
            <w:tcW w:w="4390" w:type="dxa"/>
            <w:shd w:val="clear" w:color="auto" w:fill="FF66CC"/>
          </w:tcPr>
          <w:p w14:paraId="6CF59F04"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Kahlert, H</w:t>
            </w:r>
            <w:r>
              <w:rPr>
                <w:rFonts w:cs="Arial"/>
                <w:sz w:val="20"/>
                <w:szCs w:val="20"/>
              </w:rPr>
              <w:t xml:space="preserve">eike. </w:t>
            </w:r>
            <w:r w:rsidRPr="00F434B0">
              <w:rPr>
                <w:rFonts w:cs="Arial"/>
                <w:sz w:val="20"/>
                <w:szCs w:val="20"/>
              </w:rPr>
              <w:t xml:space="preserve">2008. Strukturierung der Widersprüche: De- und Re-Naturalisierungsprozesse von Geschlecht in der posttraditionalen Gesellschaft.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Pr>
                <w:rFonts w:cs="Arial"/>
                <w:iCs/>
                <w:sz w:val="20"/>
                <w:szCs w:val="20"/>
              </w:rPr>
              <w:t>4748-4761</w:t>
            </w:r>
            <w:r>
              <w:rPr>
                <w:rFonts w:cs="Arial"/>
                <w:sz w:val="20"/>
                <w:szCs w:val="20"/>
              </w:rPr>
              <w:t>.</w:t>
            </w:r>
            <w:r w:rsidRPr="00F434B0">
              <w:rPr>
                <w:rFonts w:cs="Arial"/>
                <w:sz w:val="20"/>
                <w:szCs w:val="20"/>
              </w:rPr>
              <w:t xml:space="preserve"> Frankfurt am Main: Campus.</w:t>
            </w:r>
            <w:r>
              <w:rPr>
                <w:rFonts w:cs="Arial"/>
                <w:sz w:val="20"/>
                <w:szCs w:val="20"/>
              </w:rPr>
              <w:t xml:space="preserve"> </w:t>
            </w:r>
            <w:r w:rsidRPr="00F434B0">
              <w:rPr>
                <w:rFonts w:cs="Arial"/>
                <w:sz w:val="20"/>
                <w:szCs w:val="20"/>
              </w:rPr>
              <w:t>https://nbn-resolving.org/urn:nbn:de:0168-ssoar-154601</w:t>
            </w:r>
          </w:p>
        </w:tc>
        <w:tc>
          <w:tcPr>
            <w:tcW w:w="10064" w:type="dxa"/>
          </w:tcPr>
          <w:p w14:paraId="25E24774" w14:textId="77777777" w:rsidR="00AA3741" w:rsidRPr="00F434B0" w:rsidRDefault="00AA3741" w:rsidP="003A5925">
            <w:pPr>
              <w:spacing w:before="0" w:line="240" w:lineRule="auto"/>
              <w:jc w:val="left"/>
              <w:rPr>
                <w:rFonts w:cs="Arial"/>
                <w:sz w:val="20"/>
                <w:szCs w:val="20"/>
              </w:rPr>
            </w:pPr>
            <w:r w:rsidRPr="00F434B0">
              <w:rPr>
                <w:rFonts w:cs="Arial"/>
                <w:sz w:val="20"/>
                <w:szCs w:val="20"/>
              </w:rPr>
              <w:t>Die spätmoderne Geschlechterordnung ist durch Widersprüche zwischen Re-Naturalisierungs- und Vergesellschaftungsprozessen von Geschlecht gekennzeichnet: Re-naturalisierende Zuschreibungen an die Geschlechter, z.B. hinsichtlich der (mit den generativen Funktionen begründeten) Arbeitsteilung, gehen Hand in Hand mit sozialen Dekonstruktionsprozessen, in denen Geschlecht und Generativität ihrer vorgeblichen Natürlichkeit entledigt und als durch und durch vergesellschaftet verstanden werden. Hier zeichnet sich eine Gleichzeitigkeit von Stabilität und Wandel in den Reproduktionsprozessen von Geschlecht ab. Soziologische Konzepte, die diese widersprüchliche Gleichzeitigkeit auf den Begriff zu bringen ermöglichen, sind jedoch rar. In dem Vortrag diskutiert die Verfasserin, welches Erkenntnispotenzial Anthony Giddens' Sozialtheorie der Strukturierung bietet, um dieses komplexe Problem zu begreifen. Dafür skizziert sie die Figur der Dualität von Geschlecht, in der sie die Konzepte der sozialwissenschaftlichen Frauen- und Geschlechterforschung von Geschlecht als Struktur- und Prozesskategorie mit Giddens' Konzept der Dualität von Struktur und Handlung zusammendenke. Diese Figur ist eng verknüpft mit Giddens' raumzeitlich strukturierten Vorstellungen zur Dialektik von Stabilität und Wandel, die ebenfalls erörtert und auf die oben genannten Widersprüche in den Reproduktionsprozessen von Geschlecht bezogen werden. Schließlich wird unter Rückgriff auf Giddens' Modernisierungstheorie dargelegt, dass die spätmoderne Geschlechterordnung eine von Menschen gestaltete, posttraditionale Ordnung ist, in der auch die Natur vergesellschaftet ist. In Weiterführung von Giddens' Argumentation lässt sich schlussfolgern, dass in dieser posttraditionalen Ordnung die Re-Naturalisierung von Geschlecht der Fortsetzung der patriarchalen Herrschaft dient, während die De-Naturalisierung von Geschlecht zur Demokratisierung beiträgt: Geschlecht und Geschlechterverhältnisse werden hier zum Verhandlungsgegenstand.</w:t>
            </w:r>
          </w:p>
        </w:tc>
      </w:tr>
      <w:tr w:rsidR="00AA3741" w:rsidRPr="001F2799" w14:paraId="76A1362B" w14:textId="77777777" w:rsidTr="00277BDF">
        <w:tc>
          <w:tcPr>
            <w:tcW w:w="4390" w:type="dxa"/>
            <w:shd w:val="clear" w:color="auto" w:fill="FFD966" w:themeFill="accent4" w:themeFillTint="99"/>
          </w:tcPr>
          <w:p w14:paraId="347845B9" w14:textId="77777777" w:rsidR="00AA3741" w:rsidRPr="00F434B0" w:rsidRDefault="00AA3741" w:rsidP="003A5925">
            <w:pPr>
              <w:spacing w:before="0" w:line="240" w:lineRule="auto"/>
              <w:jc w:val="left"/>
              <w:rPr>
                <w:rFonts w:cs="Arial"/>
                <w:sz w:val="20"/>
                <w:szCs w:val="20"/>
                <w:lang w:val="en-US"/>
              </w:rPr>
            </w:pPr>
            <w:commentRangeStart w:id="7"/>
            <w:r w:rsidRPr="00F434B0">
              <w:rPr>
                <w:rFonts w:cs="Arial"/>
                <w:sz w:val="20"/>
                <w:szCs w:val="20"/>
                <w:lang w:val="en-US"/>
              </w:rPr>
              <w:t>Keyes</w:t>
            </w:r>
            <w:commentRangeEnd w:id="7"/>
            <w:r>
              <w:rPr>
                <w:rStyle w:val="Kommentarzeichen"/>
              </w:rPr>
              <w:commentReference w:id="7"/>
            </w:r>
            <w:r w:rsidRPr="00F434B0">
              <w:rPr>
                <w:rFonts w:cs="Arial"/>
                <w:sz w:val="20"/>
                <w:szCs w:val="20"/>
                <w:lang w:val="en-US"/>
              </w:rPr>
              <w:t>, C</w:t>
            </w:r>
            <w:r>
              <w:rPr>
                <w:rFonts w:cs="Arial"/>
                <w:sz w:val="20"/>
                <w:szCs w:val="20"/>
                <w:lang w:val="en-US"/>
              </w:rPr>
              <w:t xml:space="preserve">orey Lee M. und Carol D. </w:t>
            </w:r>
            <w:r w:rsidRPr="00F434B0">
              <w:rPr>
                <w:rFonts w:cs="Arial"/>
                <w:sz w:val="20"/>
                <w:szCs w:val="20"/>
                <w:lang w:val="en-US"/>
              </w:rPr>
              <w:t>Ryff</w:t>
            </w:r>
            <w:r>
              <w:rPr>
                <w:rFonts w:cs="Arial"/>
                <w:sz w:val="20"/>
                <w:szCs w:val="20"/>
                <w:lang w:val="en-US"/>
              </w:rPr>
              <w:t xml:space="preserve">. </w:t>
            </w:r>
            <w:r w:rsidRPr="00F434B0">
              <w:rPr>
                <w:rFonts w:cs="Arial"/>
                <w:sz w:val="20"/>
                <w:szCs w:val="20"/>
                <w:lang w:val="en-US"/>
              </w:rPr>
              <w:t xml:space="preserve">1998. Generativity in </w:t>
            </w:r>
            <w:r>
              <w:rPr>
                <w:rFonts w:cs="Arial"/>
                <w:sz w:val="20"/>
                <w:szCs w:val="20"/>
                <w:lang w:val="en-US"/>
              </w:rPr>
              <w:t>A</w:t>
            </w:r>
            <w:r w:rsidRPr="00F434B0">
              <w:rPr>
                <w:rFonts w:cs="Arial"/>
                <w:sz w:val="20"/>
                <w:szCs w:val="20"/>
                <w:lang w:val="en-US"/>
              </w:rPr>
              <w:t xml:space="preserve">dult </w:t>
            </w:r>
            <w:r>
              <w:rPr>
                <w:rFonts w:cs="Arial"/>
                <w:sz w:val="20"/>
                <w:szCs w:val="20"/>
                <w:lang w:val="en-US"/>
              </w:rPr>
              <w:t>L</w:t>
            </w:r>
            <w:r w:rsidRPr="00F434B0">
              <w:rPr>
                <w:rFonts w:cs="Arial"/>
                <w:sz w:val="20"/>
                <w:szCs w:val="20"/>
                <w:lang w:val="en-US"/>
              </w:rPr>
              <w:t>ives: Social Structural Contours and Quality of Life Consequences.</w:t>
            </w:r>
            <w:r>
              <w:rPr>
                <w:rFonts w:cs="Arial"/>
                <w:sz w:val="20"/>
                <w:szCs w:val="20"/>
                <w:lang w:val="en-US"/>
              </w:rPr>
              <w:t xml:space="preserve"> </w:t>
            </w:r>
            <w:r w:rsidRPr="00F434B0">
              <w:rPr>
                <w:rFonts w:cs="Arial"/>
                <w:sz w:val="20"/>
                <w:szCs w:val="20"/>
                <w:lang w:val="en-US"/>
              </w:rPr>
              <w:t xml:space="preserve"> </w:t>
            </w:r>
            <w:r w:rsidRPr="00F434B0">
              <w:rPr>
                <w:rFonts w:cs="Arial"/>
                <w:sz w:val="20"/>
                <w:szCs w:val="20"/>
                <w:lang w:val="en-US"/>
              </w:rPr>
              <w:t>In</w:t>
            </w:r>
            <w:r w:rsidRPr="00F434B0">
              <w:rPr>
                <w:rFonts w:cs="Arial"/>
                <w:sz w:val="20"/>
                <w:szCs w:val="20"/>
                <w:lang w:val="en-US"/>
              </w:rPr>
              <w:t xml:space="preserve"> </w:t>
            </w:r>
            <w:r w:rsidRPr="00A837B7">
              <w:rPr>
                <w:rFonts w:cs="Arial"/>
                <w:i/>
                <w:iCs/>
                <w:sz w:val="20"/>
                <w:szCs w:val="20"/>
                <w:lang w:val="en-US"/>
              </w:rPr>
              <w:t>Generativity and Adult Development</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von Dan P.</w:t>
            </w:r>
            <w:r w:rsidRPr="00F434B0">
              <w:rPr>
                <w:rFonts w:cs="Arial"/>
                <w:sz w:val="20"/>
                <w:szCs w:val="20"/>
                <w:lang w:val="en-US"/>
              </w:rPr>
              <w:t xml:space="preserve"> McAdams</w:t>
            </w:r>
            <w:r>
              <w:rPr>
                <w:rFonts w:cs="Arial"/>
                <w:sz w:val="20"/>
                <w:szCs w:val="20"/>
                <w:lang w:val="en-US"/>
              </w:rPr>
              <w:t xml:space="preserve"> und Ed Aubin, 227-263.</w:t>
            </w:r>
            <w:r w:rsidRPr="00F434B0">
              <w:rPr>
                <w:rFonts w:cs="Arial"/>
                <w:sz w:val="20"/>
                <w:szCs w:val="20"/>
                <w:lang w:val="en-US"/>
              </w:rPr>
              <w:t xml:space="preserve"> Washington</w:t>
            </w:r>
            <w:r>
              <w:rPr>
                <w:rFonts w:cs="Arial"/>
                <w:sz w:val="20"/>
                <w:szCs w:val="20"/>
                <w:lang w:val="en-US"/>
              </w:rPr>
              <w:t xml:space="preserve"> </w:t>
            </w:r>
            <w:r w:rsidRPr="00F434B0">
              <w:rPr>
                <w:rFonts w:cs="Arial"/>
                <w:sz w:val="20"/>
                <w:szCs w:val="20"/>
                <w:lang w:val="en-US"/>
              </w:rPr>
              <w:t>D</w:t>
            </w:r>
            <w:r>
              <w:rPr>
                <w:rFonts w:cs="Arial"/>
                <w:sz w:val="20"/>
                <w:szCs w:val="20"/>
                <w:lang w:val="en-US"/>
              </w:rPr>
              <w:t>C:</w:t>
            </w:r>
            <w:r w:rsidRPr="00F434B0">
              <w:rPr>
                <w:rFonts w:cs="Arial"/>
                <w:sz w:val="20"/>
                <w:szCs w:val="20"/>
                <w:lang w:val="en-US"/>
              </w:rPr>
              <w:t xml:space="preserve"> American Psychological Association.</w:t>
            </w:r>
          </w:p>
        </w:tc>
        <w:tc>
          <w:tcPr>
            <w:tcW w:w="10064" w:type="dxa"/>
          </w:tcPr>
          <w:p w14:paraId="0517A1A7"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What are the contours and consequences of generativity in adults’ lives in the United States? Our inquiry originates with the larger question of how society structures adults’ health and well-being. Framed by the social structure and personality perspective (House, 1981; Ryff, 1987), our study investigates the effects of age and educational stratification on generativity to understand how this aspect of adult life is shaped and touched by society. We hypothesize that generativity is shaped by social stratification processes embodied in educational attainment and aging. We also propose that having and acting on generative feelings influences the quality with which adults </w:t>
            </w:r>
            <w:proofErr w:type="gramStart"/>
            <w:r w:rsidRPr="00F434B0">
              <w:rPr>
                <w:rFonts w:cs="Arial"/>
                <w:sz w:val="20"/>
                <w:szCs w:val="20"/>
                <w:lang w:val="en-US"/>
              </w:rPr>
              <w:t>are able to</w:t>
            </w:r>
            <w:proofErr w:type="gramEnd"/>
            <w:r w:rsidRPr="00F434B0">
              <w:rPr>
                <w:rFonts w:cs="Arial"/>
                <w:sz w:val="20"/>
                <w:szCs w:val="20"/>
                <w:lang w:val="en-US"/>
              </w:rPr>
              <w:t xml:space="preserve"> lead their lives. Conceived of as a </w:t>
            </w:r>
            <w:proofErr w:type="spellStart"/>
            <w:r w:rsidRPr="00F434B0">
              <w:rPr>
                <w:rFonts w:cs="Arial"/>
                <w:sz w:val="20"/>
                <w:szCs w:val="20"/>
                <w:lang w:val="en-US"/>
              </w:rPr>
              <w:t>sociopersonal</w:t>
            </w:r>
            <w:proofErr w:type="spellEnd"/>
            <w:r w:rsidRPr="00F434B0">
              <w:rPr>
                <w:rFonts w:cs="Arial"/>
                <w:sz w:val="20"/>
                <w:szCs w:val="20"/>
                <w:lang w:val="en-US"/>
              </w:rPr>
              <w:t xml:space="preserve"> resource, generative feelings and behavior partly explain how social stratification affects adult’s well-being as they age. </w:t>
            </w:r>
          </w:p>
        </w:tc>
      </w:tr>
      <w:tr w:rsidR="00AA3741" w:rsidRPr="001F2799" w14:paraId="1F0A048F" w14:textId="77777777" w:rsidTr="00F35074">
        <w:tc>
          <w:tcPr>
            <w:tcW w:w="4390" w:type="dxa"/>
            <w:shd w:val="clear" w:color="auto" w:fill="A8D08D" w:themeFill="accent6" w:themeFillTint="99"/>
          </w:tcPr>
          <w:p w14:paraId="21A7F9CC" w14:textId="77777777" w:rsidR="00AA3741" w:rsidRPr="00C47EE5" w:rsidRDefault="00AA3741" w:rsidP="003A5925">
            <w:pPr>
              <w:spacing w:before="0" w:line="240" w:lineRule="auto"/>
              <w:jc w:val="left"/>
              <w:rPr>
                <w:rFonts w:cs="Arial"/>
                <w:sz w:val="20"/>
                <w:szCs w:val="20"/>
                <w:lang w:val="en-US"/>
              </w:rPr>
            </w:pPr>
            <w:r w:rsidRPr="00C47EE5">
              <w:rPr>
                <w:rFonts w:cs="Arial"/>
                <w:sz w:val="20"/>
                <w:szCs w:val="20"/>
              </w:rPr>
              <w:t xml:space="preserve">Kim, </w:t>
            </w:r>
            <w:proofErr w:type="spellStart"/>
            <w:r w:rsidRPr="00C47EE5">
              <w:rPr>
                <w:rFonts w:cs="Arial"/>
                <w:sz w:val="20"/>
                <w:szCs w:val="20"/>
              </w:rPr>
              <w:t>Seoyoun</w:t>
            </w:r>
            <w:proofErr w:type="spellEnd"/>
            <w:r w:rsidRPr="00C47EE5">
              <w:rPr>
                <w:rFonts w:cs="Arial"/>
                <w:sz w:val="20"/>
                <w:szCs w:val="20"/>
              </w:rPr>
              <w:t xml:space="preserve">, Kyong Hee </w:t>
            </w:r>
            <w:proofErr w:type="spellStart"/>
            <w:r w:rsidRPr="00C47EE5">
              <w:rPr>
                <w:rFonts w:cs="Arial"/>
                <w:sz w:val="20"/>
                <w:szCs w:val="20"/>
              </w:rPr>
              <w:t>Chee</w:t>
            </w:r>
            <w:proofErr w:type="spellEnd"/>
            <w:r w:rsidRPr="00C47EE5">
              <w:rPr>
                <w:rFonts w:cs="Arial"/>
                <w:sz w:val="20"/>
                <w:szCs w:val="20"/>
              </w:rPr>
              <w:t xml:space="preserve"> und Olga Gerhart. </w:t>
            </w:r>
            <w:r w:rsidRPr="00C47EE5">
              <w:rPr>
                <w:rFonts w:cs="Arial"/>
                <w:sz w:val="20"/>
                <w:szCs w:val="20"/>
                <w:lang w:val="en-US"/>
              </w:rPr>
              <w:t xml:space="preserve">2017. </w:t>
            </w:r>
            <w:r w:rsidRPr="00F434B0">
              <w:rPr>
                <w:rFonts w:cs="Arial"/>
                <w:sz w:val="20"/>
                <w:szCs w:val="20"/>
                <w:lang w:val="en-US"/>
              </w:rPr>
              <w:t xml:space="preserve">Redefining </w:t>
            </w:r>
            <w:r>
              <w:rPr>
                <w:rFonts w:cs="Arial"/>
                <w:sz w:val="20"/>
                <w:szCs w:val="20"/>
                <w:lang w:val="en-US"/>
              </w:rPr>
              <w:t>G</w:t>
            </w:r>
            <w:r w:rsidRPr="00F434B0">
              <w:rPr>
                <w:rFonts w:cs="Arial"/>
                <w:sz w:val="20"/>
                <w:szCs w:val="20"/>
                <w:lang w:val="en-US"/>
              </w:rPr>
              <w:t xml:space="preserve">enerativity: Through </w:t>
            </w:r>
            <w:r>
              <w:rPr>
                <w:rFonts w:cs="Arial"/>
                <w:sz w:val="20"/>
                <w:szCs w:val="20"/>
                <w:lang w:val="en-US"/>
              </w:rPr>
              <w:t>L</w:t>
            </w:r>
            <w:r w:rsidRPr="00F434B0">
              <w:rPr>
                <w:rFonts w:cs="Arial"/>
                <w:sz w:val="20"/>
                <w:szCs w:val="20"/>
                <w:lang w:val="en-US"/>
              </w:rPr>
              <w:t xml:space="preserve">ife </w:t>
            </w:r>
            <w:r>
              <w:rPr>
                <w:rFonts w:cs="Arial"/>
                <w:sz w:val="20"/>
                <w:szCs w:val="20"/>
                <w:lang w:val="en-US"/>
              </w:rPr>
              <w:t>C</w:t>
            </w:r>
            <w:r w:rsidRPr="00F434B0">
              <w:rPr>
                <w:rFonts w:cs="Arial"/>
                <w:sz w:val="20"/>
                <w:szCs w:val="20"/>
                <w:lang w:val="en-US"/>
              </w:rPr>
              <w:t xml:space="preserve">ourse and </w:t>
            </w:r>
            <w:r>
              <w:rPr>
                <w:rFonts w:cs="Arial"/>
                <w:sz w:val="20"/>
                <w:szCs w:val="20"/>
                <w:lang w:val="en-US"/>
              </w:rPr>
              <w:t>P</w:t>
            </w:r>
            <w:r w:rsidRPr="00F434B0">
              <w:rPr>
                <w:rFonts w:cs="Arial"/>
                <w:sz w:val="20"/>
                <w:szCs w:val="20"/>
                <w:lang w:val="en-US"/>
              </w:rPr>
              <w:t xml:space="preserve">ragmatist </w:t>
            </w:r>
            <w:r>
              <w:rPr>
                <w:rFonts w:cs="Arial"/>
                <w:sz w:val="20"/>
                <w:szCs w:val="20"/>
                <w:lang w:val="en-US"/>
              </w:rPr>
              <w:t>L</w:t>
            </w:r>
            <w:r w:rsidRPr="00F434B0">
              <w:rPr>
                <w:rFonts w:cs="Arial"/>
                <w:sz w:val="20"/>
                <w:szCs w:val="20"/>
                <w:lang w:val="en-US"/>
              </w:rPr>
              <w:t xml:space="preserve">enses. </w:t>
            </w:r>
            <w:r w:rsidRPr="00C47EE5">
              <w:rPr>
                <w:rFonts w:cs="Arial"/>
                <w:i/>
                <w:iCs/>
                <w:sz w:val="20"/>
                <w:szCs w:val="20"/>
                <w:lang w:val="en-US"/>
              </w:rPr>
              <w:t>Sociology Compass</w:t>
            </w:r>
            <w:r w:rsidRPr="00C47EE5">
              <w:rPr>
                <w:rFonts w:cs="Arial"/>
                <w:sz w:val="20"/>
                <w:szCs w:val="20"/>
                <w:lang w:val="en-US"/>
              </w:rPr>
              <w:t xml:space="preserve"> 11</w:t>
            </w:r>
            <w:r>
              <w:rPr>
                <w:rFonts w:cs="Arial"/>
                <w:sz w:val="20"/>
                <w:szCs w:val="20"/>
                <w:lang w:val="en-US"/>
              </w:rPr>
              <w:t xml:space="preserve"> </w:t>
            </w:r>
            <w:r w:rsidRPr="00C47EE5">
              <w:rPr>
                <w:rFonts w:cs="Arial"/>
                <w:sz w:val="20"/>
                <w:szCs w:val="20"/>
                <w:lang w:val="en-US"/>
              </w:rPr>
              <w:t>(11)</w:t>
            </w:r>
            <w:r>
              <w:rPr>
                <w:rFonts w:cs="Arial"/>
                <w:sz w:val="20"/>
                <w:szCs w:val="20"/>
                <w:lang w:val="en-US"/>
              </w:rPr>
              <w:t xml:space="preserve">: </w:t>
            </w:r>
            <w:r w:rsidRPr="00C47EE5">
              <w:rPr>
                <w:rFonts w:cs="Arial"/>
                <w:sz w:val="20"/>
                <w:szCs w:val="20"/>
                <w:lang w:val="en-US"/>
              </w:rPr>
              <w:t>e12533.</w:t>
            </w:r>
            <w:r>
              <w:rPr>
                <w:rFonts w:cs="Arial"/>
                <w:sz w:val="20"/>
                <w:szCs w:val="20"/>
                <w:lang w:val="en-US"/>
              </w:rPr>
              <w:t xml:space="preserve"> </w:t>
            </w:r>
            <w:r>
              <w:t xml:space="preserve"> </w:t>
            </w:r>
            <w:hyperlink r:id="rId12" w:history="1">
              <w:r w:rsidRPr="00370BA2">
                <w:rPr>
                  <w:rStyle w:val="Hyperlink"/>
                  <w:rFonts w:cs="Arial"/>
                  <w:sz w:val="20"/>
                  <w:szCs w:val="20"/>
                  <w:lang w:val="en-US"/>
                </w:rPr>
                <w:t>https://doi.org/10.1111/soc4.12533</w:t>
              </w:r>
            </w:hyperlink>
            <w:r>
              <w:rPr>
                <w:rFonts w:cs="Arial"/>
                <w:sz w:val="20"/>
                <w:szCs w:val="20"/>
                <w:lang w:val="en-US"/>
              </w:rPr>
              <w:t xml:space="preserve"> </w:t>
            </w:r>
          </w:p>
        </w:tc>
        <w:tc>
          <w:tcPr>
            <w:tcW w:w="10064" w:type="dxa"/>
          </w:tcPr>
          <w:p w14:paraId="4426C96C"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Scholars in diverse disciplines have studied and used the concept of generativity, originally introduced in psychology as a midlife development task. However, a review of this multidisciplinary literature in generativity revealed several issues—the lack of a cohesive conceptual definition, incompatibility between a conceptual definition and measurements, and varying applications of the model, necessitating a new direction for further conceptual development. Interdisciplinary theoretical insight and empirical evidence collectively suggest that generativity as a targeted midlife task may no longer be sufficient for explaining a life course pattern of generative concerns, commitment, and actions. Given the current trend of population aging, it is especially important to understand better the phenomenon of generativity during the later stages of the life course. The current article </w:t>
            </w:r>
            <w:r w:rsidRPr="00F434B0">
              <w:rPr>
                <w:rFonts w:cs="Arial"/>
                <w:sz w:val="20"/>
                <w:szCs w:val="20"/>
                <w:lang w:val="en-US"/>
              </w:rPr>
              <w:lastRenderedPageBreak/>
              <w:t>offers a new definition for generativity applicable to people across the life course and develops an expanded generativity model, which considers social context and bears practical implications for well-being. Major implications for future research consist of eliminating the implicit age bias in the conception of generativity and as informed by the pragmatist philosophical perspective, linking generativity to diverse personal experiences and growth rather than mortality.</w:t>
            </w:r>
          </w:p>
        </w:tc>
      </w:tr>
      <w:tr w:rsidR="00AA3741" w:rsidRPr="00F434B0" w14:paraId="272B9039" w14:textId="77777777" w:rsidTr="005C5200">
        <w:tc>
          <w:tcPr>
            <w:tcW w:w="4390" w:type="dxa"/>
            <w:shd w:val="clear" w:color="auto" w:fill="A8D08D" w:themeFill="accent6" w:themeFillTint="99"/>
          </w:tcPr>
          <w:p w14:paraId="5E5DB0FF"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King, V</w:t>
            </w:r>
            <w:r>
              <w:rPr>
                <w:rFonts w:cs="Arial"/>
                <w:sz w:val="20"/>
                <w:szCs w:val="20"/>
              </w:rPr>
              <w:t>era</w:t>
            </w:r>
            <w:r w:rsidRPr="00F434B0">
              <w:rPr>
                <w:rFonts w:cs="Arial"/>
                <w:sz w:val="20"/>
                <w:szCs w:val="20"/>
              </w:rPr>
              <w:t xml:space="preserve">, </w:t>
            </w:r>
            <w:r>
              <w:rPr>
                <w:rFonts w:cs="Arial"/>
                <w:sz w:val="20"/>
                <w:szCs w:val="20"/>
              </w:rPr>
              <w:t xml:space="preserve">Pia </w:t>
            </w:r>
            <w:proofErr w:type="spellStart"/>
            <w:r w:rsidRPr="00F434B0">
              <w:rPr>
                <w:rFonts w:cs="Arial"/>
                <w:sz w:val="20"/>
                <w:szCs w:val="20"/>
              </w:rPr>
              <w:t>Lodtk</w:t>
            </w:r>
            <w:r>
              <w:rPr>
                <w:rFonts w:cs="Arial"/>
                <w:sz w:val="20"/>
                <w:szCs w:val="20"/>
              </w:rPr>
              <w:t>a</w:t>
            </w:r>
            <w:proofErr w:type="spellEnd"/>
            <w:r>
              <w:rPr>
                <w:rFonts w:cs="Arial"/>
                <w:sz w:val="20"/>
                <w:szCs w:val="20"/>
              </w:rPr>
              <w:t>, Isabella</w:t>
            </w:r>
            <w:r w:rsidRPr="00F434B0">
              <w:rPr>
                <w:rFonts w:cs="Arial"/>
                <w:sz w:val="20"/>
                <w:szCs w:val="20"/>
              </w:rPr>
              <w:t xml:space="preserve"> </w:t>
            </w:r>
            <w:proofErr w:type="spellStart"/>
            <w:r w:rsidRPr="00F434B0">
              <w:rPr>
                <w:rFonts w:cs="Arial"/>
                <w:sz w:val="20"/>
                <w:szCs w:val="20"/>
              </w:rPr>
              <w:t>Marcinski</w:t>
            </w:r>
            <w:proofErr w:type="spellEnd"/>
            <w:r w:rsidRPr="00F434B0">
              <w:rPr>
                <w:rFonts w:cs="Arial"/>
                <w:sz w:val="20"/>
                <w:szCs w:val="20"/>
              </w:rPr>
              <w:t>-Michel,</w:t>
            </w:r>
            <w:r>
              <w:rPr>
                <w:rFonts w:cs="Arial"/>
                <w:sz w:val="20"/>
                <w:szCs w:val="20"/>
              </w:rPr>
              <w:t xml:space="preserve"> Julia Schreiber und Claudia Wiesemann. 2023. </w:t>
            </w:r>
            <w:r w:rsidRPr="00F434B0">
              <w:rPr>
                <w:rFonts w:cs="Arial"/>
                <w:sz w:val="20"/>
                <w:szCs w:val="20"/>
              </w:rPr>
              <w:t xml:space="preserve">Reproduktives Timing. Neue Formen und Ambivalenzen zeitlicher Optimierung von Fortpflanzung und ihre ethischen Herausforderungen. </w:t>
            </w:r>
            <w:r w:rsidRPr="00F52FF6">
              <w:rPr>
                <w:rFonts w:cs="Arial"/>
                <w:i/>
                <w:iCs/>
                <w:sz w:val="20"/>
                <w:szCs w:val="20"/>
              </w:rPr>
              <w:t>Ethik in der Medizin</w:t>
            </w:r>
            <w:r w:rsidRPr="00F434B0">
              <w:rPr>
                <w:rFonts w:cs="Arial"/>
                <w:sz w:val="20"/>
                <w:szCs w:val="20"/>
              </w:rPr>
              <w:t xml:space="preserve"> 35</w:t>
            </w:r>
            <w:r>
              <w:rPr>
                <w:rFonts w:cs="Arial"/>
                <w:sz w:val="20"/>
                <w:szCs w:val="20"/>
              </w:rPr>
              <w:t>:</w:t>
            </w:r>
            <w:r w:rsidRPr="00F434B0">
              <w:rPr>
                <w:rFonts w:cs="Arial"/>
                <w:sz w:val="20"/>
                <w:szCs w:val="20"/>
              </w:rPr>
              <w:t xml:space="preserve"> 43–56. https://doi.org/10.1007/s00481-022-00738-2</w:t>
            </w:r>
          </w:p>
        </w:tc>
        <w:tc>
          <w:tcPr>
            <w:tcW w:w="10064" w:type="dxa"/>
          </w:tcPr>
          <w:p w14:paraId="4B5C18AD" w14:textId="77777777" w:rsidR="00AA3741" w:rsidRPr="00F434B0" w:rsidRDefault="00AA3741" w:rsidP="003A5925">
            <w:pPr>
              <w:spacing w:before="0" w:line="240" w:lineRule="auto"/>
              <w:jc w:val="left"/>
              <w:rPr>
                <w:rFonts w:cs="Arial"/>
                <w:sz w:val="20"/>
                <w:szCs w:val="20"/>
              </w:rPr>
            </w:pPr>
            <w:r w:rsidRPr="00F434B0">
              <w:rPr>
                <w:rFonts w:cs="Arial"/>
                <w:sz w:val="20"/>
                <w:szCs w:val="20"/>
              </w:rPr>
              <w:t>Der Beitrag befasst sich mit dem Zusammenhang von Fortpflanzung, Zeit und gutem Leben. Angebote der Reproduktionsmedizin und Konzeptionen des guten Lebens in der Zeit beeinflussen einander wechselseitig, wobei diese Wechselwirkung durch implizite oder explizite normative Setzungen und Erwartungen von angemessener Zeitlichkeit gekennzeichnet ist. Wir erörtern zunächst die Bedeutung von Zeit für Lebenslauf und Elternschaft aus einer soziologisch-sozialpsychologischen Perspektive. Fortpflanzungsmedizin kann die Spielräume für Elternwerden und für lebenszeitliche Autonomie vergrößern, aber im Kontext gesellschaftlicher Optimierungs- und Effizienzimperative auch gegenteilige Auswirkungen haben und Heteronomie verstärken. Insgesamt ergeben sich daraus veränderte Formen von Anpassung und Selbstbestimmung, neue Dilemmata und Ambivalenzen der zeitlichen Optimierung von Elternschaft. Vor diesem Hintergrund erläutern wir, wie die Ethik der Fortpflanzungsmedizin von einer interdisziplinären, das Leben in seinem zeitlichen Verlauf in den Blick nehmenden Forschung profitieren könnte.</w:t>
            </w:r>
          </w:p>
        </w:tc>
      </w:tr>
      <w:tr w:rsidR="00AA3741" w:rsidRPr="00F434B0" w14:paraId="43D1847C" w14:textId="77777777" w:rsidTr="005C5200">
        <w:tc>
          <w:tcPr>
            <w:tcW w:w="4390" w:type="dxa"/>
            <w:shd w:val="clear" w:color="auto" w:fill="A8D08D" w:themeFill="accent6" w:themeFillTint="99"/>
          </w:tcPr>
          <w:p w14:paraId="4D489959" w14:textId="77777777" w:rsidR="00AA3741" w:rsidRPr="00615C8F" w:rsidRDefault="00AA3741" w:rsidP="003A5925">
            <w:pPr>
              <w:spacing w:before="0" w:line="240" w:lineRule="auto"/>
              <w:jc w:val="left"/>
              <w:rPr>
                <w:rFonts w:cs="Arial"/>
                <w:sz w:val="20"/>
                <w:szCs w:val="20"/>
              </w:rPr>
            </w:pPr>
            <w:r w:rsidRPr="00615C8F">
              <w:rPr>
                <w:rFonts w:cs="Arial"/>
                <w:sz w:val="20"/>
                <w:szCs w:val="20"/>
              </w:rPr>
              <w:t xml:space="preserve">King, Vera. 2013. </w:t>
            </w:r>
            <w:r w:rsidRPr="00615C8F">
              <w:rPr>
                <w:rFonts w:cs="Arial"/>
                <w:i/>
                <w:iCs/>
                <w:sz w:val="20"/>
                <w:szCs w:val="20"/>
              </w:rPr>
              <w:t>Die Entstehung des Neuen in der Adoleszenz. Individuation, Generativität und Geschlecht in modernisierten Gesellschaften</w:t>
            </w:r>
            <w:r w:rsidRPr="00615C8F">
              <w:rPr>
                <w:rFonts w:cs="Arial"/>
                <w:sz w:val="20"/>
                <w:szCs w:val="20"/>
              </w:rPr>
              <w:t xml:space="preserve">. 2. Aufl. Wiesbaden: Springer VS. </w:t>
            </w:r>
          </w:p>
        </w:tc>
        <w:tc>
          <w:tcPr>
            <w:tcW w:w="10064" w:type="dxa"/>
          </w:tcPr>
          <w:p w14:paraId="752FBF79"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Zentrales Anliegen des Buchs ist es, ein theoretisches Konzept der Lebens- und Entwicklungsphase zwischen 'Kindheit' und 'Erwachsensein' darzulegen und dabei soziale Wandlungen von Generationen- und Geschlechterverhältnissen zu berücksichtigen. Diese zweite Auflage eröffnet zugleich die Reihe „Adoleszenzforschung“, in der in einer </w:t>
            </w:r>
            <w:r w:rsidRPr="00F434B0">
              <w:rPr>
                <w:rFonts w:cs="Arial"/>
                <w:sz w:val="20"/>
                <w:szCs w:val="20"/>
                <w:highlight w:val="yellow"/>
              </w:rPr>
              <w:t>transdisziplinär ausgerichteten Perspektive variierende Ausgestaltungen von ‚Jugend’</w:t>
            </w:r>
            <w:r w:rsidRPr="00F434B0">
              <w:rPr>
                <w:rFonts w:cs="Arial"/>
                <w:sz w:val="20"/>
                <w:szCs w:val="20"/>
              </w:rPr>
              <w:t xml:space="preserve"> ausgelotet werden.</w:t>
            </w:r>
          </w:p>
        </w:tc>
      </w:tr>
      <w:tr w:rsidR="00AA3741" w:rsidRPr="00F434B0" w14:paraId="27869242" w14:textId="77777777" w:rsidTr="005C5200">
        <w:tc>
          <w:tcPr>
            <w:tcW w:w="4390" w:type="dxa"/>
            <w:shd w:val="clear" w:color="auto" w:fill="A8D08D" w:themeFill="accent6" w:themeFillTint="99"/>
          </w:tcPr>
          <w:p w14:paraId="57D468E1" w14:textId="77777777" w:rsidR="00AA3741" w:rsidRPr="00615C8F" w:rsidRDefault="00AA3741" w:rsidP="003A5925">
            <w:pPr>
              <w:spacing w:before="0" w:line="240" w:lineRule="auto"/>
              <w:jc w:val="left"/>
              <w:rPr>
                <w:rFonts w:cs="Arial"/>
                <w:sz w:val="20"/>
                <w:szCs w:val="20"/>
              </w:rPr>
            </w:pPr>
            <w:commentRangeStart w:id="8"/>
            <w:r w:rsidRPr="00615C8F">
              <w:rPr>
                <w:rFonts w:cs="Arial"/>
                <w:sz w:val="20"/>
                <w:szCs w:val="20"/>
              </w:rPr>
              <w:t>King</w:t>
            </w:r>
            <w:commentRangeEnd w:id="8"/>
            <w:r w:rsidRPr="00615C8F">
              <w:rPr>
                <w:rStyle w:val="Kommentarzeichen"/>
                <w:rFonts w:cs="Arial"/>
                <w:sz w:val="20"/>
                <w:szCs w:val="20"/>
              </w:rPr>
              <w:commentReference w:id="8"/>
            </w:r>
            <w:r w:rsidRPr="00615C8F">
              <w:rPr>
                <w:rFonts w:cs="Arial"/>
                <w:sz w:val="20"/>
                <w:szCs w:val="20"/>
              </w:rPr>
              <w:t xml:space="preserve">, Vera. 2015a. Kindliche Angewiesenheit und elterliche Generativität. In </w:t>
            </w:r>
            <w:r w:rsidRPr="00615C8F">
              <w:rPr>
                <w:rFonts w:cs="Arial"/>
                <w:i/>
                <w:iCs/>
                <w:sz w:val="20"/>
                <w:szCs w:val="20"/>
              </w:rPr>
              <w:t xml:space="preserve">Vulnerable Kinder. </w:t>
            </w:r>
            <w:r w:rsidRPr="00615C8F">
              <w:rPr>
                <w:rFonts w:cs="Arial"/>
                <w:i/>
                <w:iCs/>
                <w:sz w:val="20"/>
                <w:szCs w:val="20"/>
              </w:rPr>
              <w:t xml:space="preserve">Interdisziplinäre Annäherungen. </w:t>
            </w:r>
            <w:r w:rsidRPr="00615C8F">
              <w:rPr>
                <w:rFonts w:cs="Arial"/>
                <w:iCs/>
                <w:sz w:val="20"/>
                <w:szCs w:val="20"/>
              </w:rPr>
              <w:t>Reihe Kinder, Kindheiten und Kindheitsforschung, Band 10</w:t>
            </w:r>
            <w:r w:rsidRPr="00615C8F">
              <w:rPr>
                <w:rFonts w:cs="Arial"/>
                <w:i/>
                <w:iCs/>
                <w:sz w:val="20"/>
                <w:szCs w:val="20"/>
              </w:rPr>
              <w:t xml:space="preserve">, </w:t>
            </w:r>
            <w:r w:rsidRPr="00615C8F">
              <w:rPr>
                <w:rFonts w:cs="Arial"/>
                <w:iCs/>
                <w:sz w:val="20"/>
                <w:szCs w:val="20"/>
              </w:rPr>
              <w:t xml:space="preserve">hrsg. Von Sabine Andresen, Claus Koch und Julia König. </w:t>
            </w:r>
            <w:r w:rsidRPr="00615C8F">
              <w:rPr>
                <w:rFonts w:cs="Arial"/>
                <w:i/>
                <w:iCs/>
                <w:sz w:val="20"/>
                <w:szCs w:val="20"/>
              </w:rPr>
              <w:t>Kinder, Kindheiten und Kindheitsforschung</w:t>
            </w:r>
            <w:r w:rsidRPr="00615C8F">
              <w:rPr>
                <w:rFonts w:cs="Arial"/>
                <w:i/>
                <w:iCs/>
                <w:sz w:val="20"/>
                <w:szCs w:val="20"/>
              </w:rPr>
              <w:t xml:space="preserve">, </w:t>
            </w:r>
            <w:r w:rsidRPr="00615C8F">
              <w:rPr>
                <w:rFonts w:cs="Arial"/>
                <w:iCs/>
                <w:sz w:val="20"/>
                <w:szCs w:val="20"/>
              </w:rPr>
              <w:t>23-44.</w:t>
            </w:r>
            <w:r w:rsidRPr="00615C8F">
              <w:rPr>
                <w:rFonts w:cs="Arial"/>
                <w:i/>
                <w:iCs/>
                <w:sz w:val="20"/>
                <w:szCs w:val="20"/>
              </w:rPr>
              <w:t xml:space="preserve"> </w:t>
            </w:r>
            <w:r w:rsidRPr="00615C8F">
              <w:rPr>
                <w:rFonts w:cs="Arial"/>
                <w:iCs/>
                <w:sz w:val="20"/>
                <w:szCs w:val="20"/>
              </w:rPr>
              <w:t xml:space="preserve">Wiesbaden: </w:t>
            </w:r>
            <w:r w:rsidRPr="00615C8F">
              <w:rPr>
                <w:rFonts w:cs="Arial"/>
                <w:sz w:val="20"/>
                <w:szCs w:val="20"/>
              </w:rPr>
              <w:t>Springer VS. https://doi.org/10.1007/978-3-658-07057-1_2</w:t>
            </w:r>
          </w:p>
        </w:tc>
        <w:tc>
          <w:tcPr>
            <w:tcW w:w="10064" w:type="dxa"/>
          </w:tcPr>
          <w:p w14:paraId="0AC865CB" w14:textId="77777777" w:rsidR="00AA3741" w:rsidRPr="00F434B0" w:rsidRDefault="00AA3741" w:rsidP="00BA7280">
            <w:pPr>
              <w:spacing w:before="0" w:line="240" w:lineRule="auto"/>
              <w:jc w:val="left"/>
              <w:rPr>
                <w:rFonts w:cs="Arial"/>
                <w:sz w:val="20"/>
                <w:szCs w:val="20"/>
              </w:rPr>
            </w:pPr>
            <w:r w:rsidRPr="00F434B0">
              <w:rPr>
                <w:rFonts w:cs="Arial"/>
                <w:sz w:val="20"/>
                <w:szCs w:val="20"/>
              </w:rPr>
              <w:t xml:space="preserve">(aus der Einleitung): In diesem Beitrag geht es bei der Diskussion kindlicher ‚Vulnerabilität‘ insofern </w:t>
            </w:r>
          </w:p>
          <w:p w14:paraId="44F5DF5B" w14:textId="77777777" w:rsidR="00AA3741" w:rsidRPr="00F434B0" w:rsidRDefault="00AA3741" w:rsidP="00A221E1">
            <w:pPr>
              <w:spacing w:before="0" w:line="240" w:lineRule="auto"/>
              <w:jc w:val="left"/>
              <w:rPr>
                <w:rFonts w:cs="Arial"/>
                <w:sz w:val="20"/>
                <w:szCs w:val="20"/>
              </w:rPr>
            </w:pPr>
            <w:r w:rsidRPr="00F434B0">
              <w:rPr>
                <w:rFonts w:cs="Arial"/>
                <w:sz w:val="20"/>
                <w:szCs w:val="20"/>
              </w:rPr>
              <w:t xml:space="preserve">nicht in einem klinischen oder diagnostischen Sinne um spezifische Prädispositionen eines Kindes, verschiedene Erlebens- und Verhaltensstörungen zu entwickeln, und auch nicht um die Gleichsetzung von Vulnerabilität mit </w:t>
            </w:r>
            <w:proofErr w:type="spellStart"/>
            <w:r w:rsidRPr="00F434B0">
              <w:rPr>
                <w:rFonts w:cs="Arial"/>
                <w:sz w:val="20"/>
                <w:szCs w:val="20"/>
              </w:rPr>
              <w:t>kind</w:t>
            </w:r>
            <w:proofErr w:type="spellEnd"/>
            <w:r w:rsidRPr="00F434B0">
              <w:rPr>
                <w:rFonts w:cs="Arial"/>
                <w:sz w:val="20"/>
                <w:szCs w:val="20"/>
              </w:rPr>
              <w:t xml:space="preserve">- oder umweltbezogenen Risikofaktoren. Ausgangspunkt ist vielmehr die basale Angewiesenheit, </w:t>
            </w:r>
            <w:proofErr w:type="gramStart"/>
            <w:r w:rsidRPr="00F434B0">
              <w:rPr>
                <w:rFonts w:cs="Arial"/>
                <w:sz w:val="20"/>
                <w:szCs w:val="20"/>
              </w:rPr>
              <w:t>mit  der</w:t>
            </w:r>
            <w:proofErr w:type="gramEnd"/>
            <w:r w:rsidRPr="00F434B0">
              <w:rPr>
                <w:rFonts w:cs="Arial"/>
                <w:sz w:val="20"/>
                <w:szCs w:val="20"/>
              </w:rPr>
              <w:t xml:space="preserve"> lebensgeschichtlich konstitutiv eine Asymmetrie zwischen den Generationen, zwischen Erwachsenen und den neu geborenen und heranwachsenden Kindern verbunden ist. Wie lange diese Asymmetrie währt, wie sie im Detail zu verstehen ist und was aus ihr folgt, wird wiederum kulturell unterschiedlich interpretiert und gestaltet. Ebenso unterscheiden sich die Praktiken der Fürsorge und kulturellen Berücksichtigung der kindlichen Angewiesenheit, die als Varianten generativer Ermöglichungs- (oder eben Verhinderungs-) Bedingungen für kindliche Entwicklung bezeichnet werden können.</w:t>
            </w:r>
          </w:p>
        </w:tc>
      </w:tr>
      <w:tr w:rsidR="00AA3741" w:rsidRPr="00F434B0" w14:paraId="0A542CEC" w14:textId="77777777" w:rsidTr="005C5200">
        <w:tc>
          <w:tcPr>
            <w:tcW w:w="4390" w:type="dxa"/>
            <w:shd w:val="clear" w:color="auto" w:fill="A8D08D" w:themeFill="accent6" w:themeFillTint="99"/>
          </w:tcPr>
          <w:p w14:paraId="70A5AC8A" w14:textId="77777777" w:rsidR="00AA3741" w:rsidRPr="00615C8F" w:rsidRDefault="00AA3741" w:rsidP="003A5925">
            <w:pPr>
              <w:spacing w:before="0" w:line="240" w:lineRule="auto"/>
              <w:jc w:val="left"/>
              <w:rPr>
                <w:rFonts w:cs="Arial"/>
                <w:sz w:val="20"/>
                <w:szCs w:val="20"/>
              </w:rPr>
            </w:pPr>
            <w:r w:rsidRPr="00615C8F">
              <w:rPr>
                <w:rFonts w:cs="Arial"/>
                <w:sz w:val="20"/>
                <w:szCs w:val="20"/>
              </w:rPr>
              <w:t>King, Vera. 2015b. Zukunft der Nachkommen-gegenwärtige Krisen der Generativität. </w:t>
            </w:r>
            <w:r w:rsidRPr="00615C8F">
              <w:rPr>
                <w:rFonts w:cs="Arial"/>
                <w:i/>
                <w:iCs/>
                <w:sz w:val="20"/>
                <w:szCs w:val="20"/>
              </w:rPr>
              <w:t xml:space="preserve">Psychologie und Gesellschaftskritik </w:t>
            </w:r>
            <w:r w:rsidRPr="00615C8F">
              <w:rPr>
                <w:rFonts w:cs="Arial"/>
                <w:sz w:val="20"/>
                <w:szCs w:val="20"/>
              </w:rPr>
              <w:t>39 (2/3): 27-53.</w:t>
            </w:r>
          </w:p>
        </w:tc>
        <w:tc>
          <w:tcPr>
            <w:tcW w:w="10064" w:type="dxa"/>
          </w:tcPr>
          <w:p w14:paraId="1ED91DAD"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Die Zukunft der Nachkommen durch gegenwärtiges Handeln konstruktiv zu ermöglichen, ist eine Herausforderung, die zwar als Norm meist selbstverständlich erscheint, aber praktisch zugleich ständig unterhöhlt wird. Denn ein konstruktives Verhältnis zu den Nachkommen basiert im Kern auf einer Bewältigung von Ambivalenzen im Generationenverhältnis und jener Anforderungen, die mit den Veränderungen der Positionen in der Generationenfolge verbunden sind. Um das potenziell Versöhnende in der Fortsetzung der Generationenlinie erleben zu können, müssten, individuell und kollektiv, Neid auf die Jüngeren oder Schmerz über die eigenen Begrenztheiten nicht-destruktiv ausbalanciert werden können. Indes wird die Anerkennung von Grenzen und der Vergänglichkeit in der gegenwärtigen Moderne kulturell und normativ vergleichsweise wenig unterstützt. In </w:t>
            </w:r>
            <w:r w:rsidRPr="00F434B0">
              <w:rPr>
                <w:rFonts w:cs="Arial"/>
                <w:sz w:val="20"/>
                <w:szCs w:val="20"/>
              </w:rPr>
              <w:lastRenderedPageBreak/>
              <w:t xml:space="preserve">diesem Beitrag wird aus </w:t>
            </w:r>
            <w:r w:rsidRPr="00F434B0">
              <w:rPr>
                <w:rFonts w:cs="Arial"/>
                <w:sz w:val="20"/>
                <w:szCs w:val="20"/>
                <w:highlight w:val="yellow"/>
              </w:rPr>
              <w:t>sozialpsychologischer Sicht</w:t>
            </w:r>
            <w:r w:rsidRPr="00F434B0">
              <w:rPr>
                <w:rFonts w:cs="Arial"/>
                <w:sz w:val="20"/>
                <w:szCs w:val="20"/>
              </w:rPr>
              <w:t xml:space="preserve"> diskutiert, welche Bedingungen eine konstruktive generative Haltung ermöglichen oder erschweren können.  </w:t>
            </w:r>
          </w:p>
        </w:tc>
      </w:tr>
      <w:tr w:rsidR="00AA3741" w:rsidRPr="00F434B0" w14:paraId="5BD2EBF4" w14:textId="77777777" w:rsidTr="005C5200">
        <w:tc>
          <w:tcPr>
            <w:tcW w:w="4390" w:type="dxa"/>
            <w:shd w:val="clear" w:color="auto" w:fill="A8D08D" w:themeFill="accent6" w:themeFillTint="99"/>
          </w:tcPr>
          <w:p w14:paraId="5A4C209E" w14:textId="77777777" w:rsidR="00AA3741" w:rsidRPr="00615C8F" w:rsidRDefault="00AA3741" w:rsidP="003A5925">
            <w:pPr>
              <w:spacing w:before="0" w:line="240" w:lineRule="auto"/>
              <w:jc w:val="left"/>
              <w:rPr>
                <w:rFonts w:cs="Arial"/>
                <w:sz w:val="20"/>
                <w:szCs w:val="20"/>
              </w:rPr>
            </w:pPr>
            <w:r w:rsidRPr="00615C8F">
              <w:rPr>
                <w:rFonts w:cs="Arial"/>
                <w:sz w:val="20"/>
                <w:szCs w:val="20"/>
              </w:rPr>
              <w:lastRenderedPageBreak/>
              <w:t xml:space="preserve">King, Vera. 2022. Familie und Generativität. In </w:t>
            </w:r>
            <w:r w:rsidRPr="00615C8F">
              <w:rPr>
                <w:rFonts w:cs="Arial"/>
                <w:i/>
                <w:iCs/>
                <w:sz w:val="20"/>
                <w:szCs w:val="20"/>
              </w:rPr>
              <w:t xml:space="preserve">Handbuch Familie, </w:t>
            </w:r>
            <w:r w:rsidRPr="00615C8F">
              <w:rPr>
                <w:rFonts w:cs="Arial"/>
                <w:iCs/>
                <w:sz w:val="20"/>
                <w:szCs w:val="20"/>
              </w:rPr>
              <w:t xml:space="preserve">hrsg. von Jutta </w:t>
            </w:r>
            <w:proofErr w:type="spellStart"/>
            <w:r w:rsidRPr="00615C8F">
              <w:rPr>
                <w:rFonts w:cs="Arial"/>
                <w:iCs/>
                <w:sz w:val="20"/>
                <w:szCs w:val="20"/>
              </w:rPr>
              <w:t>Ecarius</w:t>
            </w:r>
            <w:proofErr w:type="spellEnd"/>
            <w:r w:rsidRPr="00615C8F">
              <w:rPr>
                <w:rFonts w:cs="Arial"/>
                <w:iCs/>
                <w:sz w:val="20"/>
                <w:szCs w:val="20"/>
              </w:rPr>
              <w:t xml:space="preserve"> und Anja </w:t>
            </w:r>
            <w:proofErr w:type="spellStart"/>
            <w:r w:rsidRPr="00615C8F">
              <w:rPr>
                <w:rFonts w:cs="Arial"/>
                <w:iCs/>
                <w:sz w:val="20"/>
                <w:szCs w:val="20"/>
              </w:rPr>
              <w:t>Schierbaum</w:t>
            </w:r>
            <w:proofErr w:type="spellEnd"/>
            <w:r w:rsidRPr="00615C8F">
              <w:rPr>
                <w:rFonts w:cs="Arial"/>
                <w:iCs/>
                <w:sz w:val="20"/>
                <w:szCs w:val="20"/>
              </w:rPr>
              <w:t xml:space="preserve">, </w:t>
            </w:r>
            <w:r w:rsidRPr="00615C8F">
              <w:rPr>
                <w:rFonts w:cs="Arial"/>
                <w:iCs/>
                <w:sz w:val="20"/>
                <w:szCs w:val="20"/>
              </w:rPr>
              <w:t>81–99</w:t>
            </w:r>
            <w:r w:rsidRPr="00615C8F">
              <w:rPr>
                <w:rFonts w:cs="Arial"/>
                <w:sz w:val="20"/>
                <w:szCs w:val="20"/>
              </w:rPr>
              <w:t>. Wiesbaden: Springer VS. https://doi.org/10.1007/978-3-531-19985-6_54</w:t>
            </w:r>
          </w:p>
        </w:tc>
        <w:tc>
          <w:tcPr>
            <w:tcW w:w="10064" w:type="dxa"/>
          </w:tcPr>
          <w:p w14:paraId="358C20CB" w14:textId="77777777" w:rsidR="00AA3741" w:rsidRPr="00F434B0" w:rsidRDefault="00AA3741" w:rsidP="003A5925">
            <w:pPr>
              <w:spacing w:after="160" w:line="240" w:lineRule="auto"/>
              <w:jc w:val="left"/>
              <w:rPr>
                <w:rFonts w:cs="Arial"/>
                <w:sz w:val="20"/>
                <w:szCs w:val="20"/>
              </w:rPr>
            </w:pPr>
            <w:r w:rsidRPr="00F434B0">
              <w:rPr>
                <w:rFonts w:cs="Arial"/>
                <w:sz w:val="20"/>
                <w:szCs w:val="20"/>
              </w:rPr>
              <w:t>In diesem Beitrag geht es um Konzeptionen und theoretische Bestimmungen von Generativität, die über das Thema der Reproduktion hinaus auch psychosoziale und kulturelle Dimensionen der generativen Sorge und Verantwortung in Familie und Eltern-Kind-Beziehungen sowie, im kulturellen Sinne, für die Folgegeneration akzentuieren. Es werden Studien zu Generativität und Familie im Kontext verschiedener Lebensphasen sowie intergenerationale Bedingungen und Praktiken skizziert. Weiterhin werden Generativität im Lichte generationaler Ordnungen diskutiert sowie die Bedeutung von Gabe als Kern der generativen Weitergabe, auch mit Blick auf familiale, historische und kulturelle Genealogien, aber auch auf Potenziale für Störungen und Krisen der Generativität.</w:t>
            </w:r>
          </w:p>
        </w:tc>
      </w:tr>
      <w:tr w:rsidR="00AA3741" w:rsidRPr="00F434B0" w14:paraId="3FA188C4" w14:textId="77777777" w:rsidTr="00921131">
        <w:tc>
          <w:tcPr>
            <w:tcW w:w="4390" w:type="dxa"/>
            <w:shd w:val="clear" w:color="auto" w:fill="A8D08D" w:themeFill="accent6" w:themeFillTint="99"/>
          </w:tcPr>
          <w:p w14:paraId="45B2D22C" w14:textId="77777777" w:rsidR="00AA3741" w:rsidRPr="00F434B0" w:rsidRDefault="00AA3741" w:rsidP="003A5925">
            <w:pPr>
              <w:spacing w:before="0" w:line="240" w:lineRule="auto"/>
              <w:jc w:val="left"/>
              <w:rPr>
                <w:rFonts w:cs="Arial"/>
                <w:sz w:val="20"/>
                <w:szCs w:val="20"/>
              </w:rPr>
            </w:pPr>
            <w:r w:rsidRPr="00F434B0">
              <w:rPr>
                <w:rFonts w:cs="Arial"/>
                <w:sz w:val="20"/>
                <w:szCs w:val="20"/>
              </w:rPr>
              <w:t>Klein, T</w:t>
            </w:r>
            <w:r>
              <w:rPr>
                <w:rFonts w:cs="Arial"/>
                <w:sz w:val="20"/>
                <w:szCs w:val="20"/>
              </w:rPr>
              <w:t>homas</w:t>
            </w:r>
            <w:r w:rsidRPr="00F434B0">
              <w:rPr>
                <w:rFonts w:cs="Arial"/>
                <w:sz w:val="20"/>
                <w:szCs w:val="20"/>
              </w:rPr>
              <w:t xml:space="preserve">. 2003. Die Geburt von Kindern in paarbezogener Perspektive. </w:t>
            </w:r>
            <w:r w:rsidRPr="00317E22">
              <w:rPr>
                <w:rFonts w:cs="Arial"/>
                <w:i/>
                <w:iCs/>
                <w:sz w:val="20"/>
                <w:szCs w:val="20"/>
              </w:rPr>
              <w:t>Zeitschrift für Soziologie</w:t>
            </w:r>
            <w:r w:rsidRPr="00F434B0">
              <w:rPr>
                <w:rFonts w:cs="Arial"/>
                <w:sz w:val="20"/>
                <w:szCs w:val="20"/>
              </w:rPr>
              <w:t xml:space="preserve"> 32(6)</w:t>
            </w:r>
            <w:r>
              <w:rPr>
                <w:rFonts w:cs="Arial"/>
                <w:sz w:val="20"/>
                <w:szCs w:val="20"/>
              </w:rPr>
              <w:t>:</w:t>
            </w:r>
            <w:r w:rsidRPr="00F434B0">
              <w:rPr>
                <w:rFonts w:cs="Arial"/>
                <w:sz w:val="20"/>
                <w:szCs w:val="20"/>
              </w:rPr>
              <w:t xml:space="preserve"> 506-527.</w:t>
            </w:r>
          </w:p>
        </w:tc>
        <w:tc>
          <w:tcPr>
            <w:tcW w:w="10064" w:type="dxa"/>
          </w:tcPr>
          <w:p w14:paraId="7835B65A" w14:textId="77777777" w:rsidR="00AA3741" w:rsidRPr="00F434B0" w:rsidRDefault="00AA3741" w:rsidP="003A5925">
            <w:pPr>
              <w:spacing w:before="0" w:line="240" w:lineRule="auto"/>
              <w:jc w:val="left"/>
              <w:rPr>
                <w:rFonts w:cs="Arial"/>
                <w:sz w:val="20"/>
                <w:szCs w:val="20"/>
              </w:rPr>
            </w:pPr>
            <w:r w:rsidRPr="00F434B0">
              <w:rPr>
                <w:rFonts w:cs="Arial"/>
                <w:sz w:val="20"/>
                <w:szCs w:val="20"/>
              </w:rPr>
              <w:t>Der Beitrag analysiert die Geburt von Kindern aus der Zeitperspektive des Lebenslaufs. Im Unterschied zur Lebenslaufanalyse hat dieser Ansatz zwei Vorzüge: In deskriptiver Hinsicht konzentriert sich der Ansatz auf eine Beschreibung des generativen Handelns, wobei Partnerwahlprozesse, Trennungen und erneute Partnerwahl- und Paarentwicklungsprozesse, die sich in der Lebenslaufanalyse mit generativen Entscheidungsprozessen überlagern, ausgeblendet werden. In analytischer Hinsicht stehen zudem die Merkmale beider Partner für die Untersuchung von generativen Entscheidungen zur Verfügung, und der Ansatz ist insofern zur Überprüfung theoretischer Zusammenhänge besser geeignet. Die Studie basiert auf einer Analyse des Familiensurvey 2000. Die Ergebnisse der paarbezogenen Darstellung des generativen Verhaltens zeigen in vielen Punkten ein anderes Bild, als es aus der Lebenslaufanalyse bekannt ist. Zu den wichtigsten Ergebnissen gehört zum einen, dass die Familiengründungsbereitschaft in den Partnerschaften aufeinanderfolgender Geburtsjahrgänge keineswegs abgenommen hat. Für die aus der Lebenslaufanalyse bekannten Kohortenunterschiede der dauerhaften Kinderlosigkeit erscheinen deshalb Veränderungen bezüglich der Existenz und der Dauerhaftigkeit von Partnerschaften ausschlaggebend. Bezüglich der Familienerweiterung ist zum anderen bedeutsam, dass die Stabilität einer Partnerschaft die Geburt eines zweiten Kindes fördert, wohingegen die Geburt eines dritten oder vierten Kindes erst verstärkt aus Anlass einer neuen Partnerschaft zustande kommt.</w:t>
            </w:r>
          </w:p>
        </w:tc>
      </w:tr>
      <w:tr w:rsidR="00AA3741" w:rsidRPr="00F434B0" w14:paraId="190D8AEB" w14:textId="77777777" w:rsidTr="00C071DB">
        <w:tc>
          <w:tcPr>
            <w:tcW w:w="4390" w:type="dxa"/>
            <w:shd w:val="clear" w:color="auto" w:fill="E482D1"/>
          </w:tcPr>
          <w:p w14:paraId="33089A99"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rPr>
              <w:t>Knecht, M</w:t>
            </w:r>
            <w:r>
              <w:rPr>
                <w:rFonts w:cs="Arial"/>
                <w:sz w:val="20"/>
                <w:szCs w:val="20"/>
              </w:rPr>
              <w:t xml:space="preserve">ichi und Katharina </w:t>
            </w:r>
            <w:r w:rsidRPr="00F434B0">
              <w:rPr>
                <w:rFonts w:cs="Arial"/>
                <w:sz w:val="20"/>
                <w:szCs w:val="20"/>
              </w:rPr>
              <w:t>Liebsch</w:t>
            </w:r>
            <w:r>
              <w:rPr>
                <w:rFonts w:cs="Arial"/>
                <w:sz w:val="20"/>
                <w:szCs w:val="20"/>
              </w:rPr>
              <w:t xml:space="preserve">. </w:t>
            </w:r>
            <w:r w:rsidRPr="00F434B0">
              <w:rPr>
                <w:rFonts w:cs="Arial"/>
                <w:sz w:val="20"/>
                <w:szCs w:val="20"/>
              </w:rPr>
              <w:t xml:space="preserve">2019. Beziehungen sichtbar machen–Debatten erweitern. </w:t>
            </w:r>
            <w:proofErr w:type="spellStart"/>
            <w:r w:rsidRPr="00F434B0">
              <w:rPr>
                <w:rFonts w:cs="Arial"/>
                <w:sz w:val="20"/>
                <w:szCs w:val="20"/>
                <w:lang w:val="en-US"/>
              </w:rPr>
              <w:t>Reproduktionstechnologien</w:t>
            </w:r>
            <w:proofErr w:type="spellEnd"/>
            <w:r w:rsidRPr="00F434B0">
              <w:rPr>
                <w:rFonts w:cs="Arial"/>
                <w:sz w:val="20"/>
                <w:szCs w:val="20"/>
                <w:lang w:val="en-US"/>
              </w:rPr>
              <w:t xml:space="preserve"> </w:t>
            </w:r>
            <w:proofErr w:type="spellStart"/>
            <w:r w:rsidRPr="00F434B0">
              <w:rPr>
                <w:rFonts w:cs="Arial"/>
                <w:sz w:val="20"/>
                <w:szCs w:val="20"/>
                <w:lang w:val="en-US"/>
              </w:rPr>
              <w:t>denken</w:t>
            </w:r>
            <w:proofErr w:type="spellEnd"/>
            <w:r w:rsidRPr="00F434B0">
              <w:rPr>
                <w:rFonts w:cs="Arial"/>
                <w:sz w:val="20"/>
                <w:szCs w:val="20"/>
                <w:lang w:val="en-US"/>
              </w:rPr>
              <w:t xml:space="preserve"> </w:t>
            </w:r>
            <w:proofErr w:type="spellStart"/>
            <w:r w:rsidRPr="00F434B0">
              <w:rPr>
                <w:rFonts w:cs="Arial"/>
                <w:sz w:val="20"/>
                <w:szCs w:val="20"/>
                <w:lang w:val="en-US"/>
              </w:rPr>
              <w:t>mit</w:t>
            </w:r>
            <w:proofErr w:type="spellEnd"/>
            <w:r w:rsidRPr="00F434B0">
              <w:rPr>
                <w:rFonts w:cs="Arial"/>
                <w:sz w:val="20"/>
                <w:szCs w:val="20"/>
                <w:lang w:val="en-US"/>
              </w:rPr>
              <w:t xml:space="preserve"> Marilyn Strathern. </w:t>
            </w:r>
            <w:proofErr w:type="spellStart"/>
            <w:r w:rsidRPr="00A4693F">
              <w:rPr>
                <w:rFonts w:cs="Arial"/>
                <w:i/>
                <w:iCs/>
                <w:sz w:val="20"/>
                <w:szCs w:val="20"/>
                <w:lang w:val="en-US"/>
              </w:rPr>
              <w:t>Feministische</w:t>
            </w:r>
            <w:proofErr w:type="spellEnd"/>
            <w:r w:rsidRPr="00A4693F">
              <w:rPr>
                <w:rFonts w:cs="Arial"/>
                <w:i/>
                <w:iCs/>
                <w:sz w:val="20"/>
                <w:szCs w:val="20"/>
                <w:lang w:val="en-US"/>
              </w:rPr>
              <w:t xml:space="preserve"> </w:t>
            </w:r>
            <w:proofErr w:type="spellStart"/>
            <w:r w:rsidRPr="00A4693F">
              <w:rPr>
                <w:rFonts w:cs="Arial"/>
                <w:i/>
                <w:iCs/>
                <w:sz w:val="20"/>
                <w:szCs w:val="20"/>
                <w:lang w:val="en-US"/>
              </w:rPr>
              <w:t>Studien</w:t>
            </w:r>
            <w:proofErr w:type="spellEnd"/>
            <w:r w:rsidRPr="00F434B0">
              <w:rPr>
                <w:rFonts w:cs="Arial"/>
                <w:sz w:val="20"/>
                <w:szCs w:val="20"/>
                <w:lang w:val="en-US"/>
              </w:rPr>
              <w:t xml:space="preserve"> 37(1)</w:t>
            </w:r>
            <w:r>
              <w:rPr>
                <w:rFonts w:cs="Arial"/>
                <w:sz w:val="20"/>
                <w:szCs w:val="20"/>
                <w:lang w:val="en-US"/>
              </w:rPr>
              <w:t>:</w:t>
            </w:r>
            <w:r w:rsidRPr="00F434B0">
              <w:rPr>
                <w:rFonts w:cs="Arial"/>
                <w:sz w:val="20"/>
                <w:szCs w:val="20"/>
                <w:lang w:val="en-US"/>
              </w:rPr>
              <w:t xml:space="preserve"> 101-117.</w:t>
            </w:r>
          </w:p>
        </w:tc>
        <w:tc>
          <w:tcPr>
            <w:tcW w:w="10064" w:type="dxa"/>
          </w:tcPr>
          <w:p w14:paraId="6C1FBFCA"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(aus Einleitung): Die britische Sozial- und Kulturanthropologin Marilyn </w:t>
            </w:r>
            <w:proofErr w:type="spellStart"/>
            <w:r w:rsidRPr="00F434B0">
              <w:rPr>
                <w:rFonts w:cs="Arial"/>
                <w:sz w:val="20"/>
                <w:szCs w:val="20"/>
              </w:rPr>
              <w:t>Strathern</w:t>
            </w:r>
            <w:proofErr w:type="spellEnd"/>
            <w:r w:rsidRPr="00F434B0">
              <w:rPr>
                <w:rFonts w:cs="Arial"/>
                <w:sz w:val="20"/>
                <w:szCs w:val="20"/>
              </w:rPr>
              <w:t xml:space="preserve"> hat die Entwicklung, Einführung und gesellschaftliche Verbreitung der Technologien assistierter Reproduktion von Anfang an kritisch begleitet. Seit 30 Jahren reflektiert sie deren Ausformungen und viele ihrer Schülerinnen stehen heute im Zentrum eines expandierenden Forschungsfelds zum Thema Verwandtschaft im Zeitalter der Reproduktionstechnologien (z.B. Franklin 2002; 2013; Edwards 2000; Konrad 2005; Thompson 2007). Sie alle positionieren sich an der Schnittstelle von Sozialanthropologie, STS (</w:t>
            </w:r>
            <w:proofErr w:type="spellStart"/>
            <w:r w:rsidRPr="00F434B0">
              <w:rPr>
                <w:rFonts w:cs="Arial"/>
                <w:sz w:val="20"/>
                <w:szCs w:val="20"/>
              </w:rPr>
              <w:t>Social</w:t>
            </w:r>
            <w:proofErr w:type="spellEnd"/>
            <w:r w:rsidRPr="00F434B0">
              <w:rPr>
                <w:rFonts w:cs="Arial"/>
                <w:sz w:val="20"/>
                <w:szCs w:val="20"/>
              </w:rPr>
              <w:t xml:space="preserve"> Studies </w:t>
            </w:r>
            <w:proofErr w:type="spellStart"/>
            <w:r w:rsidRPr="00F434B0">
              <w:rPr>
                <w:rFonts w:cs="Arial"/>
                <w:sz w:val="20"/>
                <w:szCs w:val="20"/>
              </w:rPr>
              <w:t>of</w:t>
            </w:r>
            <w:proofErr w:type="spellEnd"/>
            <w:r w:rsidRPr="00F434B0">
              <w:rPr>
                <w:rFonts w:cs="Arial"/>
                <w:sz w:val="20"/>
                <w:szCs w:val="20"/>
              </w:rPr>
              <w:t xml:space="preserve"> Science and Technology) und Gender Studies. In Deutschland sind Marilyn </w:t>
            </w:r>
            <w:proofErr w:type="spellStart"/>
            <w:r w:rsidRPr="00F434B0">
              <w:rPr>
                <w:rFonts w:cs="Arial"/>
                <w:sz w:val="20"/>
                <w:szCs w:val="20"/>
              </w:rPr>
              <w:t>Stratherns</w:t>
            </w:r>
            <w:proofErr w:type="spellEnd"/>
            <w:r w:rsidRPr="00F434B0">
              <w:rPr>
                <w:rFonts w:cs="Arial"/>
                <w:sz w:val="20"/>
                <w:szCs w:val="20"/>
              </w:rPr>
              <w:t xml:space="preserve"> komplexe und eigenwillige Schriften außerhalb der Sozial- und Kulturanthropologie bislang jedoch nur wenig bekannt und keine ihrer </w:t>
            </w:r>
            <w:proofErr w:type="gramStart"/>
            <w:r w:rsidRPr="00F434B0">
              <w:rPr>
                <w:rFonts w:cs="Arial"/>
                <w:sz w:val="20"/>
                <w:szCs w:val="20"/>
              </w:rPr>
              <w:t>Monographien</w:t>
            </w:r>
            <w:proofErr w:type="gramEnd"/>
            <w:r w:rsidRPr="00F434B0">
              <w:rPr>
                <w:rFonts w:cs="Arial"/>
                <w:sz w:val="20"/>
                <w:szCs w:val="20"/>
              </w:rPr>
              <w:t xml:space="preserve"> und kaum einer ihrer Texte ist ins Deutsche übersetzt. Mit der hier vorgelegten deutschsprachigen Erstveröffentlichung des Aufsatzes »Tauschverhältnisse und Konsumverhältnisse. Der Embryo als zukünftiger Konsument« aus dem Jahr 1990 wollen wir beginnen, diese Lücke zu schließen und eine Möglichkeit dafür schaffen, das Denken von Marilyn </w:t>
            </w:r>
            <w:proofErr w:type="spellStart"/>
            <w:r w:rsidRPr="00F434B0">
              <w:rPr>
                <w:rFonts w:cs="Arial"/>
                <w:sz w:val="20"/>
                <w:szCs w:val="20"/>
              </w:rPr>
              <w:t>Strathern</w:t>
            </w:r>
            <w:proofErr w:type="spellEnd"/>
            <w:r w:rsidRPr="00F434B0">
              <w:rPr>
                <w:rFonts w:cs="Arial"/>
                <w:sz w:val="20"/>
                <w:szCs w:val="20"/>
              </w:rPr>
              <w:t xml:space="preserve"> in die hiesige feministische Forschung zum Thema Reproduktionstechnologien miteinzubeziehen. Warum wir das für ein relevantes und gewinnbringendes Unterfangen halten, legen wir in diesem Beitrag dar. Zugleich führt unser Aufsatz ein in die thematischen Kontexte und methodologischen und analytischen </w:t>
            </w:r>
            <w:r w:rsidRPr="00F434B0">
              <w:rPr>
                <w:rFonts w:cs="Arial"/>
                <w:sz w:val="20"/>
                <w:szCs w:val="20"/>
              </w:rPr>
              <w:lastRenderedPageBreak/>
              <w:t xml:space="preserve">Strategien von Marilyn </w:t>
            </w:r>
            <w:proofErr w:type="spellStart"/>
            <w:r w:rsidRPr="00F434B0">
              <w:rPr>
                <w:rFonts w:cs="Arial"/>
                <w:sz w:val="20"/>
                <w:szCs w:val="20"/>
              </w:rPr>
              <w:t>Strathern</w:t>
            </w:r>
            <w:proofErr w:type="spellEnd"/>
            <w:r w:rsidRPr="00F434B0">
              <w:rPr>
                <w:rFonts w:cs="Arial"/>
                <w:sz w:val="20"/>
                <w:szCs w:val="20"/>
              </w:rPr>
              <w:t>. Das Theorie-Interesse dieser in der britischen Sozialanthropologie sozialisierten Forscherin ist doppelt geschärft, durch feministische Forschung zum einen und papua-neuguineische Ethnographien zum zweiten. Entsprechend ist auch ihr Blick auf Gegenwartsphänomene geprägt durch ihre ethnographischen Arbeiten im Hochland von Papua-Neuguinea in der Region um Mount Hagen (</w:t>
            </w:r>
            <w:proofErr w:type="spellStart"/>
            <w:r w:rsidRPr="00F434B0">
              <w:rPr>
                <w:rFonts w:cs="Arial"/>
                <w:sz w:val="20"/>
                <w:szCs w:val="20"/>
              </w:rPr>
              <w:t>Strathern</w:t>
            </w:r>
            <w:proofErr w:type="spellEnd"/>
            <w:r w:rsidRPr="00F434B0">
              <w:rPr>
                <w:rFonts w:cs="Arial"/>
                <w:sz w:val="20"/>
                <w:szCs w:val="20"/>
              </w:rPr>
              <w:t xml:space="preserve"> 1988) und durch eine fortgesetzte Bezugnahme auf die Historizität und Vielfalt der eigenen, westlichen Kultur (z.B. </w:t>
            </w:r>
            <w:proofErr w:type="spellStart"/>
            <w:r w:rsidRPr="00F434B0">
              <w:rPr>
                <w:rFonts w:cs="Arial"/>
                <w:sz w:val="20"/>
                <w:szCs w:val="20"/>
              </w:rPr>
              <w:t>Strathern</w:t>
            </w:r>
            <w:proofErr w:type="spellEnd"/>
            <w:r w:rsidRPr="00F434B0">
              <w:rPr>
                <w:rFonts w:cs="Arial"/>
                <w:sz w:val="20"/>
                <w:szCs w:val="20"/>
              </w:rPr>
              <w:t xml:space="preserve"> 1981, eine Ethnographie zu Verwandtschaft in einem Dorf in Essex). Im Nachdenken über Veränderungsprozesse in westlichen/ euroamerikanischen/ globalisierenden Gegenwartsgesellschaften mobilisiert </w:t>
            </w:r>
            <w:proofErr w:type="spellStart"/>
            <w:r w:rsidRPr="00F434B0">
              <w:rPr>
                <w:rFonts w:cs="Arial"/>
                <w:sz w:val="20"/>
                <w:szCs w:val="20"/>
              </w:rPr>
              <w:t>Strathern</w:t>
            </w:r>
            <w:proofErr w:type="spellEnd"/>
            <w:r w:rsidRPr="00F434B0">
              <w:rPr>
                <w:rFonts w:cs="Arial"/>
                <w:sz w:val="20"/>
                <w:szCs w:val="20"/>
              </w:rPr>
              <w:t xml:space="preserve"> Kategorien und Konzepte aus der Gegend von Mount Hagen und benutzt diese für Analogiebildungen und relationale Bezugnahmen. Das gegenseitige Beleuchten und Durcharbeiten von europäischen und melanesischen Vorstellungsweisen und Begriffen bieten ihr Denkmöglichkeiten, um den für westliche Wissenschaften und Alltagswelten selbstverständlichen Formen </w:t>
            </w:r>
            <w:proofErr w:type="gramStart"/>
            <w:r w:rsidRPr="00F434B0">
              <w:rPr>
                <w:rFonts w:cs="Arial"/>
                <w:sz w:val="20"/>
                <w:szCs w:val="20"/>
              </w:rPr>
              <w:t>des Nachdenken</w:t>
            </w:r>
            <w:proofErr w:type="gramEnd"/>
            <w:r w:rsidRPr="00F434B0">
              <w:rPr>
                <w:rFonts w:cs="Arial"/>
                <w:sz w:val="20"/>
                <w:szCs w:val="20"/>
              </w:rPr>
              <w:t xml:space="preserve"> über die eigene Kultur und Gesellschaft auf die Spur zu kommen. Wie sie damit das Thema Reproduktion – Verwandtschaft – Geschlecht aufschließt, soll im Folgenden veranschaulicht werden.</w:t>
            </w:r>
          </w:p>
        </w:tc>
      </w:tr>
      <w:tr w:rsidR="00AA3741" w:rsidRPr="00C41F11" w14:paraId="4F031020" w14:textId="77777777" w:rsidTr="00563E54">
        <w:tc>
          <w:tcPr>
            <w:tcW w:w="4390" w:type="dxa"/>
            <w:shd w:val="clear" w:color="auto" w:fill="FFD966" w:themeFill="accent4" w:themeFillTint="99"/>
          </w:tcPr>
          <w:p w14:paraId="37970774" w14:textId="77777777" w:rsidR="00AA3741" w:rsidRPr="0075314A" w:rsidRDefault="00AA3741" w:rsidP="003A5925">
            <w:pPr>
              <w:spacing w:before="0" w:line="240" w:lineRule="auto"/>
              <w:jc w:val="left"/>
              <w:rPr>
                <w:rFonts w:cs="Arial"/>
                <w:sz w:val="20"/>
                <w:szCs w:val="20"/>
                <w:lang w:val="en-US"/>
              </w:rPr>
            </w:pPr>
            <w:commentRangeStart w:id="9"/>
            <w:proofErr w:type="spellStart"/>
            <w:r w:rsidRPr="00F434B0">
              <w:rPr>
                <w:rFonts w:cs="Arial"/>
                <w:sz w:val="20"/>
                <w:szCs w:val="20"/>
                <w:lang w:val="en-US"/>
              </w:rPr>
              <w:lastRenderedPageBreak/>
              <w:t>Kotre</w:t>
            </w:r>
            <w:commentRangeEnd w:id="9"/>
            <w:proofErr w:type="spellEnd"/>
            <w:r w:rsidRPr="00F434B0">
              <w:rPr>
                <w:rStyle w:val="Kommentarzeichen"/>
                <w:rFonts w:cs="Arial"/>
                <w:sz w:val="20"/>
                <w:szCs w:val="20"/>
              </w:rPr>
              <w:commentReference w:id="9"/>
            </w:r>
            <w:r w:rsidRPr="00F434B0">
              <w:rPr>
                <w:rFonts w:cs="Arial"/>
                <w:sz w:val="20"/>
                <w:szCs w:val="20"/>
                <w:lang w:val="en-US"/>
              </w:rPr>
              <w:t>, J</w:t>
            </w:r>
            <w:r>
              <w:rPr>
                <w:rFonts w:cs="Arial"/>
                <w:sz w:val="20"/>
                <w:szCs w:val="20"/>
                <w:lang w:val="en-US"/>
              </w:rPr>
              <w:t>ohn</w:t>
            </w:r>
            <w:r w:rsidRPr="00F434B0">
              <w:rPr>
                <w:rFonts w:cs="Arial"/>
                <w:sz w:val="20"/>
                <w:szCs w:val="20"/>
                <w:lang w:val="en-US"/>
              </w:rPr>
              <w:t xml:space="preserve">. 2004. Generativity and Culture: What Meaning Can Do. In </w:t>
            </w:r>
            <w:r w:rsidRPr="00C25797">
              <w:rPr>
                <w:rFonts w:cs="Arial"/>
                <w:i/>
                <w:iCs/>
                <w:sz w:val="20"/>
                <w:szCs w:val="20"/>
                <w:lang w:val="en-US"/>
              </w:rPr>
              <w:t>The Generative Society: Caring for Future Generations</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xml:space="preserve">. von Ed de St. Aubin, Dan P. McAdams und Tae-Chang, </w:t>
            </w:r>
            <w:r w:rsidRPr="00F434B0">
              <w:rPr>
                <w:rFonts w:cs="Arial"/>
                <w:sz w:val="20"/>
                <w:szCs w:val="20"/>
                <w:lang w:val="en-US"/>
              </w:rPr>
              <w:t>35–49. American Psychological Association. https://doi.org/10.1037/10622-003</w:t>
            </w:r>
          </w:p>
        </w:tc>
        <w:tc>
          <w:tcPr>
            <w:tcW w:w="10064" w:type="dxa"/>
          </w:tcPr>
          <w:p w14:paraId="3805BBD1"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John </w:t>
            </w:r>
            <w:proofErr w:type="spellStart"/>
            <w:r w:rsidRPr="00F434B0">
              <w:rPr>
                <w:rFonts w:cs="Arial"/>
                <w:sz w:val="20"/>
                <w:szCs w:val="20"/>
                <w:lang w:val="en-US"/>
              </w:rPr>
              <w:t>Kotre</w:t>
            </w:r>
            <w:proofErr w:type="spellEnd"/>
            <w:r w:rsidRPr="00F434B0">
              <w:rPr>
                <w:rFonts w:cs="Arial"/>
                <w:sz w:val="20"/>
                <w:szCs w:val="20"/>
                <w:lang w:val="en-US"/>
              </w:rPr>
              <w:t xml:space="preserve"> asks what makes any culture--a school culture, church culture, sports culture--generative? Among the key components of a thriving generative culture, he argues, is a rich and inspiring store of narratives that people can draw on to provide their lives with meaning and purpose. Among other things, a generative society passes on and transforms narratives that affirm some aspect of the shared past while inviting people to move confidently into a welcoming future, even if they do not know what exactly the future will bring.</w:t>
            </w:r>
          </w:p>
        </w:tc>
      </w:tr>
      <w:tr w:rsidR="00AA3741" w:rsidRPr="00F434B0" w14:paraId="395D64A3" w14:textId="77777777" w:rsidTr="004E0FAF">
        <w:tc>
          <w:tcPr>
            <w:tcW w:w="4390" w:type="dxa"/>
            <w:shd w:val="clear" w:color="auto" w:fill="E482D1"/>
          </w:tcPr>
          <w:p w14:paraId="438E753D" w14:textId="77777777" w:rsidR="00AA3741" w:rsidRPr="00F434B0" w:rsidRDefault="00AA3741" w:rsidP="003A5925">
            <w:pPr>
              <w:spacing w:before="0" w:line="240" w:lineRule="auto"/>
              <w:jc w:val="left"/>
              <w:rPr>
                <w:rFonts w:cs="Arial"/>
                <w:sz w:val="20"/>
                <w:szCs w:val="20"/>
              </w:rPr>
            </w:pPr>
            <w:r w:rsidRPr="00F434B0">
              <w:rPr>
                <w:rFonts w:cs="Arial"/>
                <w:sz w:val="20"/>
                <w:szCs w:val="20"/>
              </w:rPr>
              <w:t>Kuster, F</w:t>
            </w:r>
            <w:r>
              <w:rPr>
                <w:rFonts w:cs="Arial"/>
                <w:sz w:val="20"/>
                <w:szCs w:val="20"/>
              </w:rPr>
              <w:t xml:space="preserve">riederike und Katharina </w:t>
            </w:r>
            <w:r w:rsidRPr="00F434B0">
              <w:rPr>
                <w:rFonts w:cs="Arial"/>
                <w:sz w:val="20"/>
                <w:szCs w:val="20"/>
              </w:rPr>
              <w:t>Liebsch.</w:t>
            </w:r>
            <w:r>
              <w:rPr>
                <w:rFonts w:cs="Arial"/>
                <w:sz w:val="20"/>
                <w:szCs w:val="20"/>
              </w:rPr>
              <w:t xml:space="preserve"> </w:t>
            </w:r>
            <w:r w:rsidRPr="00F434B0">
              <w:rPr>
                <w:rFonts w:cs="Arial"/>
                <w:sz w:val="20"/>
                <w:szCs w:val="20"/>
              </w:rPr>
              <w:t xml:space="preserve">2019. Einleitung: Reproduktionstechnologien, Generativität, Verwandtschaft. </w:t>
            </w:r>
            <w:r w:rsidRPr="00C656FE">
              <w:rPr>
                <w:rFonts w:cs="Arial"/>
                <w:i/>
                <w:iCs/>
                <w:sz w:val="20"/>
                <w:szCs w:val="20"/>
              </w:rPr>
              <w:t>Feministische Studien</w:t>
            </w:r>
            <w:r>
              <w:rPr>
                <w:rFonts w:cs="Arial"/>
                <w:i/>
                <w:iCs/>
                <w:sz w:val="20"/>
                <w:szCs w:val="20"/>
              </w:rPr>
              <w:t xml:space="preserve"> </w:t>
            </w:r>
            <w:r w:rsidRPr="00F434B0">
              <w:rPr>
                <w:rFonts w:cs="Arial"/>
                <w:sz w:val="20"/>
                <w:szCs w:val="20"/>
              </w:rPr>
              <w:t>37</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3-12.</w:t>
            </w:r>
          </w:p>
        </w:tc>
        <w:tc>
          <w:tcPr>
            <w:tcW w:w="10064" w:type="dxa"/>
          </w:tcPr>
          <w:p w14:paraId="4B34884A" w14:textId="77777777" w:rsidR="00AA3741" w:rsidRPr="00F434B0" w:rsidRDefault="00AA3741" w:rsidP="003A5925">
            <w:pPr>
              <w:spacing w:before="0" w:line="240" w:lineRule="auto"/>
              <w:jc w:val="left"/>
              <w:rPr>
                <w:rFonts w:cs="Arial"/>
                <w:sz w:val="20"/>
                <w:szCs w:val="20"/>
              </w:rPr>
            </w:pPr>
            <w:r w:rsidRPr="00F434B0">
              <w:rPr>
                <w:rFonts w:cs="Arial"/>
                <w:sz w:val="20"/>
                <w:szCs w:val="20"/>
              </w:rPr>
              <w:t>Kein Abstract</w:t>
            </w:r>
          </w:p>
        </w:tc>
      </w:tr>
      <w:tr w:rsidR="00AA3741" w:rsidRPr="00F434B0" w14:paraId="3B314F74" w14:textId="77777777" w:rsidTr="004E0FAF">
        <w:tc>
          <w:tcPr>
            <w:tcW w:w="4390" w:type="dxa"/>
            <w:shd w:val="clear" w:color="auto" w:fill="E482D1"/>
          </w:tcPr>
          <w:p w14:paraId="4EEA8E51" w14:textId="77777777" w:rsidR="00AA3741" w:rsidRPr="00F434B0" w:rsidRDefault="00AA3741" w:rsidP="003A5925">
            <w:pPr>
              <w:spacing w:before="0" w:line="240" w:lineRule="auto"/>
              <w:jc w:val="left"/>
              <w:rPr>
                <w:rFonts w:cs="Arial"/>
                <w:sz w:val="20"/>
                <w:szCs w:val="20"/>
              </w:rPr>
            </w:pPr>
            <w:r w:rsidRPr="00867F19">
              <w:rPr>
                <w:rFonts w:cs="Arial"/>
                <w:sz w:val="20"/>
                <w:szCs w:val="20"/>
              </w:rPr>
              <w:t>Kuster</w:t>
            </w:r>
            <w:r w:rsidRPr="00F434B0">
              <w:rPr>
                <w:rFonts w:cs="Arial"/>
                <w:sz w:val="20"/>
                <w:szCs w:val="20"/>
              </w:rPr>
              <w:t>, F</w:t>
            </w:r>
            <w:r>
              <w:rPr>
                <w:rFonts w:cs="Arial"/>
                <w:sz w:val="20"/>
                <w:szCs w:val="20"/>
              </w:rPr>
              <w:t>riederike</w:t>
            </w:r>
            <w:r w:rsidRPr="00F434B0">
              <w:rPr>
                <w:rFonts w:cs="Arial"/>
                <w:sz w:val="20"/>
                <w:szCs w:val="20"/>
              </w:rPr>
              <w:t>. 2019. Mann – Frau: die konstitutive Differenz der Geschlechterforschung. In</w:t>
            </w:r>
            <w:r>
              <w:rPr>
                <w:rFonts w:cs="Arial"/>
                <w:sz w:val="20"/>
                <w:szCs w:val="20"/>
              </w:rPr>
              <w:t xml:space="preserve"> </w:t>
            </w:r>
            <w:r w:rsidRPr="006133F8">
              <w:rPr>
                <w:rFonts w:cs="Arial"/>
                <w:i/>
                <w:iCs/>
                <w:sz w:val="20"/>
                <w:szCs w:val="20"/>
              </w:rPr>
              <w:t>Handbuch Interdisziplinäre Geschlechterforschung</w:t>
            </w:r>
            <w:r>
              <w:rPr>
                <w:rFonts w:cs="Arial"/>
                <w:sz w:val="20"/>
                <w:szCs w:val="20"/>
              </w:rPr>
              <w:t>, hrsg. von 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 xml:space="preserve">, 3-12.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t>
            </w:r>
            <w:r w:rsidRPr="00F434B0">
              <w:rPr>
                <w:rFonts w:cs="Arial"/>
                <w:sz w:val="20"/>
                <w:szCs w:val="20"/>
              </w:rPr>
              <w:t>Wiesbaden</w:t>
            </w:r>
            <w:r>
              <w:rPr>
                <w:rFonts w:cs="Arial"/>
                <w:sz w:val="20"/>
                <w:szCs w:val="20"/>
              </w:rPr>
              <w:t xml:space="preserve">: </w:t>
            </w:r>
            <w:r w:rsidRPr="00F434B0">
              <w:rPr>
                <w:rFonts w:cs="Arial"/>
                <w:sz w:val="20"/>
                <w:szCs w:val="20"/>
              </w:rPr>
              <w:t>Springer VS. https://doi.org/10.1007/978-3-658-12496-0_3</w:t>
            </w:r>
          </w:p>
        </w:tc>
        <w:tc>
          <w:tcPr>
            <w:tcW w:w="10064" w:type="dxa"/>
          </w:tcPr>
          <w:p w14:paraId="17628FBF" w14:textId="77777777" w:rsidR="00AA3741" w:rsidRPr="00F434B0" w:rsidRDefault="00AA3741" w:rsidP="0035101C">
            <w:pPr>
              <w:spacing w:before="0" w:line="240" w:lineRule="auto"/>
              <w:jc w:val="left"/>
              <w:rPr>
                <w:rFonts w:cs="Arial"/>
                <w:sz w:val="20"/>
                <w:szCs w:val="20"/>
              </w:rPr>
            </w:pPr>
            <w:r w:rsidRPr="00F434B0">
              <w:rPr>
                <w:rFonts w:cs="Arial"/>
                <w:sz w:val="20"/>
                <w:szCs w:val="20"/>
              </w:rPr>
              <w:t xml:space="preserve">Für die Geschlechterforschung markiert der Mann-Frau-Dualismus den Ausgangspunkt, seine Auflösung den aktuellen Endpunkt. Die historische Rekonstruktion vergegenwärtigt die traditionellen kulturellen Definitionen und die damit verbundenen gesellschaftlichen Funktionsanweisungen der Geschlechter und bildet die Basis für die kritisch-emanzipative Erforschung der gegenwärtigen Geschlechterverhältnisse als vielgestaltiger Macht- und Ungleichheitsverhältnisse. Die weitergehende Problematisierung von Geschlecht an sich und die Erforschung seiner kulturell-sozialen Herstellungsbedingungen fokussieren den Geschlechtsdualismus bis in seine natürlichen Voraussetzungen als eine gesellschaftliche Konstruktion mit normativen Implikationen. </w:t>
            </w:r>
          </w:p>
        </w:tc>
      </w:tr>
      <w:tr w:rsidR="00AA3741" w:rsidRPr="00F434B0" w14:paraId="14075AF3" w14:textId="77777777" w:rsidTr="00151455">
        <w:tc>
          <w:tcPr>
            <w:tcW w:w="4390" w:type="dxa"/>
            <w:shd w:val="clear" w:color="auto" w:fill="FFD966" w:themeFill="accent4" w:themeFillTint="99"/>
          </w:tcPr>
          <w:p w14:paraId="6DC1F067"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Landweer</w:t>
            </w:r>
            <w:proofErr w:type="spellEnd"/>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 xml:space="preserve">. 1993. Kritik und Verteidigung der Kategorie Geschlecht: </w:t>
            </w:r>
            <w:proofErr w:type="spellStart"/>
            <w:r w:rsidRPr="00F434B0">
              <w:rPr>
                <w:rFonts w:cs="Arial"/>
                <w:sz w:val="20"/>
                <w:szCs w:val="20"/>
              </w:rPr>
              <w:t>Wahrnehmungs-und</w:t>
            </w:r>
            <w:proofErr w:type="spellEnd"/>
            <w:r w:rsidRPr="00F434B0">
              <w:rPr>
                <w:rFonts w:cs="Arial"/>
                <w:sz w:val="20"/>
                <w:szCs w:val="20"/>
              </w:rPr>
              <w:t xml:space="preserve"> symboltheoretische Überlegungen zur sex/gender-Unterscheidung. </w:t>
            </w:r>
            <w:r w:rsidRPr="007F1CF8">
              <w:rPr>
                <w:rFonts w:cs="Arial"/>
                <w:i/>
                <w:iCs/>
                <w:sz w:val="20"/>
                <w:szCs w:val="20"/>
              </w:rPr>
              <w:t>Feministische Studien</w:t>
            </w:r>
            <w:r>
              <w:rPr>
                <w:rFonts w:cs="Arial"/>
                <w:i/>
                <w:iCs/>
                <w:sz w:val="20"/>
                <w:szCs w:val="20"/>
              </w:rPr>
              <w:t xml:space="preserve"> </w:t>
            </w:r>
            <w:r w:rsidRPr="00F434B0">
              <w:rPr>
                <w:rFonts w:cs="Arial"/>
                <w:sz w:val="20"/>
                <w:szCs w:val="20"/>
              </w:rPr>
              <w:t>11(2)</w:t>
            </w:r>
            <w:r>
              <w:rPr>
                <w:rFonts w:cs="Arial"/>
                <w:sz w:val="20"/>
                <w:szCs w:val="20"/>
              </w:rPr>
              <w:t>:</w:t>
            </w:r>
            <w:r w:rsidRPr="00F434B0">
              <w:rPr>
                <w:rFonts w:cs="Arial"/>
                <w:sz w:val="20"/>
                <w:szCs w:val="20"/>
              </w:rPr>
              <w:t xml:space="preserve"> 34-43.</w:t>
            </w:r>
          </w:p>
        </w:tc>
        <w:tc>
          <w:tcPr>
            <w:tcW w:w="10064" w:type="dxa"/>
          </w:tcPr>
          <w:p w14:paraId="44308266" w14:textId="77777777" w:rsidR="00AA3741" w:rsidRPr="00F434B0" w:rsidRDefault="00AA3741" w:rsidP="003A5925">
            <w:pPr>
              <w:spacing w:before="0" w:line="240" w:lineRule="auto"/>
              <w:jc w:val="left"/>
              <w:rPr>
                <w:rFonts w:cs="Arial"/>
                <w:sz w:val="20"/>
                <w:szCs w:val="20"/>
              </w:rPr>
            </w:pPr>
            <w:r w:rsidRPr="00F434B0">
              <w:rPr>
                <w:rFonts w:cs="Arial"/>
                <w:sz w:val="20"/>
                <w:szCs w:val="20"/>
              </w:rPr>
              <w:t>Kein Abstract</w:t>
            </w:r>
          </w:p>
        </w:tc>
      </w:tr>
      <w:tr w:rsidR="00AA3741" w:rsidRPr="00F434B0" w14:paraId="71E3CEE0" w14:textId="77777777" w:rsidTr="00151455">
        <w:tc>
          <w:tcPr>
            <w:tcW w:w="4390" w:type="dxa"/>
            <w:shd w:val="clear" w:color="auto" w:fill="FFD966" w:themeFill="accent4" w:themeFillTint="99"/>
          </w:tcPr>
          <w:p w14:paraId="7938D239" w14:textId="77777777" w:rsidR="00AA3741" w:rsidRPr="00F434B0" w:rsidRDefault="00AA3741" w:rsidP="003A5925">
            <w:pPr>
              <w:spacing w:before="0" w:line="240" w:lineRule="auto"/>
              <w:jc w:val="left"/>
              <w:rPr>
                <w:rFonts w:cs="Arial"/>
                <w:sz w:val="20"/>
                <w:szCs w:val="20"/>
              </w:rPr>
            </w:pPr>
            <w:commentRangeStart w:id="10"/>
            <w:commentRangeStart w:id="11"/>
            <w:proofErr w:type="spellStart"/>
            <w:r w:rsidRPr="00F434B0">
              <w:rPr>
                <w:rFonts w:cs="Arial"/>
                <w:sz w:val="20"/>
                <w:szCs w:val="20"/>
              </w:rPr>
              <w:t>Landweer</w:t>
            </w:r>
            <w:commentRangeEnd w:id="10"/>
            <w:proofErr w:type="spellEnd"/>
            <w:r w:rsidRPr="00F434B0">
              <w:rPr>
                <w:rStyle w:val="Kommentarzeichen"/>
                <w:rFonts w:cs="Arial"/>
                <w:sz w:val="20"/>
                <w:szCs w:val="20"/>
              </w:rPr>
              <w:commentReference w:id="10"/>
            </w:r>
            <w:commentRangeEnd w:id="11"/>
            <w:r>
              <w:rPr>
                <w:rStyle w:val="Kommentarzeichen"/>
              </w:rPr>
              <w:commentReference w:id="11"/>
            </w:r>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 199</w:t>
            </w:r>
            <w:r>
              <w:rPr>
                <w:rFonts w:cs="Arial"/>
                <w:sz w:val="20"/>
                <w:szCs w:val="20"/>
              </w:rPr>
              <w:t>4</w:t>
            </w:r>
            <w:r w:rsidRPr="00F434B0">
              <w:rPr>
                <w:rFonts w:cs="Arial"/>
                <w:sz w:val="20"/>
                <w:szCs w:val="20"/>
              </w:rPr>
              <w:t>. Generativität und Geschlecht: ein blinder Fleck in der sex/gender-Debatte</w:t>
            </w:r>
            <w:r>
              <w:rPr>
                <w:rFonts w:cs="Arial"/>
                <w:sz w:val="20"/>
                <w:szCs w:val="20"/>
              </w:rPr>
              <w:t xml:space="preserve">. In Denkachsen. Zur theoretischen </w:t>
            </w:r>
            <w:r>
              <w:rPr>
                <w:rFonts w:cs="Arial"/>
                <w:sz w:val="20"/>
                <w:szCs w:val="20"/>
              </w:rPr>
              <w:lastRenderedPageBreak/>
              <w:t xml:space="preserve">und institutionellen Rede vom Geschlecht, hrsg. Von Theresa Wobbe und Gesa Lindemann. Gender Studies, </w:t>
            </w:r>
            <w:r w:rsidRPr="00F434B0">
              <w:rPr>
                <w:rFonts w:cs="Arial"/>
                <w:sz w:val="20"/>
                <w:szCs w:val="20"/>
              </w:rPr>
              <w:t xml:space="preserve">147-176. </w:t>
            </w:r>
            <w:r>
              <w:rPr>
                <w:rFonts w:cs="Arial"/>
                <w:sz w:val="20"/>
                <w:szCs w:val="20"/>
              </w:rPr>
              <w:t xml:space="preserve">Frankfurt am Main: </w:t>
            </w:r>
            <w:r w:rsidRPr="00F434B0">
              <w:rPr>
                <w:rFonts w:cs="Arial"/>
                <w:sz w:val="20"/>
                <w:szCs w:val="20"/>
              </w:rPr>
              <w:t>Suhrkamp.</w:t>
            </w:r>
          </w:p>
        </w:tc>
        <w:tc>
          <w:tcPr>
            <w:tcW w:w="10064" w:type="dxa"/>
          </w:tcPr>
          <w:p w14:paraId="13E5CC85"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Kein Abstract</w:t>
            </w:r>
          </w:p>
        </w:tc>
      </w:tr>
      <w:tr w:rsidR="00AA3741" w:rsidRPr="00F434B0" w14:paraId="5E34B689" w14:textId="77777777" w:rsidTr="00151455">
        <w:tc>
          <w:tcPr>
            <w:tcW w:w="4390" w:type="dxa"/>
            <w:shd w:val="clear" w:color="auto" w:fill="FFD966" w:themeFill="accent4" w:themeFillTint="99"/>
          </w:tcPr>
          <w:p w14:paraId="4B8448EE"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Landweer</w:t>
            </w:r>
            <w:proofErr w:type="spellEnd"/>
            <w:r w:rsidRPr="00F434B0">
              <w:rPr>
                <w:rFonts w:cs="Arial"/>
                <w:sz w:val="20"/>
                <w:szCs w:val="20"/>
              </w:rPr>
              <w:t xml:space="preserve">, </w:t>
            </w:r>
            <w:proofErr w:type="spellStart"/>
            <w:r w:rsidRPr="00F434B0">
              <w:rPr>
                <w:rFonts w:cs="Arial"/>
                <w:sz w:val="20"/>
                <w:szCs w:val="20"/>
              </w:rPr>
              <w:t>H</w:t>
            </w:r>
            <w:r>
              <w:rPr>
                <w:rFonts w:cs="Arial"/>
                <w:sz w:val="20"/>
                <w:szCs w:val="20"/>
              </w:rPr>
              <w:t>ilge</w:t>
            </w:r>
            <w:proofErr w:type="spellEnd"/>
            <w:r w:rsidRPr="00F434B0">
              <w:rPr>
                <w:rFonts w:cs="Arial"/>
                <w:sz w:val="20"/>
                <w:szCs w:val="20"/>
              </w:rPr>
              <w:t>.</w:t>
            </w:r>
            <w:r>
              <w:rPr>
                <w:rFonts w:cs="Arial"/>
                <w:sz w:val="20"/>
                <w:szCs w:val="20"/>
              </w:rPr>
              <w:t xml:space="preserve"> </w:t>
            </w:r>
            <w:r w:rsidRPr="00F434B0">
              <w:rPr>
                <w:rFonts w:cs="Arial"/>
                <w:sz w:val="20"/>
                <w:szCs w:val="20"/>
              </w:rPr>
              <w:t xml:space="preserve">1999. Anthropologische, soziale und moralische Grenzen der Vervielfältigung der Geschlechter. </w:t>
            </w:r>
            <w:r w:rsidRPr="00E17285">
              <w:rPr>
                <w:rFonts w:cs="Arial"/>
                <w:i/>
                <w:iCs/>
                <w:sz w:val="20"/>
                <w:szCs w:val="20"/>
              </w:rPr>
              <w:t xml:space="preserve">FGS–Freiburger </w:t>
            </w:r>
            <w:proofErr w:type="spellStart"/>
            <w:r w:rsidRPr="00E17285">
              <w:rPr>
                <w:rFonts w:cs="Arial"/>
                <w:i/>
                <w:iCs/>
                <w:sz w:val="20"/>
                <w:szCs w:val="20"/>
              </w:rPr>
              <w:t>GeschlechterStudien</w:t>
            </w:r>
            <w:proofErr w:type="spellEnd"/>
            <w:r w:rsidRPr="00F434B0">
              <w:rPr>
                <w:rFonts w:cs="Arial"/>
                <w:sz w:val="20"/>
                <w:szCs w:val="20"/>
              </w:rPr>
              <w:t xml:space="preserve"> 5(1)</w:t>
            </w:r>
            <w:r>
              <w:rPr>
                <w:rFonts w:cs="Arial"/>
                <w:sz w:val="20"/>
                <w:szCs w:val="20"/>
              </w:rPr>
              <w:t>:</w:t>
            </w:r>
            <w:r w:rsidRPr="00F434B0">
              <w:rPr>
                <w:rFonts w:cs="Arial"/>
                <w:sz w:val="20"/>
                <w:szCs w:val="20"/>
              </w:rPr>
              <w:t xml:space="preserve"> 21-22.</w:t>
            </w:r>
          </w:p>
        </w:tc>
        <w:tc>
          <w:tcPr>
            <w:tcW w:w="10064" w:type="dxa"/>
          </w:tcPr>
          <w:p w14:paraId="2CEEBF7C"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Die Geschlechterforschung bearbeitet </w:t>
            </w:r>
            <w:proofErr w:type="gramStart"/>
            <w:r w:rsidRPr="00F434B0">
              <w:rPr>
                <w:rFonts w:cs="Arial"/>
                <w:sz w:val="20"/>
                <w:szCs w:val="20"/>
              </w:rPr>
              <w:t>seit ihren Anfangen</w:t>
            </w:r>
            <w:proofErr w:type="gramEnd"/>
            <w:r w:rsidRPr="00F434B0">
              <w:rPr>
                <w:rFonts w:cs="Arial"/>
                <w:sz w:val="20"/>
                <w:szCs w:val="20"/>
              </w:rPr>
              <w:t xml:space="preserve"> vor ca. dreißig Jahren in vielen verschiedenen Feldern und Hinsichten die Frage, wie sehr 'der Mensch' - und das schließt Männer und Frauen ein- faktisch-kulturell durch seine </w:t>
            </w:r>
            <w:proofErr w:type="spellStart"/>
            <w:r w:rsidRPr="00F434B0">
              <w:rPr>
                <w:rFonts w:cs="Arial"/>
                <w:sz w:val="20"/>
                <w:szCs w:val="20"/>
              </w:rPr>
              <w:t>Geschlechthchkeit</w:t>
            </w:r>
            <w:proofErr w:type="spellEnd"/>
            <w:r w:rsidRPr="00F434B0">
              <w:rPr>
                <w:rFonts w:cs="Arial"/>
                <w:sz w:val="20"/>
                <w:szCs w:val="20"/>
              </w:rPr>
              <w:t xml:space="preserve"> bestimmt ist, ob er dadurch notwendig bestimmt sein müsse und bestimmt sein sollte, und wie die sozialen Bedingungen transformiert werden </w:t>
            </w:r>
            <w:proofErr w:type="spellStart"/>
            <w:r w:rsidRPr="00F434B0">
              <w:rPr>
                <w:rFonts w:cs="Arial"/>
                <w:sz w:val="20"/>
                <w:szCs w:val="20"/>
              </w:rPr>
              <w:t>müßten</w:t>
            </w:r>
            <w:proofErr w:type="spellEnd"/>
            <w:r w:rsidRPr="00F434B0">
              <w:rPr>
                <w:rFonts w:cs="Arial"/>
                <w:sz w:val="20"/>
                <w:szCs w:val="20"/>
              </w:rPr>
              <w:t>, um möglichst vielfaltige Lebensentwürfe für beide Geschlechter zu ermöglichen. Sie untersucht u.a. Kunst, Literatur und Theorie im Hinblick auf ihre Rolle für die jeweils kulturtypische Auffassung von Geschlecht, Männlichkeit und Weiblichkeit. Die Ausgangsfrage ist inzwischen leicht modifiziert worden; deutlicher als früher wird sie historisiert und auf den jeweiligen kulturellen Kontext bezogen, da Relevanz und Bedeutung von Geschlecht (</w:t>
            </w:r>
            <w:proofErr w:type="spellStart"/>
            <w:r w:rsidRPr="00F434B0">
              <w:rPr>
                <w:rFonts w:cs="Arial"/>
                <w:sz w:val="20"/>
                <w:szCs w:val="20"/>
              </w:rPr>
              <w:t>sub</w:t>
            </w:r>
            <w:proofErr w:type="spellEnd"/>
            <w:r w:rsidRPr="00F434B0">
              <w:rPr>
                <w:rFonts w:cs="Arial"/>
                <w:sz w:val="20"/>
                <w:szCs w:val="20"/>
              </w:rPr>
              <w:t xml:space="preserve">)kultur- und situationsspezifisch stark variieren. Ich möchte mich hier mit dem Verhältnis von anthropologischen und normativen Annahmen in der neueren Auseinandersetzung um die Geschlechterklassifikation beschäftigen. Sowohl von sozialkonstruktivistischen wie auch von dekonstruktiven Positionen aus wird gezeigt, </w:t>
            </w:r>
            <w:proofErr w:type="spellStart"/>
            <w:r w:rsidRPr="00F434B0">
              <w:rPr>
                <w:rFonts w:cs="Arial"/>
                <w:sz w:val="20"/>
                <w:szCs w:val="20"/>
              </w:rPr>
              <w:t>daß</w:t>
            </w:r>
            <w:proofErr w:type="spellEnd"/>
            <w:r w:rsidRPr="00F434B0">
              <w:rPr>
                <w:rFonts w:cs="Arial"/>
                <w:sz w:val="20"/>
                <w:szCs w:val="20"/>
              </w:rPr>
              <w:t xml:space="preserve"> die Zweigeschlechtlichkeit nicht ein </w:t>
            </w:r>
            <w:proofErr w:type="spellStart"/>
            <w:r w:rsidRPr="00F434B0">
              <w:rPr>
                <w:rFonts w:cs="Arial"/>
                <w:sz w:val="20"/>
                <w:szCs w:val="20"/>
              </w:rPr>
              <w:t>naturales</w:t>
            </w:r>
            <w:proofErr w:type="spellEnd"/>
            <w:r w:rsidRPr="00F434B0">
              <w:rPr>
                <w:rFonts w:cs="Arial"/>
                <w:sz w:val="20"/>
                <w:szCs w:val="20"/>
              </w:rPr>
              <w:t xml:space="preserve"> Substrat ist, sondern in Interaktionen und Texten als ein quasi-natürlicher Effekt hergestellt wird. Manche Autorinnen vertreten dabei die Meinung, </w:t>
            </w:r>
            <w:proofErr w:type="spellStart"/>
            <w:r w:rsidRPr="00F434B0">
              <w:rPr>
                <w:rFonts w:cs="Arial"/>
                <w:sz w:val="20"/>
                <w:szCs w:val="20"/>
              </w:rPr>
              <w:t>daß</w:t>
            </w:r>
            <w:proofErr w:type="spellEnd"/>
            <w:r w:rsidRPr="00F434B0">
              <w:rPr>
                <w:rFonts w:cs="Arial"/>
                <w:sz w:val="20"/>
                <w:szCs w:val="20"/>
              </w:rPr>
              <w:t xml:space="preserve"> eine Vervielfältigung der Geschlechter möglich und anzustreben sei, da der Zwang zur Zweigeschlechtlichkeit - man </w:t>
            </w:r>
            <w:proofErr w:type="spellStart"/>
            <w:r w:rsidRPr="00F434B0">
              <w:rPr>
                <w:rFonts w:cs="Arial"/>
                <w:sz w:val="20"/>
                <w:szCs w:val="20"/>
              </w:rPr>
              <w:t>muß</w:t>
            </w:r>
            <w:proofErr w:type="spellEnd"/>
            <w:r w:rsidRPr="00F434B0">
              <w:rPr>
                <w:rFonts w:cs="Arial"/>
                <w:sz w:val="20"/>
                <w:szCs w:val="20"/>
              </w:rPr>
              <w:t xml:space="preserve"> lebenslang einem von zwei Geschlechtern angehören - die Hierarchie von Männern und Frauen ermögliche, oder weitergehend noch: bedinge. </w:t>
            </w:r>
          </w:p>
        </w:tc>
      </w:tr>
      <w:tr w:rsidR="00AA3741" w:rsidRPr="00C41F11" w14:paraId="5F795306" w14:textId="77777777" w:rsidTr="0013002F">
        <w:tc>
          <w:tcPr>
            <w:tcW w:w="4390" w:type="dxa"/>
            <w:shd w:val="clear" w:color="auto" w:fill="FF66CC"/>
          </w:tcPr>
          <w:p w14:paraId="274B9258"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Macdonald, M</w:t>
            </w:r>
            <w:r>
              <w:rPr>
                <w:rFonts w:cs="Arial"/>
                <w:sz w:val="20"/>
                <w:szCs w:val="20"/>
                <w:lang w:val="en-US"/>
              </w:rPr>
              <w:t>argaret</w:t>
            </w:r>
            <w:r w:rsidRPr="00F434B0">
              <w:rPr>
                <w:rFonts w:cs="Arial"/>
                <w:sz w:val="20"/>
                <w:szCs w:val="20"/>
                <w:lang w:val="en-US"/>
              </w:rPr>
              <w:t xml:space="preserve">. 2006. Gender Expectations: Natural Bodies and Natural Births in the New Midwifery in Canada. </w:t>
            </w:r>
            <w:r w:rsidRPr="001C2486">
              <w:rPr>
                <w:rFonts w:cs="Arial"/>
                <w:i/>
                <w:iCs/>
                <w:sz w:val="20"/>
                <w:szCs w:val="20"/>
                <w:lang w:val="en-US"/>
              </w:rPr>
              <w:t>Medical Anthropology Quarterly</w:t>
            </w:r>
            <w:r w:rsidRPr="00F434B0">
              <w:rPr>
                <w:rFonts w:cs="Arial"/>
                <w:sz w:val="20"/>
                <w:szCs w:val="20"/>
                <w:lang w:val="en-US"/>
              </w:rPr>
              <w:t>, 20</w:t>
            </w:r>
            <w:r>
              <w:rPr>
                <w:rFonts w:cs="Arial"/>
                <w:sz w:val="20"/>
                <w:szCs w:val="20"/>
                <w:lang w:val="en-US"/>
              </w:rPr>
              <w:t xml:space="preserve"> </w:t>
            </w:r>
            <w:r w:rsidRPr="00F434B0">
              <w:rPr>
                <w:rFonts w:cs="Arial"/>
                <w:sz w:val="20"/>
                <w:szCs w:val="20"/>
                <w:lang w:val="en-US"/>
              </w:rPr>
              <w:t>(2)</w:t>
            </w:r>
            <w:r>
              <w:rPr>
                <w:rFonts w:cs="Arial"/>
                <w:sz w:val="20"/>
                <w:szCs w:val="20"/>
                <w:lang w:val="en-US"/>
              </w:rPr>
              <w:t>:</w:t>
            </w:r>
            <w:r w:rsidRPr="00F434B0">
              <w:rPr>
                <w:rFonts w:cs="Arial"/>
                <w:sz w:val="20"/>
                <w:szCs w:val="20"/>
                <w:lang w:val="en-US"/>
              </w:rPr>
              <w:t xml:space="preserve"> 235–256. http://www.jstor.org/stable/3655414</w:t>
            </w:r>
          </w:p>
        </w:tc>
        <w:tc>
          <w:tcPr>
            <w:tcW w:w="10064" w:type="dxa"/>
          </w:tcPr>
          <w:p w14:paraId="1939F504"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In this article, I examine the meaning of natural bodies and natural births in contemporary midwifery in Canada and explore the impact of these central concepts on the embodied experiences of pregnant and birthing women. The ideal of a natural birth has been used as a successful rhetorical strategy in scholarly and popular feminist works on childbirth to counter and critique the predominant biomedical or "technocratic" model of the pregnant and birthing body as inherently problematic and potentially dangerous to the fetus. Contemporary Canadian midwifery-which only as recently as 1994 made a historic transition from a grassroots social movement to a full profession within the public health care system-continues to work discursively through the idiom of nature to affect women's knowledge and experience of their bodies and selves in pregnancy and birth. However, my key finding in this ethnographic study, which focused primarily on midwifery in the province of Ontario in the years following professionalization, is that natural birth is being redefined by the personal, political, and pragmatic choices of midwives and their clients. I argue that the construction, negotiation, and experience of natural birth in contemporary midwifery both reflects and promotes a fundamental shift away from essentialized understandings as it makes room for biomedical technology and hospital spaces, underpinned by the midwifery logics of caring and choice. Natural birth in this context also carries important cultural messages-gender expectations-that posit women as persons and bodies as naturally competent and knowing.</w:t>
            </w:r>
          </w:p>
        </w:tc>
      </w:tr>
      <w:tr w:rsidR="00AA3741" w:rsidRPr="00C41F11" w14:paraId="3BDCFF0A" w14:textId="77777777" w:rsidTr="00ED724E">
        <w:tc>
          <w:tcPr>
            <w:tcW w:w="4390" w:type="dxa"/>
            <w:shd w:val="clear" w:color="auto" w:fill="FF66CC"/>
          </w:tcPr>
          <w:p w14:paraId="4C72EC57" w14:textId="77777777" w:rsidR="00AA3741" w:rsidRPr="00D86B06" w:rsidRDefault="00AA3741" w:rsidP="003A5925">
            <w:pPr>
              <w:spacing w:before="0" w:line="240" w:lineRule="auto"/>
              <w:jc w:val="left"/>
              <w:rPr>
                <w:rFonts w:cs="Arial"/>
                <w:sz w:val="20"/>
                <w:szCs w:val="20"/>
                <w:lang w:val="en-US"/>
              </w:rPr>
            </w:pPr>
            <w:r w:rsidRPr="00F434B0">
              <w:rPr>
                <w:rFonts w:cs="Arial"/>
                <w:sz w:val="20"/>
                <w:szCs w:val="20"/>
                <w:lang w:val="en-US"/>
              </w:rPr>
              <w:t>Mamo, L</w:t>
            </w:r>
            <w:r>
              <w:rPr>
                <w:rFonts w:cs="Arial"/>
                <w:sz w:val="20"/>
                <w:szCs w:val="20"/>
                <w:lang w:val="en-US"/>
              </w:rPr>
              <w:t>aura</w:t>
            </w:r>
            <w:r w:rsidRPr="00F434B0">
              <w:rPr>
                <w:rFonts w:cs="Arial"/>
                <w:sz w:val="20"/>
                <w:szCs w:val="20"/>
                <w:lang w:val="en-US"/>
              </w:rPr>
              <w:t xml:space="preserve">. 2007. Queering </w:t>
            </w:r>
            <w:r>
              <w:rPr>
                <w:rFonts w:cs="Arial"/>
                <w:sz w:val="20"/>
                <w:szCs w:val="20"/>
                <w:lang w:val="en-US"/>
              </w:rPr>
              <w:t>R</w:t>
            </w:r>
            <w:r w:rsidRPr="00F434B0">
              <w:rPr>
                <w:rFonts w:cs="Arial"/>
                <w:sz w:val="20"/>
                <w:szCs w:val="20"/>
                <w:lang w:val="en-US"/>
              </w:rPr>
              <w:t xml:space="preserve">eproduction: Achieving </w:t>
            </w:r>
            <w:r>
              <w:rPr>
                <w:rFonts w:cs="Arial"/>
                <w:sz w:val="20"/>
                <w:szCs w:val="20"/>
                <w:lang w:val="en-US"/>
              </w:rPr>
              <w:t>P</w:t>
            </w:r>
            <w:r w:rsidRPr="00F434B0">
              <w:rPr>
                <w:rFonts w:cs="Arial"/>
                <w:sz w:val="20"/>
                <w:szCs w:val="20"/>
                <w:lang w:val="en-US"/>
              </w:rPr>
              <w:t xml:space="preserve">regnancy in the </w:t>
            </w:r>
            <w:r>
              <w:rPr>
                <w:rFonts w:cs="Arial"/>
                <w:sz w:val="20"/>
                <w:szCs w:val="20"/>
                <w:lang w:val="en-US"/>
              </w:rPr>
              <w:t>A</w:t>
            </w:r>
            <w:r w:rsidRPr="00F434B0">
              <w:rPr>
                <w:rFonts w:cs="Arial"/>
                <w:sz w:val="20"/>
                <w:szCs w:val="20"/>
                <w:lang w:val="en-US"/>
              </w:rPr>
              <w:t xml:space="preserve">ge of </w:t>
            </w:r>
            <w:r>
              <w:rPr>
                <w:rFonts w:cs="Arial"/>
                <w:sz w:val="20"/>
                <w:szCs w:val="20"/>
                <w:lang w:val="en-US"/>
              </w:rPr>
              <w:t>T</w:t>
            </w:r>
            <w:r w:rsidRPr="00F434B0">
              <w:rPr>
                <w:rFonts w:cs="Arial"/>
                <w:sz w:val="20"/>
                <w:szCs w:val="20"/>
                <w:lang w:val="en-US"/>
              </w:rPr>
              <w:t xml:space="preserve">echnoscience. </w:t>
            </w:r>
            <w:r>
              <w:rPr>
                <w:rFonts w:cs="Arial"/>
                <w:sz w:val="20"/>
                <w:szCs w:val="20"/>
                <w:lang w:val="en-US"/>
              </w:rPr>
              <w:t xml:space="preserve">Durham/London: </w:t>
            </w:r>
            <w:r w:rsidRPr="00D86B06">
              <w:rPr>
                <w:rFonts w:cs="Arial"/>
                <w:sz w:val="20"/>
                <w:szCs w:val="20"/>
                <w:lang w:val="en-US"/>
              </w:rPr>
              <w:t>Duke University Press.</w:t>
            </w:r>
          </w:p>
        </w:tc>
        <w:tc>
          <w:tcPr>
            <w:tcW w:w="10064" w:type="dxa"/>
          </w:tcPr>
          <w:p w14:paraId="6FE1934E"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Originally developed to help heterosexual couples, fertility treatments such as in vitro fertilization and sperm donation have provided lesbians with new methods for achieving pregnancy during the past two decades. Queering Reproduction is an important sociological analysis of lesbians’ use of these medical fertility treatments. Drawing on in-depth interviews with lesbians who have been or are seeking to become pregnant, Laura Mamo describes how reproduction has become an intensely medicalized process for lesbians, who are </w:t>
            </w:r>
            <w:r w:rsidRPr="00F434B0">
              <w:rPr>
                <w:rFonts w:cs="Arial"/>
                <w:sz w:val="20"/>
                <w:szCs w:val="20"/>
                <w:lang w:val="en-US"/>
              </w:rPr>
              <w:lastRenderedPageBreak/>
              <w:t>transformed into fertility patients not (or not only) because of their physical conditions but because of their sexual identities. Mamo argues that this medicalization of reproduction has begun to shape queer subjectivities in both productive and troubling ways, destabilizing the assumed link between heterosexuality and parenthood while also reinforcing traditional, heteronormative ideals about motherhood and the imperative to reproduce.</w:t>
            </w:r>
          </w:p>
        </w:tc>
      </w:tr>
      <w:tr w:rsidR="00AA3741" w:rsidRPr="00F434B0" w14:paraId="2319F2C7" w14:textId="77777777" w:rsidTr="00703406">
        <w:tc>
          <w:tcPr>
            <w:tcW w:w="4390" w:type="dxa"/>
            <w:shd w:val="clear" w:color="auto" w:fill="E482D1"/>
          </w:tcPr>
          <w:p w14:paraId="2830E519" w14:textId="77777777" w:rsidR="00AA3741" w:rsidRPr="00F434B0" w:rsidRDefault="00AA3741" w:rsidP="003A5925">
            <w:pPr>
              <w:spacing w:before="0" w:line="240" w:lineRule="auto"/>
              <w:jc w:val="left"/>
              <w:rPr>
                <w:rFonts w:cs="Arial"/>
                <w:sz w:val="20"/>
                <w:szCs w:val="20"/>
              </w:rPr>
            </w:pPr>
            <w:r w:rsidRPr="00987AF7">
              <w:rPr>
                <w:rFonts w:cs="Arial"/>
                <w:sz w:val="20"/>
                <w:szCs w:val="20"/>
              </w:rPr>
              <w:lastRenderedPageBreak/>
              <w:t>Meier</w:t>
            </w:r>
            <w:r w:rsidRPr="00F434B0">
              <w:rPr>
                <w:rFonts w:cs="Arial"/>
                <w:sz w:val="20"/>
                <w:szCs w:val="20"/>
              </w:rPr>
              <w:t>-Gräwe, U</w:t>
            </w:r>
            <w:r>
              <w:rPr>
                <w:rFonts w:cs="Arial"/>
                <w:sz w:val="20"/>
                <w:szCs w:val="20"/>
              </w:rPr>
              <w:t>ta</w:t>
            </w:r>
            <w:r w:rsidRPr="00F434B0">
              <w:rPr>
                <w:rFonts w:cs="Arial"/>
                <w:sz w:val="20"/>
                <w:szCs w:val="20"/>
              </w:rPr>
              <w:t>. 2010. Erwerbsarbeit und generative Sorgearbeit neu bewerten und anders verteilen – Perspektiven einer gendersensiblen Lebenslaufpolitik in modernen Dienstleistungsgesellschaften. In</w:t>
            </w:r>
            <w:r>
              <w:rPr>
                <w:rFonts w:cs="Arial"/>
                <w:sz w:val="20"/>
                <w:szCs w:val="20"/>
              </w:rPr>
              <w:t xml:space="preserve"> </w:t>
            </w:r>
            <w:r w:rsidRPr="009C31F1">
              <w:rPr>
                <w:rFonts w:cs="Arial"/>
                <w:i/>
                <w:iCs/>
                <w:sz w:val="20"/>
                <w:szCs w:val="20"/>
              </w:rPr>
              <w:t>Soziale Lebenslaufpolitik</w:t>
            </w:r>
            <w:r>
              <w:rPr>
                <w:rFonts w:cs="Arial"/>
                <w:sz w:val="20"/>
                <w:szCs w:val="20"/>
              </w:rPr>
              <w:t>, hrsg. von Gerhard Naegele, 245-267. Wiesbaden: Springer VS.</w:t>
            </w:r>
            <w:r w:rsidRPr="00F434B0">
              <w:rPr>
                <w:rFonts w:cs="Arial"/>
                <w:sz w:val="20"/>
                <w:szCs w:val="20"/>
              </w:rPr>
              <w:t xml:space="preserve"> https://doi.org/10.1007/978-3-531-92214-0_8</w:t>
            </w:r>
          </w:p>
        </w:tc>
        <w:tc>
          <w:tcPr>
            <w:tcW w:w="10064" w:type="dxa"/>
          </w:tcPr>
          <w:p w14:paraId="76D1A7FA" w14:textId="77777777" w:rsidR="00AA3741" w:rsidRPr="00F434B0" w:rsidRDefault="00AA3741" w:rsidP="006E7E4E">
            <w:pPr>
              <w:spacing w:before="0" w:line="240" w:lineRule="auto"/>
              <w:jc w:val="left"/>
              <w:rPr>
                <w:rFonts w:cs="Arial"/>
                <w:sz w:val="20"/>
                <w:szCs w:val="20"/>
              </w:rPr>
            </w:pPr>
            <w:r w:rsidRPr="00F434B0">
              <w:rPr>
                <w:rFonts w:cs="Arial"/>
                <w:sz w:val="20"/>
                <w:szCs w:val="20"/>
              </w:rPr>
              <w:t xml:space="preserve">(aus der Einleitung):  Der vorliegende Beitrag geht der Frage nach, wie und durch welche Entscheidungen geschlechtsspezifische Unterschiede entlang von Lebensläufen entstehen, wie sie sich kumulieren und wodurch sie strukturell und kulturell verfestigt werden. Es wird aber auch herausgearbeitet, warum die tradierte Form der Institutionalisierung von männlichen und weiblichen Lebensläufen im Übergang zu einer modernen Dienstleistungsgesellschaft nicht mehr zeitgemäß ist, </w:t>
            </w:r>
          </w:p>
          <w:p w14:paraId="64260EFD" w14:textId="77777777" w:rsidR="00AA3741" w:rsidRPr="00F434B0" w:rsidRDefault="00AA3741" w:rsidP="001B1BC4">
            <w:pPr>
              <w:spacing w:before="0" w:line="240" w:lineRule="auto"/>
              <w:jc w:val="left"/>
              <w:rPr>
                <w:rFonts w:cs="Arial"/>
                <w:sz w:val="20"/>
                <w:szCs w:val="20"/>
              </w:rPr>
            </w:pPr>
            <w:r w:rsidRPr="00F434B0">
              <w:rPr>
                <w:rFonts w:cs="Arial"/>
                <w:sz w:val="20"/>
                <w:szCs w:val="20"/>
              </w:rPr>
              <w:t xml:space="preserve">die Handlungs- und Entwicklungsperspektiven beider </w:t>
            </w:r>
            <w:proofErr w:type="spellStart"/>
            <w:r w:rsidRPr="00F434B0">
              <w:rPr>
                <w:rFonts w:cs="Arial"/>
                <w:sz w:val="20"/>
                <w:szCs w:val="20"/>
              </w:rPr>
              <w:t>Genusgruppen</w:t>
            </w:r>
            <w:proofErr w:type="spellEnd"/>
            <w:r w:rsidRPr="00F434B0">
              <w:rPr>
                <w:rFonts w:cs="Arial"/>
                <w:sz w:val="20"/>
                <w:szCs w:val="20"/>
              </w:rPr>
              <w:t xml:space="preserve"> einengt und letztlich den Generationenzusammenhang gefährdet. Die Perspektive einer vitalen und geschlechtergerechten Gesellschaft steht und fällt mit der Neubewertung und -verteilung von gesellschaftlich notwendigen Arbeitsformen im Lebenslauf beider Geschlechter, so lautet das Credo des Beitrags.</w:t>
            </w:r>
          </w:p>
        </w:tc>
      </w:tr>
      <w:tr w:rsidR="00AA3741" w:rsidRPr="00C41F11" w14:paraId="7E9D2012" w14:textId="77777777" w:rsidTr="00151455">
        <w:tc>
          <w:tcPr>
            <w:tcW w:w="4390" w:type="dxa"/>
            <w:shd w:val="clear" w:color="auto" w:fill="FFD966" w:themeFill="accent4" w:themeFillTint="99"/>
          </w:tcPr>
          <w:p w14:paraId="3583813A" w14:textId="77777777" w:rsidR="00AA3741" w:rsidRPr="00F434B0" w:rsidRDefault="00AA3741" w:rsidP="00085074">
            <w:pPr>
              <w:spacing w:before="0" w:line="240" w:lineRule="auto"/>
              <w:jc w:val="left"/>
              <w:rPr>
                <w:rFonts w:cs="Arial"/>
                <w:sz w:val="20"/>
                <w:szCs w:val="20"/>
                <w:lang w:val="en-US"/>
              </w:rPr>
            </w:pPr>
            <w:commentRangeStart w:id="12"/>
            <w:r w:rsidRPr="00F434B0">
              <w:rPr>
                <w:rFonts w:cs="Arial"/>
                <w:sz w:val="20"/>
                <w:szCs w:val="20"/>
                <w:lang w:val="en-US"/>
              </w:rPr>
              <w:t>Miller</w:t>
            </w:r>
            <w:commentRangeEnd w:id="12"/>
            <w:r w:rsidRPr="00F434B0">
              <w:rPr>
                <w:rStyle w:val="Kommentarzeichen"/>
                <w:rFonts w:cs="Arial"/>
                <w:sz w:val="20"/>
                <w:szCs w:val="20"/>
              </w:rPr>
              <w:commentReference w:id="12"/>
            </w:r>
            <w:r w:rsidRPr="00F434B0">
              <w:rPr>
                <w:rFonts w:cs="Arial"/>
                <w:sz w:val="20"/>
                <w:szCs w:val="20"/>
                <w:lang w:val="en-US"/>
              </w:rPr>
              <w:t>-McLemore, Bonnie J. 2004</w:t>
            </w:r>
            <w:r>
              <w:rPr>
                <w:rFonts w:cs="Arial"/>
                <w:sz w:val="20"/>
                <w:szCs w:val="20"/>
                <w:lang w:val="en-US"/>
              </w:rPr>
              <w:t>.</w:t>
            </w:r>
            <w:r w:rsidRPr="00F434B0">
              <w:rPr>
                <w:rFonts w:cs="Arial"/>
                <w:sz w:val="20"/>
                <w:szCs w:val="20"/>
                <w:lang w:val="en-US"/>
              </w:rPr>
              <w:t xml:space="preserve"> Generativity and Gender: The Politics of Care</w:t>
            </w:r>
            <w:r>
              <w:rPr>
                <w:rFonts w:cs="Arial"/>
                <w:sz w:val="20"/>
                <w:szCs w:val="20"/>
                <w:lang w:val="en-US"/>
              </w:rPr>
              <w:t xml:space="preserve">. In </w:t>
            </w:r>
            <w:r w:rsidRPr="009D7A59">
              <w:rPr>
                <w:rFonts w:cs="Arial"/>
                <w:sz w:val="20"/>
                <w:szCs w:val="20"/>
                <w:lang w:val="en-US"/>
              </w:rPr>
              <w:t>The Generative Society: Caring for Future Generations</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von Ed de</w:t>
            </w:r>
            <w:r w:rsidRPr="004959F6">
              <w:rPr>
                <w:rFonts w:cs="Arial"/>
                <w:sz w:val="20"/>
                <w:szCs w:val="20"/>
                <w:lang w:val="en-US"/>
              </w:rPr>
              <w:t xml:space="preserve"> </w:t>
            </w:r>
            <w:r w:rsidRPr="004959F6">
              <w:rPr>
                <w:rFonts w:cs="Arial"/>
                <w:sz w:val="20"/>
                <w:szCs w:val="20"/>
                <w:lang w:val="en-US"/>
              </w:rPr>
              <w:t>St. Aubin, Dan McAdams und Tae-Chang</w:t>
            </w:r>
            <w:r>
              <w:rPr>
                <w:rFonts w:cs="Arial"/>
                <w:sz w:val="20"/>
                <w:szCs w:val="20"/>
                <w:lang w:val="en-US"/>
              </w:rPr>
              <w:t xml:space="preserve">, </w:t>
            </w:r>
            <w:r w:rsidRPr="00F434B0">
              <w:rPr>
                <w:rFonts w:cs="Arial"/>
                <w:sz w:val="20"/>
                <w:szCs w:val="20"/>
                <w:lang w:val="en-US"/>
              </w:rPr>
              <w:t>175–194.</w:t>
            </w:r>
            <w:r>
              <w:rPr>
                <w:rFonts w:cs="Arial"/>
                <w:sz w:val="20"/>
                <w:szCs w:val="20"/>
                <w:lang w:val="en-US"/>
              </w:rPr>
              <w:t xml:space="preserve"> </w:t>
            </w:r>
            <w:r w:rsidRPr="00F434B0">
              <w:rPr>
                <w:rFonts w:cs="Arial"/>
                <w:sz w:val="20"/>
                <w:szCs w:val="20"/>
                <w:lang w:val="en-US"/>
              </w:rPr>
              <w:t xml:space="preserve"> </w:t>
            </w:r>
            <w:r w:rsidRPr="00F434B0">
              <w:rPr>
                <w:rFonts w:cs="Arial"/>
                <w:sz w:val="20"/>
                <w:szCs w:val="20"/>
                <w:lang w:val="en-US"/>
              </w:rPr>
              <w:t>Washington, DC</w:t>
            </w:r>
            <w:r>
              <w:rPr>
                <w:rFonts w:cs="Arial"/>
                <w:sz w:val="20"/>
                <w:szCs w:val="20"/>
                <w:lang w:val="en-US"/>
              </w:rPr>
              <w:t xml:space="preserve">: </w:t>
            </w:r>
            <w:r w:rsidRPr="00F434B0">
              <w:rPr>
                <w:rFonts w:cs="Arial"/>
                <w:sz w:val="20"/>
                <w:szCs w:val="20"/>
                <w:lang w:val="en-US"/>
              </w:rPr>
              <w:t>American Psychological Association</w:t>
            </w:r>
            <w:r>
              <w:rPr>
                <w:rFonts w:cs="Arial"/>
                <w:sz w:val="20"/>
                <w:szCs w:val="20"/>
                <w:lang w:val="en-US"/>
              </w:rPr>
              <w:t>.</w:t>
            </w:r>
          </w:p>
        </w:tc>
        <w:tc>
          <w:tcPr>
            <w:tcW w:w="10064" w:type="dxa"/>
          </w:tcPr>
          <w:p w14:paraId="11016C1C"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Argues that for generativity to remain a useful </w:t>
            </w:r>
            <w:r w:rsidRPr="00F434B0">
              <w:rPr>
                <w:rFonts w:cs="Arial"/>
                <w:sz w:val="20"/>
                <w:szCs w:val="20"/>
                <w:highlight w:val="yellow"/>
                <w:lang w:val="en-US"/>
              </w:rPr>
              <w:t>psychological construct</w:t>
            </w:r>
            <w:r w:rsidRPr="00F434B0">
              <w:rPr>
                <w:rFonts w:cs="Arial"/>
                <w:sz w:val="20"/>
                <w:szCs w:val="20"/>
                <w:lang w:val="en-US"/>
              </w:rPr>
              <w:t>, it needs to be significantly rethought in terms of gender. More specifically, important developments in psychology, ethics, and religion reveal an often hidden and unevaluated gender" politics of generativity" that distorts caregiving in the family. Feminist studies challenge generative-unfriendly economic and social structures and suggest new understandings of adult development that explore the complicated problems of managing a" double" generativity of relationships and occupation. Studies in ethics and religion recognize generativity not simply as a psychological concept but also as an ethical and religious construct that has the potential to define for society the good, the right, and the just parameters of work and love. Christian feminist studies challenge religious views of loving self-sacrifice that have exempted men from household chores and exacted the costs of domestic dedication from women and children. This chapter develops the thesis that this body of research calls for a more just and balanced distribution of the tasks of generativity between women and men and for the social and cultural changes necessary to make such redistribution possible.</w:t>
            </w:r>
          </w:p>
        </w:tc>
      </w:tr>
      <w:tr w:rsidR="00AA3741" w:rsidRPr="00F434B0" w14:paraId="7F8D40BD" w14:textId="77777777" w:rsidTr="00130E36">
        <w:tc>
          <w:tcPr>
            <w:tcW w:w="4390" w:type="dxa"/>
            <w:shd w:val="clear" w:color="auto" w:fill="A8D08D" w:themeFill="accent6" w:themeFillTint="99"/>
          </w:tcPr>
          <w:p w14:paraId="6CE451B1"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Moeslein</w:t>
            </w:r>
            <w:proofErr w:type="spellEnd"/>
            <w:r w:rsidRPr="00F434B0">
              <w:rPr>
                <w:rFonts w:cs="Arial"/>
                <w:sz w:val="20"/>
                <w:szCs w:val="20"/>
              </w:rPr>
              <w:t>-Teising, I</w:t>
            </w:r>
            <w:r>
              <w:rPr>
                <w:rFonts w:cs="Arial"/>
                <w:sz w:val="20"/>
                <w:szCs w:val="20"/>
              </w:rPr>
              <w:t xml:space="preserve">ngrid, Georg </w:t>
            </w:r>
            <w:r w:rsidRPr="00F434B0">
              <w:rPr>
                <w:rFonts w:cs="Arial"/>
                <w:sz w:val="20"/>
                <w:szCs w:val="20"/>
              </w:rPr>
              <w:t>Schäfer</w:t>
            </w:r>
            <w:r>
              <w:rPr>
                <w:rFonts w:cs="Arial"/>
                <w:sz w:val="20"/>
                <w:szCs w:val="20"/>
              </w:rPr>
              <w:t xml:space="preserve"> Rupert </w:t>
            </w:r>
            <w:r w:rsidRPr="00F434B0">
              <w:rPr>
                <w:rFonts w:cs="Arial"/>
                <w:sz w:val="20"/>
                <w:szCs w:val="20"/>
              </w:rPr>
              <w:t xml:space="preserve">Martin, </w:t>
            </w:r>
            <w:r>
              <w:rPr>
                <w:rFonts w:cs="Arial"/>
                <w:sz w:val="20"/>
                <w:szCs w:val="20"/>
              </w:rPr>
              <w:t>Hrsg</w:t>
            </w:r>
            <w:r w:rsidRPr="00F434B0">
              <w:rPr>
                <w:rFonts w:cs="Arial"/>
                <w:sz w:val="20"/>
                <w:szCs w:val="20"/>
              </w:rPr>
              <w:t xml:space="preserve">. 2020. Generativität. Gießen: </w:t>
            </w:r>
            <w:commentRangeStart w:id="13"/>
            <w:r w:rsidRPr="00F434B0">
              <w:rPr>
                <w:rFonts w:cs="Arial"/>
                <w:sz w:val="20"/>
                <w:szCs w:val="20"/>
              </w:rPr>
              <w:t>Psychosozial-Verlag</w:t>
            </w:r>
            <w:commentRangeEnd w:id="13"/>
            <w:r w:rsidRPr="00F434B0">
              <w:rPr>
                <w:rStyle w:val="Kommentarzeichen"/>
                <w:rFonts w:cs="Arial"/>
                <w:sz w:val="20"/>
                <w:szCs w:val="20"/>
              </w:rPr>
              <w:commentReference w:id="13"/>
            </w:r>
            <w:r w:rsidRPr="00F434B0">
              <w:rPr>
                <w:rFonts w:cs="Arial"/>
                <w:sz w:val="20"/>
                <w:szCs w:val="20"/>
              </w:rPr>
              <w:t>.</w:t>
            </w:r>
          </w:p>
        </w:tc>
        <w:tc>
          <w:tcPr>
            <w:tcW w:w="10064" w:type="dxa"/>
          </w:tcPr>
          <w:p w14:paraId="0E1ED696" w14:textId="77777777" w:rsidR="00AA3741" w:rsidRPr="00F434B0" w:rsidRDefault="00AA3741" w:rsidP="0009407B">
            <w:pPr>
              <w:spacing w:before="0" w:line="240" w:lineRule="auto"/>
              <w:jc w:val="left"/>
              <w:rPr>
                <w:rFonts w:cs="Arial"/>
                <w:sz w:val="20"/>
                <w:szCs w:val="20"/>
              </w:rPr>
            </w:pPr>
            <w:r w:rsidRPr="00F434B0">
              <w:rPr>
                <w:rFonts w:cs="Arial"/>
                <w:sz w:val="20"/>
                <w:szCs w:val="20"/>
              </w:rPr>
              <w:t>Generativität dient der Sicherung menschlichen Lebens und der menschlichen Kultur. Angesichts kollektiver Aggression sowie der Ausbeutung des Planeten zu Lasten künftiger Generationen ist es auch für die Psychoanalyse und die Psychotherapie besonders wichtig, sich mit Fragen der Generativität und ihrer Bedrohung auseinanderzusetzen.</w:t>
            </w:r>
          </w:p>
          <w:p w14:paraId="501ADF87" w14:textId="77777777" w:rsidR="00AA3741" w:rsidRPr="00F434B0" w:rsidRDefault="00AA3741" w:rsidP="0009407B">
            <w:pPr>
              <w:spacing w:before="0" w:line="240" w:lineRule="auto"/>
              <w:jc w:val="left"/>
              <w:rPr>
                <w:rFonts w:cs="Arial"/>
                <w:sz w:val="20"/>
                <w:szCs w:val="20"/>
              </w:rPr>
            </w:pPr>
            <w:r w:rsidRPr="00F434B0">
              <w:rPr>
                <w:rFonts w:cs="Arial"/>
                <w:sz w:val="20"/>
                <w:szCs w:val="20"/>
              </w:rPr>
              <w:t>Generativität beinhaltet auch immer Generationenkonflikte, wie zum Beispiel den Neid der Alten auf die Jungen, die vermeintlich bessere Bedingungen vorfinden. Die Missachtung der Generationsgrenzen und das Negieren der Generationenfolge können sie jedoch beschädigen oder sogar zerstören. So sind heutige Generationen besonders gefordert, da sie unübersichtlicher und vielfältiger geworden sind: Das Individuum hat oft mehrere Väter bzw. Mütter oder lebt in Patchwork-Konstellationen.</w:t>
            </w:r>
          </w:p>
          <w:p w14:paraId="31FE303C" w14:textId="77777777" w:rsidR="00AA3741" w:rsidRPr="00F434B0" w:rsidRDefault="00AA3741" w:rsidP="0009407B">
            <w:pPr>
              <w:spacing w:before="0" w:line="240" w:lineRule="auto"/>
              <w:jc w:val="left"/>
              <w:rPr>
                <w:rFonts w:cs="Arial"/>
                <w:sz w:val="20"/>
                <w:szCs w:val="20"/>
              </w:rPr>
            </w:pPr>
            <w:r w:rsidRPr="00F434B0">
              <w:rPr>
                <w:rFonts w:cs="Arial"/>
                <w:sz w:val="20"/>
                <w:szCs w:val="20"/>
              </w:rPr>
              <w:t>PsychoanalytikerInnen und PsychotherapeutInnen untersuchen, wie unsere Gesellschaft mit Fragen der Generativität umgeht und wie sich Mutter-, Vater- und Elternschaft heute entwickeln. Anlässlich des 70-jährigen Jubiläums der Deutschen Gesellschaft für Psychoanalyse, Psychotherapie, Psychosomatik und Tiefenpsychologie (DGPT) rückt auch die Generativität der Fachgesellschaft in den Fokus.</w:t>
            </w:r>
          </w:p>
        </w:tc>
      </w:tr>
      <w:tr w:rsidR="00AA3741" w:rsidRPr="00F434B0" w14:paraId="33D8E6DF" w14:textId="77777777" w:rsidTr="00524727">
        <w:tc>
          <w:tcPr>
            <w:tcW w:w="4390" w:type="dxa"/>
            <w:shd w:val="clear" w:color="auto" w:fill="E482D1"/>
          </w:tcPr>
          <w:p w14:paraId="68F995C8"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Neumann, B</w:t>
            </w:r>
            <w:r>
              <w:rPr>
                <w:rFonts w:cs="Arial"/>
                <w:sz w:val="20"/>
                <w:szCs w:val="20"/>
              </w:rPr>
              <w:t>enjamin</w:t>
            </w:r>
            <w:r w:rsidRPr="00F434B0">
              <w:rPr>
                <w:rFonts w:cs="Arial"/>
                <w:sz w:val="20"/>
                <w:szCs w:val="20"/>
              </w:rPr>
              <w:t>. 2017. De-/Naturalisierung von Elternschaft und Geschlecht im Kontext Elternzeit</w:t>
            </w:r>
            <w:r>
              <w:rPr>
                <w:rFonts w:cs="Arial"/>
                <w:sz w:val="20"/>
                <w:szCs w:val="20"/>
              </w:rPr>
              <w:t xml:space="preserve">. In </w:t>
            </w:r>
            <w:r>
              <w:rPr>
                <w:rFonts w:cs="Arial"/>
                <w:i/>
                <w:sz w:val="20"/>
                <w:szCs w:val="20"/>
              </w:rPr>
              <w:t>Alte neue Ungleichheiten? Auflösungen und Neukonfigurationen von Erwerbs- und Familiensphäre</w:t>
            </w:r>
            <w:r>
              <w:rPr>
                <w:rFonts w:cs="Arial"/>
                <w:sz w:val="20"/>
                <w:szCs w:val="20"/>
              </w:rPr>
              <w:t xml:space="preserve">, hrsg. von Annette von Alemann, Sandra </w:t>
            </w:r>
            <w:proofErr w:type="spellStart"/>
            <w:r>
              <w:rPr>
                <w:rFonts w:cs="Arial"/>
                <w:sz w:val="20"/>
                <w:szCs w:val="20"/>
              </w:rPr>
              <w:t>Beaufays</w:t>
            </w:r>
            <w:proofErr w:type="spellEnd"/>
            <w:r>
              <w:rPr>
                <w:rFonts w:cs="Arial"/>
                <w:sz w:val="20"/>
                <w:szCs w:val="20"/>
              </w:rPr>
              <w:t xml:space="preserve"> und Beate </w:t>
            </w:r>
            <w:proofErr w:type="spellStart"/>
            <w:r>
              <w:rPr>
                <w:rFonts w:cs="Arial"/>
                <w:sz w:val="20"/>
                <w:szCs w:val="20"/>
              </w:rPr>
              <w:t>Kordendiek</w:t>
            </w:r>
            <w:proofErr w:type="spellEnd"/>
            <w:r>
              <w:rPr>
                <w:rFonts w:cs="Arial"/>
                <w:sz w:val="20"/>
                <w:szCs w:val="20"/>
              </w:rPr>
              <w:t xml:space="preserve">. GENDER Sonderheft 4, </w:t>
            </w:r>
            <w:r w:rsidRPr="00F434B0">
              <w:rPr>
                <w:rFonts w:cs="Arial"/>
                <w:sz w:val="20"/>
                <w:szCs w:val="20"/>
              </w:rPr>
              <w:t xml:space="preserve">59-75. </w:t>
            </w:r>
            <w:r>
              <w:rPr>
                <w:rFonts w:cs="Arial"/>
                <w:sz w:val="20"/>
                <w:szCs w:val="20"/>
              </w:rPr>
              <w:t xml:space="preserve">Opladen/Berlin/Toronto: </w:t>
            </w:r>
            <w:r w:rsidRPr="00F434B0">
              <w:rPr>
                <w:rFonts w:cs="Arial"/>
                <w:sz w:val="20"/>
                <w:szCs w:val="20"/>
              </w:rPr>
              <w:t>Verlag Barbara Budrich.</w:t>
            </w:r>
          </w:p>
        </w:tc>
        <w:tc>
          <w:tcPr>
            <w:tcW w:w="10064" w:type="dxa"/>
          </w:tcPr>
          <w:p w14:paraId="49F41510"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Der Beitrag diskutiert anhand erster Ergebnisse eines Forschungsprojekts zu „Vätern in Elternzeit “, wie im Rahmen </w:t>
            </w:r>
            <w:proofErr w:type="spellStart"/>
            <w:r w:rsidRPr="00F434B0">
              <w:rPr>
                <w:rFonts w:cs="Arial"/>
                <w:sz w:val="20"/>
                <w:szCs w:val="20"/>
              </w:rPr>
              <w:t>paternaler</w:t>
            </w:r>
            <w:proofErr w:type="spellEnd"/>
            <w:r w:rsidRPr="00F434B0">
              <w:rPr>
                <w:rFonts w:cs="Arial"/>
                <w:sz w:val="20"/>
                <w:szCs w:val="20"/>
              </w:rPr>
              <w:t xml:space="preserve"> Elternzeit alte/neue </w:t>
            </w:r>
            <w:proofErr w:type="spellStart"/>
            <w:r w:rsidRPr="00F434B0">
              <w:rPr>
                <w:rFonts w:cs="Arial"/>
                <w:sz w:val="20"/>
                <w:szCs w:val="20"/>
              </w:rPr>
              <w:t>Un</w:t>
            </w:r>
            <w:proofErr w:type="spellEnd"/>
            <w:r w:rsidRPr="00F434B0">
              <w:rPr>
                <w:rFonts w:cs="Arial"/>
                <w:sz w:val="20"/>
                <w:szCs w:val="20"/>
              </w:rPr>
              <w:t>-/Gleichheiten über den Modus von De-/Naturalisierung produziert werden. Im Fokus stehen performative Effekte, die nicht nur vergeschlechtlichte Subjekte hervorbringen, sondern sich in diverser Weise auf die Elternzeitnahme auswirken. Zwar kann auf ‚natürliche ‘oder ‚biologische ‘Unterschiede zwischen Müttern und Vätern rekurriert werden, jedoch muss keine solche Essentialisierung reproduziert werden, wenn eine Subjektivierung als Elternperson stattfindet. Es wird gezeigt, wie über den Modus von De-/Naturalisierung mitsamt spezifischer Diskurse Möglichkeitshorizonte eröffnet bzw. verschlossen werden, die wiederum auf Handlungsmöglichkeiten im Rahmen der Elternzeit rückwirken und die damit verbundenen vergeschlechtlichten Subjektpositionen de-/stabilisieren.</w:t>
            </w:r>
          </w:p>
        </w:tc>
      </w:tr>
      <w:tr w:rsidR="00AA3741" w:rsidRPr="00C41F11" w14:paraId="584F17B1" w14:textId="77777777" w:rsidTr="009B6F46">
        <w:tc>
          <w:tcPr>
            <w:tcW w:w="4390" w:type="dxa"/>
            <w:shd w:val="clear" w:color="auto" w:fill="FF66CC"/>
          </w:tcPr>
          <w:p w14:paraId="231DCD9C" w14:textId="77777777" w:rsidR="00AA3741" w:rsidRPr="00F434B0" w:rsidRDefault="00AA3741" w:rsidP="003A5925">
            <w:pPr>
              <w:spacing w:before="0" w:line="240" w:lineRule="auto"/>
              <w:jc w:val="left"/>
              <w:rPr>
                <w:rFonts w:cs="Arial"/>
                <w:sz w:val="20"/>
                <w:szCs w:val="20"/>
              </w:rPr>
            </w:pPr>
            <w:r w:rsidRPr="00F434B0">
              <w:rPr>
                <w:rFonts w:cs="Arial"/>
                <w:sz w:val="20"/>
                <w:szCs w:val="20"/>
                <w:lang w:val="en-US"/>
              </w:rPr>
              <w:t>Neyer, G</w:t>
            </w:r>
            <w:r>
              <w:rPr>
                <w:rFonts w:cs="Arial"/>
                <w:sz w:val="20"/>
                <w:szCs w:val="20"/>
                <w:lang w:val="en-US"/>
              </w:rPr>
              <w:t xml:space="preserve">erda und Laura </w:t>
            </w:r>
            <w:r w:rsidRPr="00F434B0">
              <w:rPr>
                <w:rFonts w:cs="Arial"/>
                <w:sz w:val="20"/>
                <w:szCs w:val="20"/>
                <w:lang w:val="en-US"/>
              </w:rPr>
              <w:t>Bernardi</w:t>
            </w:r>
            <w:r>
              <w:rPr>
                <w:rFonts w:cs="Arial"/>
                <w:sz w:val="20"/>
                <w:szCs w:val="20"/>
                <w:lang w:val="en-US"/>
              </w:rPr>
              <w:t xml:space="preserve">. </w:t>
            </w:r>
            <w:r w:rsidRPr="00F434B0">
              <w:rPr>
                <w:rFonts w:cs="Arial"/>
                <w:sz w:val="20"/>
                <w:szCs w:val="20"/>
                <w:lang w:val="en-US"/>
              </w:rPr>
              <w:t xml:space="preserve">2011. Feminist </w:t>
            </w:r>
            <w:r>
              <w:rPr>
                <w:rFonts w:cs="Arial"/>
                <w:sz w:val="20"/>
                <w:szCs w:val="20"/>
                <w:lang w:val="en-US"/>
              </w:rPr>
              <w:t>P</w:t>
            </w:r>
            <w:r w:rsidRPr="00F434B0">
              <w:rPr>
                <w:rFonts w:cs="Arial"/>
                <w:sz w:val="20"/>
                <w:szCs w:val="20"/>
                <w:lang w:val="en-US"/>
              </w:rPr>
              <w:t xml:space="preserve">erspectives on </w:t>
            </w:r>
            <w:r>
              <w:rPr>
                <w:rFonts w:cs="Arial"/>
                <w:sz w:val="20"/>
                <w:szCs w:val="20"/>
                <w:lang w:val="en-US"/>
              </w:rPr>
              <w:t>M</w:t>
            </w:r>
            <w:r w:rsidRPr="00F434B0">
              <w:rPr>
                <w:rFonts w:cs="Arial"/>
                <w:sz w:val="20"/>
                <w:szCs w:val="20"/>
                <w:lang w:val="en-US"/>
              </w:rPr>
              <w:t xml:space="preserve">otherhood and </w:t>
            </w:r>
            <w:r>
              <w:rPr>
                <w:rFonts w:cs="Arial"/>
                <w:sz w:val="20"/>
                <w:szCs w:val="20"/>
                <w:lang w:val="en-US"/>
              </w:rPr>
              <w:t>R</w:t>
            </w:r>
            <w:r w:rsidRPr="00F434B0">
              <w:rPr>
                <w:rFonts w:cs="Arial"/>
                <w:sz w:val="20"/>
                <w:szCs w:val="20"/>
                <w:lang w:val="en-US"/>
              </w:rPr>
              <w:t xml:space="preserve">eproduction. </w:t>
            </w:r>
            <w:r w:rsidRPr="00A63964">
              <w:rPr>
                <w:rFonts w:cs="Arial"/>
                <w:i/>
                <w:iCs/>
                <w:sz w:val="20"/>
                <w:szCs w:val="20"/>
              </w:rPr>
              <w:t xml:space="preserve">Historical </w:t>
            </w:r>
            <w:proofErr w:type="spellStart"/>
            <w:r w:rsidRPr="00A63964">
              <w:rPr>
                <w:rFonts w:cs="Arial"/>
                <w:i/>
                <w:iCs/>
                <w:sz w:val="20"/>
                <w:szCs w:val="20"/>
              </w:rPr>
              <w:t>Social</w:t>
            </w:r>
            <w:proofErr w:type="spellEnd"/>
            <w:r w:rsidRPr="00A63964">
              <w:rPr>
                <w:rFonts w:cs="Arial"/>
                <w:i/>
                <w:iCs/>
                <w:sz w:val="20"/>
                <w:szCs w:val="20"/>
              </w:rPr>
              <w:t xml:space="preserve"> Research</w:t>
            </w:r>
            <w:r>
              <w:rPr>
                <w:rFonts w:cs="Arial"/>
                <w:i/>
                <w:iCs/>
                <w:sz w:val="20"/>
                <w:szCs w:val="20"/>
              </w:rPr>
              <w:t xml:space="preserve"> </w:t>
            </w:r>
            <w:r w:rsidRPr="00F434B0">
              <w:rPr>
                <w:rFonts w:cs="Arial"/>
                <w:sz w:val="20"/>
                <w:szCs w:val="20"/>
              </w:rPr>
              <w:t>36</w:t>
            </w:r>
            <w:r>
              <w:rPr>
                <w:rFonts w:cs="Arial"/>
                <w:sz w:val="20"/>
                <w:szCs w:val="20"/>
              </w:rPr>
              <w:t xml:space="preserve"> </w:t>
            </w:r>
            <w:r w:rsidRPr="00F434B0">
              <w:rPr>
                <w:rFonts w:cs="Arial"/>
                <w:sz w:val="20"/>
                <w:szCs w:val="20"/>
              </w:rPr>
              <w:t>(2)</w:t>
            </w:r>
            <w:r>
              <w:rPr>
                <w:rFonts w:cs="Arial"/>
                <w:sz w:val="20"/>
                <w:szCs w:val="20"/>
              </w:rPr>
              <w:t>: 1</w:t>
            </w:r>
            <w:r w:rsidRPr="00F434B0">
              <w:rPr>
                <w:rFonts w:cs="Arial"/>
                <w:sz w:val="20"/>
                <w:szCs w:val="20"/>
              </w:rPr>
              <w:t>62-176. https://doi.org/10.12759/hsr.36.2011.2.162-176</w:t>
            </w:r>
          </w:p>
        </w:tc>
        <w:tc>
          <w:tcPr>
            <w:tcW w:w="10064" w:type="dxa"/>
          </w:tcPr>
          <w:p w14:paraId="49658FEB"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Motherhood and reproduction have been at the core of the feminist discourse about women's rights ever since its onset. For the first and second feminist movements, the right to abortion and the public recognition of motherhood have been main issues in the discourse on reproduction. Since the last two decades of the 20th century, the potentials of assisted reproductive technologies (ART) have </w:t>
            </w:r>
            <w:proofErr w:type="gramStart"/>
            <w:r w:rsidRPr="00F434B0">
              <w:rPr>
                <w:rFonts w:cs="Arial"/>
                <w:sz w:val="20"/>
                <w:szCs w:val="20"/>
                <w:lang w:val="en-US"/>
              </w:rPr>
              <w:t>opened up</w:t>
            </w:r>
            <w:proofErr w:type="gramEnd"/>
            <w:r w:rsidRPr="00F434B0">
              <w:rPr>
                <w:rFonts w:cs="Arial"/>
                <w:sz w:val="20"/>
                <w:szCs w:val="20"/>
                <w:lang w:val="en-US"/>
              </w:rPr>
              <w:t xml:space="preserve"> new venues of feminist discourse. In this paper the authors sketch the main feminist lines of argumentation regarding motherhood and reproduction since the 1970s, and they identify specific shifts in their recurrent issues. They argue that an essential contribution of feminism to the understanding of motherhood as a structuring category has been its insistence on the distinction between biological and social motherhood. Feminist discourse shows how ART has further decomposed biological motherhood and has altered the meaning of motherhood and reproduction. Feminist analysis maintains that despite the rhetoric of choice surrounding ART, these technologies have not increased women's reproductive freedom. The decomposition of biological motherhood, the medical, legal, and commercial development of reproduction, and the change in the social perception of motherhood have rather established new forms of control over female reproduction.</w:t>
            </w:r>
          </w:p>
        </w:tc>
      </w:tr>
      <w:tr w:rsidR="00AA3741" w:rsidRPr="00F434B0" w14:paraId="2505F573" w14:textId="77777777" w:rsidTr="00CC648F">
        <w:tc>
          <w:tcPr>
            <w:tcW w:w="4390" w:type="dxa"/>
            <w:shd w:val="clear" w:color="auto" w:fill="A8D08D" w:themeFill="accent6" w:themeFillTint="99"/>
          </w:tcPr>
          <w:p w14:paraId="6D4CBBA9"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Orlikowski</w:t>
            </w:r>
            <w:proofErr w:type="spellEnd"/>
            <w:r w:rsidRPr="00F434B0">
              <w:rPr>
                <w:rFonts w:cs="Arial"/>
                <w:sz w:val="20"/>
                <w:szCs w:val="20"/>
              </w:rPr>
              <w:t>, A</w:t>
            </w:r>
            <w:r>
              <w:rPr>
                <w:rFonts w:cs="Arial"/>
                <w:sz w:val="20"/>
                <w:szCs w:val="20"/>
              </w:rPr>
              <w:t xml:space="preserve">nna. </w:t>
            </w:r>
            <w:r w:rsidRPr="00F434B0">
              <w:rPr>
                <w:rFonts w:cs="Arial"/>
                <w:sz w:val="20"/>
                <w:szCs w:val="20"/>
              </w:rPr>
              <w:t>2022. Soziale Nachhaltigkeit und Generativität – Eine Begriffs- und Verhältnisbestimmung aus phänomenologischer Sicht. In</w:t>
            </w:r>
            <w:r>
              <w:rPr>
                <w:rFonts w:cs="Arial"/>
                <w:sz w:val="20"/>
                <w:szCs w:val="20"/>
              </w:rPr>
              <w:t xml:space="preserve"> </w:t>
            </w:r>
            <w:r w:rsidRPr="00060821">
              <w:rPr>
                <w:rFonts w:cs="Arial"/>
                <w:i/>
                <w:iCs/>
                <w:sz w:val="20"/>
                <w:szCs w:val="20"/>
              </w:rPr>
              <w:t>Gelegenheitsfenster für nachhaltigen Konsum</w:t>
            </w:r>
            <w:r>
              <w:rPr>
                <w:rFonts w:cs="Arial"/>
                <w:sz w:val="20"/>
                <w:szCs w:val="20"/>
              </w:rPr>
              <w:t xml:space="preserve">, hrsg. von Corinna </w:t>
            </w:r>
            <w:r w:rsidRPr="00F434B0">
              <w:rPr>
                <w:rFonts w:cs="Arial"/>
                <w:sz w:val="20"/>
                <w:szCs w:val="20"/>
              </w:rPr>
              <w:t>Onnen,</w:t>
            </w:r>
            <w:r>
              <w:rPr>
                <w:rFonts w:cs="Arial"/>
                <w:sz w:val="20"/>
                <w:szCs w:val="20"/>
              </w:rPr>
              <w:t xml:space="preserve"> 39-56</w:t>
            </w:r>
            <w:r w:rsidRPr="00F434B0">
              <w:rPr>
                <w:rFonts w:cs="Arial"/>
                <w:sz w:val="20"/>
                <w:szCs w:val="20"/>
              </w:rPr>
              <w:t xml:space="preserve">.  </w:t>
            </w:r>
            <w:r w:rsidRPr="00F434B0">
              <w:rPr>
                <w:rFonts w:cs="Arial"/>
                <w:sz w:val="20"/>
                <w:szCs w:val="20"/>
              </w:rPr>
              <w:t>Wiesbaden</w:t>
            </w:r>
            <w:r>
              <w:rPr>
                <w:rFonts w:cs="Arial"/>
                <w:sz w:val="20"/>
                <w:szCs w:val="20"/>
              </w:rPr>
              <w:t xml:space="preserve">: </w:t>
            </w:r>
            <w:r w:rsidRPr="00F434B0">
              <w:rPr>
                <w:rFonts w:cs="Arial"/>
                <w:sz w:val="20"/>
                <w:szCs w:val="20"/>
              </w:rPr>
              <w:t>Springer VS. https://doi.org/10.1007/978-3-658-37543-0_3</w:t>
            </w:r>
          </w:p>
        </w:tc>
        <w:tc>
          <w:tcPr>
            <w:tcW w:w="10064" w:type="dxa"/>
          </w:tcPr>
          <w:p w14:paraId="33C844D9" w14:textId="77777777" w:rsidR="00AA3741" w:rsidRPr="00F434B0" w:rsidRDefault="00AA3741" w:rsidP="003A5925">
            <w:pPr>
              <w:spacing w:before="0" w:line="240" w:lineRule="auto"/>
              <w:jc w:val="left"/>
              <w:rPr>
                <w:rFonts w:cs="Arial"/>
                <w:sz w:val="20"/>
                <w:szCs w:val="20"/>
              </w:rPr>
            </w:pPr>
            <w:r w:rsidRPr="00F434B0">
              <w:rPr>
                <w:rFonts w:cs="Arial"/>
                <w:sz w:val="20"/>
                <w:szCs w:val="20"/>
              </w:rPr>
              <w:t>In Anknüpfung an die phänomenologische Soziologie wird ein Zusammenhang zwischen einer historisch-generativen Struktur der Lebenswelt und den gesellschaftlichen Bedingungen der Wahl vor dem Hintergrund des Handlungsverstehens hergestellt. Hierbei wird der Begriff der Nachhaltigkeit geprüft und kontextualisiert im Hinblick auf Entwerfen und Wirken von Handlungen. Dieser Zugang fokussiert keine Nachhaltigkeitsziele oder deren normativen Leitkategorien, vielmehr geht es um eine theoretische Perspektive auf die Frage, welche Rolle lebensweltliche und generative Kontexte für die Entwicklung von Nachhaltigkeitsbewusstsein spielen.</w:t>
            </w:r>
          </w:p>
        </w:tc>
      </w:tr>
      <w:tr w:rsidR="00AA3741" w:rsidRPr="00F434B0" w14:paraId="3B63C9F5" w14:textId="77777777" w:rsidTr="00711A87">
        <w:tc>
          <w:tcPr>
            <w:tcW w:w="4390" w:type="dxa"/>
            <w:shd w:val="clear" w:color="auto" w:fill="FFD966" w:themeFill="accent4" w:themeFillTint="99"/>
          </w:tcPr>
          <w:p w14:paraId="70A61497" w14:textId="77777777" w:rsidR="00AA3741" w:rsidRPr="009E6A39" w:rsidRDefault="00AA3741" w:rsidP="003A5925">
            <w:pPr>
              <w:spacing w:before="0" w:line="240" w:lineRule="auto"/>
              <w:jc w:val="left"/>
              <w:rPr>
                <w:rFonts w:cs="Arial"/>
                <w:sz w:val="20"/>
                <w:szCs w:val="20"/>
              </w:rPr>
            </w:pPr>
            <w:commentRangeStart w:id="14"/>
            <w:r w:rsidRPr="00F434B0">
              <w:rPr>
                <w:rFonts w:cs="Arial"/>
                <w:sz w:val="20"/>
                <w:szCs w:val="20"/>
              </w:rPr>
              <w:t>Ott</w:t>
            </w:r>
            <w:commentRangeEnd w:id="14"/>
            <w:r w:rsidRPr="00F434B0">
              <w:rPr>
                <w:rStyle w:val="Kommentarzeichen"/>
                <w:rFonts w:cs="Arial"/>
                <w:sz w:val="20"/>
                <w:szCs w:val="20"/>
              </w:rPr>
              <w:commentReference w:id="14"/>
            </w:r>
            <w:r w:rsidRPr="00F434B0">
              <w:rPr>
                <w:rFonts w:cs="Arial"/>
                <w:sz w:val="20"/>
                <w:szCs w:val="20"/>
              </w:rPr>
              <w:t>, C</w:t>
            </w:r>
            <w:r>
              <w:rPr>
                <w:rFonts w:cs="Arial"/>
                <w:sz w:val="20"/>
                <w:szCs w:val="20"/>
              </w:rPr>
              <w:t xml:space="preserve">ornelia. </w:t>
            </w:r>
            <w:r w:rsidRPr="00F434B0">
              <w:rPr>
                <w:rFonts w:cs="Arial"/>
                <w:sz w:val="20"/>
                <w:szCs w:val="20"/>
              </w:rPr>
              <w:t>1997. Lust, Geschlecht und Generativität: zum Zusammenhang von gesellschaftlicher Organisation von Sexualität und Geschlechterhierarchie.</w:t>
            </w:r>
            <w:r>
              <w:rPr>
                <w:rFonts w:cs="Arial"/>
                <w:sz w:val="20"/>
                <w:szCs w:val="20"/>
              </w:rPr>
              <w:t xml:space="preserve"> In </w:t>
            </w:r>
            <w:r>
              <w:rPr>
                <w:rFonts w:cs="Arial"/>
                <w:i/>
                <w:sz w:val="20"/>
                <w:szCs w:val="20"/>
              </w:rPr>
              <w:t>Ein alltägliches Spiel</w:t>
            </w:r>
            <w:r>
              <w:rPr>
                <w:rFonts w:cs="Arial"/>
                <w:sz w:val="20"/>
                <w:szCs w:val="20"/>
              </w:rPr>
              <w:t xml:space="preserve">, hrsg. von Irene Dölling, 104-124. Frankfurt am Main: Suhrkamp. </w:t>
            </w:r>
          </w:p>
        </w:tc>
        <w:tc>
          <w:tcPr>
            <w:tcW w:w="10064" w:type="dxa"/>
          </w:tcPr>
          <w:p w14:paraId="2E70E090" w14:textId="77777777" w:rsidR="00AA3741" w:rsidRPr="00F434B0" w:rsidRDefault="00AA3741" w:rsidP="003A5925">
            <w:pPr>
              <w:spacing w:before="0" w:line="240" w:lineRule="auto"/>
              <w:jc w:val="left"/>
              <w:rPr>
                <w:rFonts w:cs="Arial"/>
                <w:sz w:val="20"/>
                <w:szCs w:val="20"/>
              </w:rPr>
            </w:pPr>
            <w:r w:rsidRPr="00F434B0">
              <w:rPr>
                <w:rFonts w:cs="Arial"/>
                <w:sz w:val="20"/>
                <w:szCs w:val="20"/>
              </w:rPr>
              <w:t>Kein Abstract</w:t>
            </w:r>
          </w:p>
        </w:tc>
      </w:tr>
      <w:tr w:rsidR="00AA3741" w:rsidRPr="00F434B0" w14:paraId="41903A3E" w14:textId="77777777" w:rsidTr="00E62390">
        <w:tc>
          <w:tcPr>
            <w:tcW w:w="4390" w:type="dxa"/>
            <w:shd w:val="clear" w:color="auto" w:fill="E482D1"/>
          </w:tcPr>
          <w:p w14:paraId="7E478714" w14:textId="77777777" w:rsidR="00AA3741" w:rsidRDefault="00AA3741" w:rsidP="003A5925">
            <w:pPr>
              <w:spacing w:before="0" w:line="240" w:lineRule="auto"/>
              <w:jc w:val="left"/>
              <w:rPr>
                <w:rFonts w:cs="Arial"/>
                <w:sz w:val="20"/>
                <w:szCs w:val="20"/>
              </w:rPr>
            </w:pPr>
            <w:r w:rsidRPr="00F434B0">
              <w:rPr>
                <w:rFonts w:cs="Arial"/>
                <w:sz w:val="20"/>
                <w:szCs w:val="20"/>
              </w:rPr>
              <w:t>Peukert, A</w:t>
            </w:r>
            <w:r>
              <w:rPr>
                <w:rFonts w:cs="Arial"/>
                <w:sz w:val="20"/>
                <w:szCs w:val="20"/>
              </w:rPr>
              <w:t>lmut</w:t>
            </w:r>
            <w:r w:rsidRPr="00F434B0">
              <w:rPr>
                <w:rFonts w:cs="Arial"/>
                <w:sz w:val="20"/>
                <w:szCs w:val="20"/>
              </w:rPr>
              <w:t xml:space="preserve">, </w:t>
            </w:r>
            <w:r>
              <w:rPr>
                <w:rFonts w:cs="Arial"/>
                <w:sz w:val="20"/>
                <w:szCs w:val="20"/>
              </w:rPr>
              <w:t xml:space="preserve">Julia </w:t>
            </w:r>
            <w:proofErr w:type="spellStart"/>
            <w:r w:rsidRPr="00F434B0">
              <w:rPr>
                <w:rFonts w:cs="Arial"/>
                <w:sz w:val="20"/>
                <w:szCs w:val="20"/>
              </w:rPr>
              <w:t>Teschlade</w:t>
            </w:r>
            <w:proofErr w:type="spellEnd"/>
            <w:r w:rsidRPr="00F434B0">
              <w:rPr>
                <w:rFonts w:cs="Arial"/>
                <w:sz w:val="20"/>
                <w:szCs w:val="20"/>
              </w:rPr>
              <w:t xml:space="preserve">, </w:t>
            </w:r>
            <w:r>
              <w:rPr>
                <w:rFonts w:cs="Arial"/>
                <w:sz w:val="20"/>
                <w:szCs w:val="20"/>
              </w:rPr>
              <w:t xml:space="preserve">Christine </w:t>
            </w:r>
            <w:proofErr w:type="spellStart"/>
            <w:r w:rsidRPr="00F434B0">
              <w:rPr>
                <w:rFonts w:cs="Arial"/>
                <w:sz w:val="20"/>
                <w:szCs w:val="20"/>
              </w:rPr>
              <w:t>Wimbauer</w:t>
            </w:r>
            <w:proofErr w:type="spellEnd"/>
            <w:r w:rsidRPr="00F434B0">
              <w:rPr>
                <w:rFonts w:cs="Arial"/>
                <w:sz w:val="20"/>
                <w:szCs w:val="20"/>
              </w:rPr>
              <w:t>,</w:t>
            </w:r>
            <w:r>
              <w:rPr>
                <w:rFonts w:cs="Arial"/>
                <w:sz w:val="20"/>
                <w:szCs w:val="20"/>
              </w:rPr>
              <w:t xml:space="preserve"> Mona </w:t>
            </w:r>
            <w:proofErr w:type="spellStart"/>
            <w:r w:rsidRPr="00F434B0">
              <w:rPr>
                <w:rFonts w:cs="Arial"/>
                <w:sz w:val="20"/>
                <w:szCs w:val="20"/>
              </w:rPr>
              <w:t>Motakef</w:t>
            </w:r>
            <w:proofErr w:type="spellEnd"/>
            <w:r>
              <w:rPr>
                <w:rFonts w:cs="Arial"/>
                <w:sz w:val="20"/>
                <w:szCs w:val="20"/>
              </w:rPr>
              <w:t xml:space="preserve"> und Elizabeth </w:t>
            </w:r>
            <w:proofErr w:type="spellStart"/>
            <w:r w:rsidRPr="00F434B0">
              <w:rPr>
                <w:rFonts w:cs="Arial"/>
                <w:sz w:val="20"/>
                <w:szCs w:val="20"/>
              </w:rPr>
              <w:t>Holzleithner</w:t>
            </w:r>
            <w:proofErr w:type="spellEnd"/>
            <w:r>
              <w:rPr>
                <w:rFonts w:cs="Arial"/>
                <w:sz w:val="20"/>
                <w:szCs w:val="20"/>
              </w:rPr>
              <w:t>, Hrsg</w:t>
            </w:r>
            <w:r w:rsidRPr="00F434B0">
              <w:rPr>
                <w:rFonts w:cs="Arial"/>
                <w:sz w:val="20"/>
                <w:szCs w:val="20"/>
              </w:rPr>
              <w:t xml:space="preserve">. 2020. </w:t>
            </w:r>
            <w:r w:rsidRPr="00AD10CB">
              <w:rPr>
                <w:rFonts w:cs="Arial"/>
                <w:i/>
                <w:iCs/>
                <w:sz w:val="20"/>
                <w:szCs w:val="20"/>
              </w:rPr>
              <w:t xml:space="preserve">Elternschaft und Familie jenseits von Heteronormativität und </w:t>
            </w:r>
            <w:r w:rsidRPr="00AD10CB">
              <w:rPr>
                <w:rFonts w:cs="Arial"/>
                <w:i/>
                <w:iCs/>
                <w:sz w:val="20"/>
                <w:szCs w:val="20"/>
              </w:rPr>
              <w:lastRenderedPageBreak/>
              <w:t>Zweigeschlechtlichkeit.</w:t>
            </w:r>
            <w:r>
              <w:rPr>
                <w:rFonts w:cs="Arial"/>
                <w:sz w:val="20"/>
                <w:szCs w:val="20"/>
              </w:rPr>
              <w:t xml:space="preserve"> GENDER Sonderheft 5. Opladen/</w:t>
            </w:r>
            <w:r>
              <w:rPr>
                <w:rFonts w:cs="Arial"/>
                <w:sz w:val="20"/>
                <w:szCs w:val="20"/>
              </w:rPr>
              <w:t>Berlin</w:t>
            </w:r>
            <w:r>
              <w:rPr>
                <w:rFonts w:cs="Arial"/>
                <w:sz w:val="20"/>
                <w:szCs w:val="20"/>
              </w:rPr>
              <w:t xml:space="preserve">/Toronto: </w:t>
            </w:r>
            <w:r w:rsidRPr="00F434B0">
              <w:rPr>
                <w:rFonts w:cs="Arial"/>
                <w:sz w:val="20"/>
                <w:szCs w:val="20"/>
              </w:rPr>
              <w:t>Verlag Barbara Budrich.</w:t>
            </w:r>
          </w:p>
          <w:p w14:paraId="19160A9F" w14:textId="77777777" w:rsidR="00AA3741" w:rsidRDefault="00AA3741" w:rsidP="003A5925">
            <w:pPr>
              <w:spacing w:before="0" w:line="240" w:lineRule="auto"/>
              <w:jc w:val="left"/>
              <w:rPr>
                <w:rFonts w:cs="Arial"/>
                <w:sz w:val="20"/>
                <w:szCs w:val="20"/>
              </w:rPr>
            </w:pPr>
          </w:p>
          <w:p w14:paraId="7DA22F14" w14:textId="77777777" w:rsidR="00AA3741" w:rsidRPr="00F434B0" w:rsidRDefault="00AA3741" w:rsidP="003A5925">
            <w:pPr>
              <w:spacing w:before="0" w:line="240" w:lineRule="auto"/>
              <w:jc w:val="left"/>
              <w:rPr>
                <w:rFonts w:cs="Arial"/>
                <w:sz w:val="20"/>
                <w:szCs w:val="20"/>
              </w:rPr>
            </w:pPr>
            <w:r w:rsidRPr="00F434B0">
              <w:rPr>
                <w:rFonts w:cs="Arial"/>
                <w:sz w:val="20"/>
                <w:szCs w:val="20"/>
              </w:rPr>
              <w:sym w:font="Wingdings" w:char="F0E0"/>
            </w:r>
            <w:r w:rsidRPr="00F434B0">
              <w:rPr>
                <w:rFonts w:cs="Arial"/>
                <w:sz w:val="20"/>
                <w:szCs w:val="20"/>
              </w:rPr>
              <w:t xml:space="preserve"> verschiedene Beiträge</w:t>
            </w:r>
          </w:p>
        </w:tc>
        <w:tc>
          <w:tcPr>
            <w:tcW w:w="10064" w:type="dxa"/>
          </w:tcPr>
          <w:p w14:paraId="51F510BE"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 xml:space="preserve">Regenbogenfamilie, Inseminationsfamilie, Mehrelternfamilie: Diese Begriffe versuchen das Phänomen zu fassen, dass Elternschaft und Familie in vielfältigen Konstellationen verwirklicht werden. Sie stehen dabei im Spannungsfeld zwischen empirischer Vielfalt und gesellschaftlichen Norm- und Normalitätsvorstellungen. Die </w:t>
            </w:r>
            <w:r w:rsidRPr="00F434B0">
              <w:rPr>
                <w:rFonts w:cs="Arial"/>
                <w:sz w:val="20"/>
                <w:szCs w:val="20"/>
              </w:rPr>
              <w:lastRenderedPageBreak/>
              <w:t>Beiträge des Sonderheftes erkunden die Familienformen lesbischer Zweielternfamilien, Trans* und Co-Elternschaft, nicht-monogamer Beziehungsnetzwerke sowie queere Beziehungsnetzwerke im Kontext von Flucht.</w:t>
            </w:r>
          </w:p>
        </w:tc>
      </w:tr>
      <w:tr w:rsidR="00AA3741" w:rsidRPr="00F434B0" w14:paraId="69553004" w14:textId="77777777" w:rsidTr="00E62390">
        <w:tc>
          <w:tcPr>
            <w:tcW w:w="4390" w:type="dxa"/>
            <w:shd w:val="clear" w:color="auto" w:fill="E482D1"/>
          </w:tcPr>
          <w:p w14:paraId="5517219B" w14:textId="77777777" w:rsidR="00AA3741" w:rsidRDefault="00AA3741" w:rsidP="003A5925">
            <w:pPr>
              <w:spacing w:before="0" w:line="240" w:lineRule="auto"/>
              <w:jc w:val="left"/>
              <w:rPr>
                <w:rFonts w:cs="Arial"/>
                <w:sz w:val="20"/>
                <w:szCs w:val="20"/>
              </w:rPr>
            </w:pPr>
            <w:proofErr w:type="spellStart"/>
            <w:r w:rsidRPr="00F434B0">
              <w:rPr>
                <w:rFonts w:cs="Arial"/>
                <w:sz w:val="20"/>
                <w:szCs w:val="20"/>
              </w:rPr>
              <w:lastRenderedPageBreak/>
              <w:t>Pühl</w:t>
            </w:r>
            <w:proofErr w:type="spellEnd"/>
            <w:r w:rsidRPr="00F434B0">
              <w:rPr>
                <w:rFonts w:cs="Arial"/>
                <w:sz w:val="20"/>
                <w:szCs w:val="20"/>
              </w:rPr>
              <w:t>, K</w:t>
            </w:r>
            <w:r>
              <w:rPr>
                <w:rFonts w:cs="Arial"/>
                <w:sz w:val="20"/>
                <w:szCs w:val="20"/>
              </w:rPr>
              <w:t xml:space="preserve">atharina und Birgit </w:t>
            </w:r>
            <w:r w:rsidRPr="00F434B0">
              <w:rPr>
                <w:rFonts w:cs="Arial"/>
                <w:sz w:val="20"/>
                <w:szCs w:val="20"/>
              </w:rPr>
              <w:t>Sauer,</w:t>
            </w:r>
            <w:r>
              <w:rPr>
                <w:rFonts w:cs="Arial"/>
                <w:sz w:val="20"/>
                <w:szCs w:val="20"/>
              </w:rPr>
              <w:t xml:space="preserve"> </w:t>
            </w:r>
            <w:r w:rsidRPr="00F434B0">
              <w:rPr>
                <w:rFonts w:cs="Arial"/>
                <w:sz w:val="20"/>
                <w:szCs w:val="20"/>
              </w:rPr>
              <w:t xml:space="preserve">Hrsg. 2018. </w:t>
            </w:r>
            <w:r w:rsidRPr="00AD10CB">
              <w:rPr>
                <w:rFonts w:cs="Arial"/>
                <w:i/>
                <w:iCs/>
                <w:sz w:val="20"/>
                <w:szCs w:val="20"/>
              </w:rPr>
              <w:t>Kapitalismuskritische Gesellschaftsanalyse; queer-feministische Positionen.</w:t>
            </w:r>
            <w:r>
              <w:rPr>
                <w:rFonts w:cs="Arial"/>
                <w:sz w:val="20"/>
                <w:szCs w:val="20"/>
              </w:rPr>
              <w:t xml:space="preserve"> </w:t>
            </w:r>
            <w:r w:rsidRPr="00F434B0">
              <w:rPr>
                <w:rFonts w:cs="Arial"/>
                <w:sz w:val="20"/>
                <w:szCs w:val="20"/>
              </w:rPr>
              <w:t xml:space="preserve">Münster: Westfälisches Dampfboot. </w:t>
            </w:r>
          </w:p>
          <w:p w14:paraId="73712347" w14:textId="77777777" w:rsidR="00AA3741" w:rsidRDefault="00AA3741" w:rsidP="003A5925">
            <w:pPr>
              <w:spacing w:before="0" w:line="240" w:lineRule="auto"/>
              <w:jc w:val="left"/>
              <w:rPr>
                <w:rFonts w:cs="Arial"/>
                <w:sz w:val="20"/>
                <w:szCs w:val="20"/>
              </w:rPr>
            </w:pPr>
          </w:p>
          <w:p w14:paraId="5663512E" w14:textId="77777777" w:rsidR="00AA3741" w:rsidRPr="00F434B0" w:rsidRDefault="00AA3741" w:rsidP="003A5925">
            <w:pPr>
              <w:spacing w:before="0" w:line="240" w:lineRule="auto"/>
              <w:jc w:val="left"/>
              <w:rPr>
                <w:rFonts w:cs="Arial"/>
                <w:sz w:val="20"/>
                <w:szCs w:val="20"/>
              </w:rPr>
            </w:pPr>
            <w:r w:rsidRPr="00F434B0">
              <w:rPr>
                <w:rFonts w:cs="Arial"/>
                <w:sz w:val="20"/>
                <w:szCs w:val="20"/>
              </w:rPr>
              <w:sym w:font="Wingdings" w:char="F0E0"/>
            </w:r>
            <w:r w:rsidRPr="00F434B0">
              <w:rPr>
                <w:rFonts w:cs="Arial"/>
                <w:sz w:val="20"/>
                <w:szCs w:val="20"/>
              </w:rPr>
              <w:t xml:space="preserve"> verschiedene Beiträge</w:t>
            </w:r>
          </w:p>
        </w:tc>
        <w:tc>
          <w:tcPr>
            <w:tcW w:w="10064" w:type="dxa"/>
          </w:tcPr>
          <w:p w14:paraId="3B2E2B40" w14:textId="77777777" w:rsidR="00AA3741" w:rsidRPr="00F434B0" w:rsidRDefault="00AA3741" w:rsidP="0011115C">
            <w:pPr>
              <w:spacing w:before="0" w:line="240" w:lineRule="auto"/>
              <w:jc w:val="left"/>
              <w:rPr>
                <w:rFonts w:cs="Arial"/>
                <w:sz w:val="20"/>
                <w:szCs w:val="20"/>
              </w:rPr>
            </w:pPr>
            <w:r w:rsidRPr="00F434B0">
              <w:rPr>
                <w:rFonts w:cs="Arial"/>
                <w:sz w:val="20"/>
                <w:szCs w:val="20"/>
              </w:rPr>
              <w:t xml:space="preserve">Multiple Krisen des Kapitalismus bilden grundlegende Herausforderungen für sich verändernde Geschlechterverhältnisse. Neuartige Regulierungen von Reproduktion, von Sexualität, gesellschaftlichen Naturverhältnissen und Materialität sowie demokratiepolitische Konstellationen erfordern neue kritische </w:t>
            </w:r>
            <w:proofErr w:type="spellStart"/>
            <w:r w:rsidRPr="00F434B0">
              <w:rPr>
                <w:rFonts w:cs="Arial"/>
                <w:sz w:val="20"/>
                <w:szCs w:val="20"/>
              </w:rPr>
              <w:t>Theoretisierungen</w:t>
            </w:r>
            <w:proofErr w:type="spellEnd"/>
            <w:r w:rsidRPr="00F434B0">
              <w:rPr>
                <w:rFonts w:cs="Arial"/>
                <w:sz w:val="20"/>
                <w:szCs w:val="20"/>
              </w:rPr>
              <w:t xml:space="preserve">. Reproduktionsarbeit als zentraler Topos feministisch-marxistischer Diskussionen wird </w:t>
            </w:r>
            <w:proofErr w:type="gramStart"/>
            <w:r w:rsidRPr="00F434B0">
              <w:rPr>
                <w:rFonts w:cs="Arial"/>
                <w:sz w:val="20"/>
                <w:szCs w:val="20"/>
              </w:rPr>
              <w:t xml:space="preserve">von den </w:t>
            </w:r>
            <w:proofErr w:type="spellStart"/>
            <w:r w:rsidRPr="00F434B0">
              <w:rPr>
                <w:rFonts w:cs="Arial"/>
                <w:sz w:val="20"/>
                <w:szCs w:val="20"/>
              </w:rPr>
              <w:t>Autor</w:t>
            </w:r>
            <w:proofErr w:type="gramEnd"/>
            <w:r w:rsidRPr="00F434B0">
              <w:rPr>
                <w:rFonts w:cs="Arial"/>
                <w:sz w:val="20"/>
                <w:szCs w:val="20"/>
              </w:rPr>
              <w:t>_innen</w:t>
            </w:r>
            <w:proofErr w:type="spellEnd"/>
            <w:r w:rsidRPr="00F434B0">
              <w:rPr>
                <w:rFonts w:cs="Arial"/>
                <w:sz w:val="20"/>
                <w:szCs w:val="20"/>
              </w:rPr>
              <w:t xml:space="preserve"> in einem weiten Sinne verstanden. Die Sorge und Selbstsorge um Körper, Pflege und Gesundheit ist erweitert um Bildung und Erziehung, Kommunikation und politische Partizipation zu denken.</w:t>
            </w:r>
          </w:p>
          <w:p w14:paraId="753E1269" w14:textId="77777777" w:rsidR="00AA3741" w:rsidRPr="00F434B0" w:rsidRDefault="00AA3741" w:rsidP="0011115C">
            <w:pPr>
              <w:spacing w:before="0" w:line="240" w:lineRule="auto"/>
              <w:jc w:val="left"/>
              <w:rPr>
                <w:rFonts w:cs="Arial"/>
                <w:sz w:val="20"/>
                <w:szCs w:val="20"/>
              </w:rPr>
            </w:pPr>
            <w:r w:rsidRPr="00F434B0">
              <w:rPr>
                <w:rFonts w:cs="Arial"/>
                <w:sz w:val="20"/>
                <w:szCs w:val="20"/>
              </w:rPr>
              <w:t>Der Band repräsentiert aktuelle Positionen feministisch-kapitalismuskritischer Gesellschaftsanalyse wie beispielsweise eine materialistische Perspektive auf Intersektionalität, Hegemoniekritik hegemonialer Männlichkeit, queer-feministische Kritik des autoritären Neoliberalismus oder auf das Transformationspotential einer care-revolution.</w:t>
            </w:r>
          </w:p>
        </w:tc>
      </w:tr>
      <w:tr w:rsidR="00AA3741" w:rsidRPr="00F434B0" w14:paraId="429930CE" w14:textId="77777777" w:rsidTr="00ED724E">
        <w:tc>
          <w:tcPr>
            <w:tcW w:w="4390" w:type="dxa"/>
            <w:shd w:val="clear" w:color="auto" w:fill="FF66CC"/>
          </w:tcPr>
          <w:p w14:paraId="041FFC9F"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Rödel, </w:t>
            </w:r>
            <w:proofErr w:type="spellStart"/>
            <w:r w:rsidRPr="00F434B0">
              <w:rPr>
                <w:rFonts w:cs="Arial"/>
                <w:sz w:val="20"/>
                <w:szCs w:val="20"/>
              </w:rPr>
              <w:t>M</w:t>
            </w:r>
            <w:r>
              <w:rPr>
                <w:rFonts w:cs="Arial"/>
                <w:sz w:val="20"/>
                <w:szCs w:val="20"/>
              </w:rPr>
              <w:t>alaika</w:t>
            </w:r>
            <w:proofErr w:type="spellEnd"/>
            <w:r>
              <w:rPr>
                <w:rFonts w:cs="Arial"/>
                <w:sz w:val="20"/>
                <w:szCs w:val="20"/>
              </w:rPr>
              <w:t xml:space="preserve">. </w:t>
            </w:r>
            <w:r w:rsidRPr="00F434B0">
              <w:rPr>
                <w:rFonts w:cs="Arial"/>
                <w:sz w:val="20"/>
                <w:szCs w:val="20"/>
              </w:rPr>
              <w:t xml:space="preserve">2018. </w:t>
            </w:r>
            <w:proofErr w:type="spellStart"/>
            <w:r w:rsidRPr="00F434B0">
              <w:rPr>
                <w:rFonts w:cs="Arial"/>
                <w:sz w:val="20"/>
                <w:szCs w:val="20"/>
              </w:rPr>
              <w:t>What</w:t>
            </w:r>
            <w:proofErr w:type="spellEnd"/>
            <w:r w:rsidRPr="00F434B0">
              <w:rPr>
                <w:rFonts w:cs="Arial"/>
                <w:sz w:val="20"/>
                <w:szCs w:val="20"/>
              </w:rPr>
              <w:t xml:space="preserve"> </w:t>
            </w:r>
            <w:proofErr w:type="spellStart"/>
            <w:r w:rsidRPr="00F434B0">
              <w:rPr>
                <w:rFonts w:cs="Arial"/>
                <w:sz w:val="20"/>
                <w:szCs w:val="20"/>
              </w:rPr>
              <w:t>matters</w:t>
            </w:r>
            <w:proofErr w:type="spellEnd"/>
            <w:r w:rsidRPr="00F434B0">
              <w:rPr>
                <w:rFonts w:cs="Arial"/>
                <w:sz w:val="20"/>
                <w:szCs w:val="20"/>
              </w:rPr>
              <w:t>? - Natur, Technologie und Geschlecht im Diskurs der Präimplantationsdiagnostik.</w:t>
            </w:r>
            <w:r>
              <w:rPr>
                <w:rFonts w:cs="Arial"/>
                <w:sz w:val="20"/>
                <w:szCs w:val="20"/>
              </w:rPr>
              <w:t xml:space="preserve"> </w:t>
            </w:r>
            <w:r w:rsidRPr="006C4854">
              <w:rPr>
                <w:rFonts w:cs="Arial"/>
                <w:i/>
                <w:sz w:val="20"/>
                <w:szCs w:val="20"/>
              </w:rPr>
              <w:t>GENDER - Zeitschrift für Geschlecht, Kultur und Gesellschaft</w:t>
            </w:r>
            <w:r w:rsidRPr="00F434B0">
              <w:rPr>
                <w:rFonts w:cs="Arial"/>
                <w:sz w:val="20"/>
                <w:szCs w:val="20"/>
              </w:rPr>
              <w:t xml:space="preserve"> 10</w:t>
            </w:r>
            <w:r>
              <w:rPr>
                <w:rFonts w:cs="Arial"/>
                <w:sz w:val="20"/>
                <w:szCs w:val="20"/>
              </w:rPr>
              <w:t xml:space="preserve"> </w:t>
            </w:r>
            <w:r w:rsidRPr="00F434B0">
              <w:rPr>
                <w:rFonts w:cs="Arial"/>
                <w:sz w:val="20"/>
                <w:szCs w:val="20"/>
              </w:rPr>
              <w:t>(1)</w:t>
            </w:r>
            <w:r>
              <w:rPr>
                <w:rFonts w:cs="Arial"/>
                <w:sz w:val="20"/>
                <w:szCs w:val="20"/>
              </w:rPr>
              <w:t>:</w:t>
            </w:r>
            <w:r w:rsidRPr="00F434B0">
              <w:rPr>
                <w:rFonts w:cs="Arial"/>
                <w:sz w:val="20"/>
                <w:szCs w:val="20"/>
              </w:rPr>
              <w:t xml:space="preserve"> 47-62. https://doi.org/10.3224/gender.v10i1.04</w:t>
            </w:r>
          </w:p>
        </w:tc>
        <w:tc>
          <w:tcPr>
            <w:tcW w:w="10064" w:type="dxa"/>
          </w:tcPr>
          <w:p w14:paraId="5A2B1A34" w14:textId="77777777" w:rsidR="00AA3741" w:rsidRPr="00F434B0" w:rsidRDefault="00AA3741" w:rsidP="003A5925">
            <w:pPr>
              <w:spacing w:before="0" w:line="240" w:lineRule="auto"/>
              <w:jc w:val="left"/>
              <w:rPr>
                <w:rFonts w:cs="Arial"/>
                <w:sz w:val="20"/>
                <w:szCs w:val="20"/>
              </w:rPr>
            </w:pPr>
            <w:r w:rsidRPr="00F434B0">
              <w:rPr>
                <w:rFonts w:cs="Arial"/>
                <w:sz w:val="20"/>
                <w:szCs w:val="20"/>
              </w:rPr>
              <w:t>Seit der Einführung der In-vitro-Fertilisation in den 1970er-Jahren sind im Feld der modernen Reproduktionsmedizin eine Reihe weiterer Verfahren entstanden, die die Vorstellungen von Zeugung und Elternschaft verändern. Leihmutterschaft, Präimplantationsdiagnostik, Eizell- und Samenspende lösen die Verbindung von Sexualität und Reproduktion und bieten ein Beispiel für die These der zunehmenden Auflösung von Körper- und Geschlechtergrenzen. Der vorliegende Beitrag leuchtet am Beispiel der Präimplantationsdiagnostik (PID) aus, wie Geschlecht und die Grenze von Natur und Technologie im Zuge dieser Entwicklung neu verhandelt werden. Anhand der Ergebnisse einer Analyse des Diskurses um die PID in Deutschland wird aufgezeigt, wie sich die PID von einer selektiven und mehrheitlich abgelehnten Diagnostik zu einer helfenden Hand für Paare mit Kinderwunsch wandelt und wie diese diskursiven Verschiebungen mit Rückgriff auf die Science and Technology Studies als eine "strategische Naturalisierung" (Thompson) und "Reinigungsarbeit" (Latour) im Diskurs verstanden werden können.</w:t>
            </w:r>
          </w:p>
        </w:tc>
      </w:tr>
      <w:tr w:rsidR="00AA3741" w:rsidRPr="00F434B0" w14:paraId="38CACBD1" w14:textId="77777777" w:rsidTr="00390E97">
        <w:tc>
          <w:tcPr>
            <w:tcW w:w="4390" w:type="dxa"/>
            <w:shd w:val="clear" w:color="auto" w:fill="A8D08D" w:themeFill="accent6" w:themeFillTint="99"/>
          </w:tcPr>
          <w:p w14:paraId="09F2289B" w14:textId="77777777" w:rsidR="00AA3741" w:rsidRPr="00F434B0" w:rsidRDefault="00AA3741" w:rsidP="003A5925">
            <w:pPr>
              <w:spacing w:before="0" w:line="240" w:lineRule="auto"/>
              <w:jc w:val="left"/>
              <w:rPr>
                <w:rFonts w:cs="Arial"/>
                <w:sz w:val="20"/>
                <w:szCs w:val="20"/>
              </w:rPr>
            </w:pPr>
            <w:commentRangeStart w:id="15"/>
            <w:r w:rsidRPr="00F434B0">
              <w:rPr>
                <w:rFonts w:cs="Arial"/>
                <w:sz w:val="20"/>
                <w:szCs w:val="20"/>
              </w:rPr>
              <w:t>Roesch</w:t>
            </w:r>
            <w:commentRangeEnd w:id="15"/>
            <w:r w:rsidRPr="00F434B0">
              <w:rPr>
                <w:rStyle w:val="Kommentarzeichen"/>
                <w:rFonts w:cs="Arial"/>
                <w:sz w:val="20"/>
                <w:szCs w:val="20"/>
              </w:rPr>
              <w:commentReference w:id="15"/>
            </w:r>
            <w:r w:rsidRPr="00F434B0">
              <w:rPr>
                <w:rFonts w:cs="Arial"/>
                <w:sz w:val="20"/>
                <w:szCs w:val="20"/>
              </w:rPr>
              <w:t>, C</w:t>
            </w:r>
            <w:r>
              <w:rPr>
                <w:rFonts w:cs="Arial"/>
                <w:sz w:val="20"/>
                <w:szCs w:val="20"/>
              </w:rPr>
              <w:t>laudia</w:t>
            </w:r>
            <w:r w:rsidRPr="00F434B0">
              <w:rPr>
                <w:rFonts w:cs="Arial"/>
                <w:sz w:val="20"/>
                <w:szCs w:val="20"/>
              </w:rPr>
              <w:t xml:space="preserve">. 2021. </w:t>
            </w:r>
            <w:r w:rsidRPr="00D83565">
              <w:rPr>
                <w:rFonts w:cs="Arial"/>
                <w:i/>
                <w:iCs/>
                <w:sz w:val="20"/>
                <w:szCs w:val="20"/>
              </w:rPr>
              <w:t>Wunschkinder</w:t>
            </w:r>
            <w:r>
              <w:rPr>
                <w:rFonts w:cs="Arial"/>
                <w:i/>
                <w:iCs/>
                <w:sz w:val="20"/>
                <w:szCs w:val="20"/>
              </w:rPr>
              <w:t>. E</w:t>
            </w:r>
            <w:r w:rsidRPr="00D83565">
              <w:rPr>
                <w:rFonts w:cs="Arial"/>
                <w:i/>
                <w:iCs/>
                <w:sz w:val="20"/>
                <w:szCs w:val="20"/>
              </w:rPr>
              <w:t>ine transnationale Geschichte der Familienplanung in der Bundesrepublik Deutschland</w:t>
            </w:r>
            <w:r>
              <w:rPr>
                <w:rFonts w:cs="Arial"/>
                <w:iCs/>
                <w:sz w:val="20"/>
                <w:szCs w:val="20"/>
              </w:rPr>
              <w:t xml:space="preserve">. Reihe Kulturen des Entscheidens, Band </w:t>
            </w:r>
            <w:r w:rsidRPr="00F434B0">
              <w:rPr>
                <w:rFonts w:cs="Arial"/>
                <w:sz w:val="20"/>
                <w:szCs w:val="20"/>
              </w:rPr>
              <w:t xml:space="preserve">7. </w:t>
            </w:r>
            <w:r>
              <w:rPr>
                <w:rFonts w:cs="Arial"/>
                <w:sz w:val="20"/>
                <w:szCs w:val="20"/>
              </w:rPr>
              <w:t xml:space="preserve">Göttingen: </w:t>
            </w:r>
            <w:r w:rsidRPr="00F434B0">
              <w:rPr>
                <w:rFonts w:cs="Arial"/>
                <w:sz w:val="20"/>
                <w:szCs w:val="20"/>
              </w:rPr>
              <w:t>Vandenhoeck &amp; Ruprecht.</w:t>
            </w:r>
          </w:p>
        </w:tc>
        <w:tc>
          <w:tcPr>
            <w:tcW w:w="10064" w:type="dxa"/>
          </w:tcPr>
          <w:p w14:paraId="2A0C66A7" w14:textId="77777777" w:rsidR="00AA3741" w:rsidRPr="00F434B0" w:rsidRDefault="00AA3741" w:rsidP="003A5925">
            <w:pPr>
              <w:spacing w:before="0" w:line="240" w:lineRule="auto"/>
              <w:jc w:val="left"/>
              <w:rPr>
                <w:rFonts w:cs="Arial"/>
                <w:sz w:val="20"/>
                <w:szCs w:val="20"/>
              </w:rPr>
            </w:pPr>
            <w:r w:rsidRPr="00F434B0">
              <w:rPr>
                <w:rFonts w:cs="Arial"/>
                <w:sz w:val="20"/>
                <w:szCs w:val="20"/>
              </w:rPr>
              <w:t>Wie wurden Kinder im 20. Jahrhundert zu Wunschkindern? Wie wurde Nachwuchs zu etwas, das bewusst geplant wurde? Dieses Buch untersucht die Geschichte der Familienplanung in der Bundesrepublik Deutschland in einem transnationalen Ansatz. Dabei betrachtet es zunächst die Geschichte der Geburtenkontrolle in der Weimarer Republik und im Nationalsozialismus, dann die Entstehung der Familienplanung in den USA. In seinem Hauptteil analysiert es die Debatten über Sterilisation und die Anti-Baby-Pille in den 1960er Jahren, die Frauenbewegung der 1970er Jahre und die Reform der Abtreibung aus Sicht der Befürworter und Gegner.</w:t>
            </w:r>
          </w:p>
        </w:tc>
      </w:tr>
      <w:tr w:rsidR="00AA3741" w:rsidRPr="00F434B0" w14:paraId="329A6642" w14:textId="77777777" w:rsidTr="0013002F">
        <w:tc>
          <w:tcPr>
            <w:tcW w:w="4390" w:type="dxa"/>
            <w:shd w:val="clear" w:color="auto" w:fill="FF66CC"/>
          </w:tcPr>
          <w:p w14:paraId="56F9DEC6" w14:textId="77777777" w:rsidR="00AA3741" w:rsidRPr="00F434B0" w:rsidRDefault="00AA3741" w:rsidP="003A5925">
            <w:pPr>
              <w:spacing w:before="0" w:line="240" w:lineRule="auto"/>
              <w:jc w:val="left"/>
              <w:rPr>
                <w:rFonts w:cs="Arial"/>
                <w:sz w:val="20"/>
                <w:szCs w:val="20"/>
              </w:rPr>
            </w:pPr>
            <w:r w:rsidRPr="00F434B0">
              <w:rPr>
                <w:rFonts w:cs="Arial"/>
                <w:sz w:val="20"/>
                <w:szCs w:val="20"/>
              </w:rPr>
              <w:t>Rose, L</w:t>
            </w:r>
            <w:r>
              <w:rPr>
                <w:rFonts w:cs="Arial"/>
                <w:sz w:val="20"/>
                <w:szCs w:val="20"/>
              </w:rPr>
              <w:t>otte.</w:t>
            </w:r>
            <w:r w:rsidRPr="00F434B0">
              <w:rPr>
                <w:rFonts w:cs="Arial"/>
                <w:sz w:val="20"/>
                <w:szCs w:val="20"/>
              </w:rPr>
              <w:t xml:space="preserve"> 2010. ‚Natürliche ‘und ‚sanfte Geburt‘. Paradoxien der modernen Entbindungsreformen.</w:t>
            </w:r>
            <w:r w:rsidRPr="006B0F17">
              <w:rPr>
                <w:rFonts w:cs="Arial"/>
                <w:i/>
                <w:iCs/>
                <w:sz w:val="20"/>
                <w:szCs w:val="20"/>
              </w:rPr>
              <w:t xml:space="preserve"> FGS–Freiburger </w:t>
            </w:r>
            <w:proofErr w:type="spellStart"/>
            <w:r w:rsidRPr="006B0F17">
              <w:rPr>
                <w:rFonts w:cs="Arial"/>
                <w:i/>
                <w:iCs/>
                <w:sz w:val="20"/>
                <w:szCs w:val="20"/>
              </w:rPr>
              <w:t>GeschlechterStudien</w:t>
            </w:r>
            <w:proofErr w:type="spellEnd"/>
            <w:r>
              <w:rPr>
                <w:rFonts w:cs="Arial"/>
                <w:i/>
                <w:iCs/>
                <w:sz w:val="20"/>
                <w:szCs w:val="20"/>
              </w:rPr>
              <w:t xml:space="preserve"> </w:t>
            </w:r>
            <w:r>
              <w:rPr>
                <w:rFonts w:cs="Arial"/>
                <w:sz w:val="20"/>
                <w:szCs w:val="20"/>
              </w:rPr>
              <w:t xml:space="preserve">24 </w:t>
            </w:r>
            <w:r w:rsidRPr="00F434B0">
              <w:rPr>
                <w:rFonts w:cs="Arial"/>
                <w:sz w:val="20"/>
                <w:szCs w:val="20"/>
              </w:rPr>
              <w:t>(1)</w:t>
            </w:r>
            <w:r>
              <w:rPr>
                <w:rFonts w:cs="Arial"/>
                <w:sz w:val="20"/>
                <w:szCs w:val="20"/>
              </w:rPr>
              <w:t xml:space="preserve">: </w:t>
            </w:r>
            <w:r w:rsidRPr="00E33790">
              <w:rPr>
                <w:rFonts w:cs="Arial"/>
                <w:sz w:val="20"/>
                <w:szCs w:val="20"/>
              </w:rPr>
              <w:t>207-222</w:t>
            </w:r>
            <w:r>
              <w:rPr>
                <w:rFonts w:cs="Arial"/>
                <w:sz w:val="20"/>
                <w:szCs w:val="20"/>
              </w:rPr>
              <w:t>.</w:t>
            </w:r>
          </w:p>
        </w:tc>
        <w:tc>
          <w:tcPr>
            <w:tcW w:w="10064" w:type="dxa"/>
          </w:tcPr>
          <w:p w14:paraId="4AE44791"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(aus der Einleitung):  Wie, wann, wo und mit wem Frauen Kinder auf die Welt bringen, ist keineswegs eine natürliche Sache, sondern Gegenstand von umfassenden normativen Regulierungen. Für unseren westlich-zivilisierten Kulturkreis lassen sich für die letzten Jahrhunderte zwei </w:t>
            </w:r>
            <w:proofErr w:type="gramStart"/>
            <w:r w:rsidRPr="00F434B0">
              <w:rPr>
                <w:rFonts w:cs="Arial"/>
                <w:sz w:val="20"/>
                <w:szCs w:val="20"/>
              </w:rPr>
              <w:t>tief greifende</w:t>
            </w:r>
            <w:proofErr w:type="gramEnd"/>
            <w:r w:rsidRPr="00F434B0">
              <w:rPr>
                <w:rFonts w:cs="Arial"/>
                <w:sz w:val="20"/>
                <w:szCs w:val="20"/>
              </w:rPr>
              <w:t xml:space="preserve"> Wendepunkte bei diesen Regulierungen ausmachen: die Medikalisierung des Geburtsvorganges sowie die Einführung der ‚natürlichen‘ und ‚sanften‘ Geburt. Während Schwangerschaft und Geburt lange Zeit in den Zuständigkeitsbereich geburtserfahrener Frauen und heilkundiger Hebammen gehörten, werden diese Vorgänge ab dem 18. Jahrhundert sukzessive von der Medizin übernommen. Die rational-naturwissenschaftliche Wissensproduktion zur Steuerung von </w:t>
            </w:r>
            <w:r w:rsidRPr="00F434B0">
              <w:rPr>
                <w:rFonts w:cs="Arial"/>
                <w:sz w:val="20"/>
                <w:szCs w:val="20"/>
              </w:rPr>
              <w:lastRenderedPageBreak/>
              <w:t xml:space="preserve">Fertilität und Natalität setzt ein, und männliche, akademische Geburtshelfer übernehmen in den Entbindungssituationen die zentralen Funktionen. Geburten finden immer häufiger in den öffentlichen Entbindungsanstalten statt. Im 20. Jahrhundert setzt sich diese Praxis endgültig als Normalität durch. Die Geburt ist ein klinisches Ereignis geworden, das ärztlicher Sicherung wie auch medizintechnischer, operativer und pharmazeutischer Eingriffe bedarf (vgl. Duden 1994). Dies scheint nun völlig selbstverständlich und ist gar nicht mehr anders vorstellbar. Ähnliches vollzieht sich zeitversetzt auch mit der Schwangerschaft. Sie wird ebenfalls verstärkt zu einer körperlichen Etappe, die konstanter ärztlicher Überwachung und Fürsorge bedarf. Diese </w:t>
            </w:r>
            <w:proofErr w:type="spellStart"/>
            <w:r w:rsidRPr="00F434B0">
              <w:rPr>
                <w:rFonts w:cs="Arial"/>
                <w:sz w:val="20"/>
                <w:szCs w:val="20"/>
              </w:rPr>
              <w:t>Medikalisierungsvorgänge</w:t>
            </w:r>
            <w:proofErr w:type="spellEnd"/>
            <w:r w:rsidRPr="00F434B0">
              <w:rPr>
                <w:rFonts w:cs="Arial"/>
                <w:sz w:val="20"/>
                <w:szCs w:val="20"/>
              </w:rPr>
              <w:t xml:space="preserve"> sind bis heute nicht abgeschlossen, vielmehr verfeinern sie sich immer weiter. Die diagnostischen und therapeutischen Instrumente zur Geburtshilfe unterliegen ständigen Perfektionierungsprozessen und dehnen ihre Aufmerksamkeit und Regulierungsmöglichkeiten immer weiter aus – hierbei wird der Fokus zunehmend auf die vorgeburtliche Phase gelegt, wie beispielsweise das expandierende Feld der Reproduktionstechnologien und der pränatalen Diagnostik zeigt.   </w:t>
            </w:r>
          </w:p>
        </w:tc>
      </w:tr>
      <w:tr w:rsidR="00AA3741" w:rsidRPr="00F434B0" w14:paraId="00706B6E" w14:textId="77777777" w:rsidTr="000E0F16">
        <w:tc>
          <w:tcPr>
            <w:tcW w:w="4390" w:type="dxa"/>
            <w:shd w:val="clear" w:color="auto" w:fill="E482D1"/>
          </w:tcPr>
          <w:p w14:paraId="6851D0FC" w14:textId="77777777" w:rsidR="00AA3741" w:rsidRPr="00F434B0" w:rsidRDefault="00AA3741" w:rsidP="003A5925">
            <w:pPr>
              <w:spacing w:before="0" w:line="240" w:lineRule="auto"/>
              <w:jc w:val="left"/>
              <w:rPr>
                <w:rFonts w:cs="Arial"/>
                <w:sz w:val="20"/>
                <w:szCs w:val="20"/>
              </w:rPr>
            </w:pPr>
            <w:commentRangeStart w:id="16"/>
            <w:proofErr w:type="spellStart"/>
            <w:r w:rsidRPr="00F434B0">
              <w:rPr>
                <w:rFonts w:cs="Arial"/>
                <w:sz w:val="20"/>
                <w:szCs w:val="20"/>
              </w:rPr>
              <w:lastRenderedPageBreak/>
              <w:t>Rüling</w:t>
            </w:r>
            <w:commentRangeEnd w:id="16"/>
            <w:proofErr w:type="spellEnd"/>
            <w:r>
              <w:rPr>
                <w:rStyle w:val="Kommentarzeichen"/>
              </w:rPr>
              <w:commentReference w:id="16"/>
            </w:r>
            <w:r w:rsidRPr="00F434B0">
              <w:rPr>
                <w:rFonts w:cs="Arial"/>
                <w:sz w:val="20"/>
                <w:szCs w:val="20"/>
              </w:rPr>
              <w:t>, A</w:t>
            </w:r>
            <w:r>
              <w:rPr>
                <w:rFonts w:cs="Arial"/>
                <w:sz w:val="20"/>
                <w:szCs w:val="20"/>
              </w:rPr>
              <w:t>nneli.</w:t>
            </w:r>
            <w:r w:rsidRPr="00F434B0">
              <w:rPr>
                <w:rFonts w:cs="Arial"/>
                <w:sz w:val="20"/>
                <w:szCs w:val="20"/>
              </w:rPr>
              <w:t xml:space="preserve"> 2008. Das Stillen: </w:t>
            </w:r>
            <w:proofErr w:type="spellStart"/>
            <w:r w:rsidRPr="00F434B0">
              <w:rPr>
                <w:rFonts w:cs="Arial"/>
                <w:sz w:val="20"/>
                <w:szCs w:val="20"/>
              </w:rPr>
              <w:t>Traditionalisierung</w:t>
            </w:r>
            <w:proofErr w:type="spellEnd"/>
            <w:r w:rsidRPr="00F434B0">
              <w:rPr>
                <w:rFonts w:cs="Arial"/>
                <w:sz w:val="20"/>
                <w:szCs w:val="20"/>
              </w:rPr>
              <w:t xml:space="preserve"> der Arbeitsteilung durch naturalisierende Deutungen von Geschlecht? </w:t>
            </w:r>
            <w:r>
              <w:rPr>
                <w:rFonts w:cs="Arial"/>
                <w:sz w:val="20"/>
                <w:szCs w:val="20"/>
              </w:rPr>
              <w:t>In</w:t>
            </w:r>
            <w:r w:rsidRPr="00F434B0">
              <w:rPr>
                <w:rFonts w:cs="Arial"/>
                <w:sz w:val="20"/>
                <w:szCs w:val="20"/>
              </w:rPr>
              <w:t xml:space="preserve"> </w:t>
            </w:r>
            <w:r w:rsidRPr="00803B9E">
              <w:rPr>
                <w:rFonts w:cs="Arial"/>
                <w:i/>
                <w:iCs/>
                <w:sz w:val="20"/>
                <w:szCs w:val="20"/>
              </w:rPr>
              <w:t>Die Natur der Gesellschaft: Verhandlungen des 33. Kongresses der Deutschen Gesellschaft für Soziologie in Kassel 2006.</w:t>
            </w:r>
            <w:r w:rsidRPr="00F434B0">
              <w:rPr>
                <w:rFonts w:cs="Arial"/>
                <w:sz w:val="20"/>
                <w:szCs w:val="20"/>
              </w:rPr>
              <w:t xml:space="preserve"> </w:t>
            </w:r>
            <w:proofErr w:type="spellStart"/>
            <w:r w:rsidRPr="00803B9E">
              <w:rPr>
                <w:rFonts w:cs="Arial"/>
                <w:i/>
                <w:iCs/>
                <w:sz w:val="20"/>
                <w:szCs w:val="20"/>
              </w:rPr>
              <w:t>Teilbd</w:t>
            </w:r>
            <w:proofErr w:type="spellEnd"/>
            <w:r w:rsidRPr="00803B9E">
              <w:rPr>
                <w:rFonts w:cs="Arial"/>
                <w:i/>
                <w:iCs/>
                <w:sz w:val="20"/>
                <w:szCs w:val="20"/>
              </w:rPr>
              <w:t>. 1 u. 2</w:t>
            </w:r>
            <w:r>
              <w:rPr>
                <w:rFonts w:cs="Arial"/>
                <w:i/>
                <w:iCs/>
                <w:sz w:val="20"/>
                <w:szCs w:val="20"/>
              </w:rPr>
              <w:t xml:space="preserve">, </w:t>
            </w:r>
            <w:r>
              <w:rPr>
                <w:rFonts w:cs="Arial"/>
                <w:iCs/>
                <w:sz w:val="20"/>
                <w:szCs w:val="20"/>
              </w:rPr>
              <w:t xml:space="preserve">hrsg. von Karl-Siegbert Rehberg, </w:t>
            </w:r>
            <w:r w:rsidRPr="00F434B0">
              <w:rPr>
                <w:rFonts w:cs="Arial"/>
                <w:sz w:val="20"/>
                <w:szCs w:val="20"/>
              </w:rPr>
              <w:t>4774-4786</w:t>
            </w:r>
            <w:r>
              <w:rPr>
                <w:rFonts w:cs="Arial"/>
                <w:sz w:val="20"/>
                <w:szCs w:val="20"/>
              </w:rPr>
              <w:t>.</w:t>
            </w:r>
            <w:r w:rsidRPr="00F434B0">
              <w:rPr>
                <w:rFonts w:cs="Arial"/>
                <w:sz w:val="20"/>
                <w:szCs w:val="20"/>
              </w:rPr>
              <w:t xml:space="preserve"> Frankfurt am Main: </w:t>
            </w:r>
            <w:proofErr w:type="spellStart"/>
            <w:r w:rsidRPr="00F434B0">
              <w:rPr>
                <w:rFonts w:cs="Arial"/>
                <w:sz w:val="20"/>
                <w:szCs w:val="20"/>
              </w:rPr>
              <w:t>Campus.</w:t>
            </w:r>
            <w:hyperlink r:id="rId13" w:history="1">
              <w:r w:rsidRPr="00370BA2">
                <w:rPr>
                  <w:rStyle w:val="Hyperlink"/>
                  <w:rFonts w:cs="Arial"/>
                  <w:sz w:val="20"/>
                  <w:szCs w:val="20"/>
                </w:rPr>
                <w:t>https</w:t>
              </w:r>
              <w:proofErr w:type="spellEnd"/>
              <w:r w:rsidRPr="00370BA2">
                <w:rPr>
                  <w:rStyle w:val="Hyperlink"/>
                  <w:rFonts w:cs="Arial"/>
                  <w:sz w:val="20"/>
                  <w:szCs w:val="20"/>
                </w:rPr>
                <w:t>://nbnresolving.org/urn:nbn:de:0168-ssoar-154587</w:t>
              </w:r>
            </w:hyperlink>
            <w:r>
              <w:rPr>
                <w:rFonts w:cs="Arial"/>
                <w:sz w:val="20"/>
                <w:szCs w:val="20"/>
              </w:rPr>
              <w:t xml:space="preserve"> </w:t>
            </w:r>
          </w:p>
        </w:tc>
        <w:tc>
          <w:tcPr>
            <w:tcW w:w="10064" w:type="dxa"/>
          </w:tcPr>
          <w:p w14:paraId="25CB39AD" w14:textId="77777777" w:rsidR="00AA3741" w:rsidRPr="00F434B0" w:rsidRDefault="00AA3741" w:rsidP="003A5925">
            <w:pPr>
              <w:spacing w:before="0" w:line="240" w:lineRule="auto"/>
              <w:jc w:val="left"/>
              <w:rPr>
                <w:rFonts w:cs="Arial"/>
                <w:sz w:val="20"/>
                <w:szCs w:val="20"/>
              </w:rPr>
            </w:pPr>
            <w:r w:rsidRPr="00F434B0">
              <w:rPr>
                <w:rFonts w:cs="Arial"/>
                <w:sz w:val="20"/>
                <w:szCs w:val="20"/>
              </w:rPr>
              <w:t>In den letzten Jahren wurden im Wandel der Geschlechterverhältnisse Ungleichzeitigkeiten zwischen gesellschaftlichen Diskursen und individuellen Handlungspraxen konstatiert: Die traditionelle Arbeitsteilung nach der Familiengründung gilt als Indikator für deren Persistenz. Demgegenüber haben sich gesellschaftliche Deutungsmuster deutlich modernisiert. Bisher fehlen aber weitgehend theoretische Konzepte und empirische Analysen, die die Zusammenhänge zwischen gesellschaftlichen Wandlungstendenzen und dem individuellen Handeln erfassen können. Mit Rückgriff auf Giddens' Strukturierungstheorie analysiert der Vortrag anhand der familialen Arbeitsteilung, wie die Handlungsstrategien von Paaren durch gesellschaftliche Regeln und Ressourcen strukturiert werden. Re-</w:t>
            </w:r>
            <w:proofErr w:type="spellStart"/>
            <w:r w:rsidRPr="00F434B0">
              <w:rPr>
                <w:rFonts w:cs="Arial"/>
                <w:sz w:val="20"/>
                <w:szCs w:val="20"/>
              </w:rPr>
              <w:t>Traditionalisierende</w:t>
            </w:r>
            <w:proofErr w:type="spellEnd"/>
            <w:r w:rsidRPr="00F434B0">
              <w:rPr>
                <w:rFonts w:cs="Arial"/>
                <w:sz w:val="20"/>
                <w:szCs w:val="20"/>
              </w:rPr>
              <w:t xml:space="preserve"> und naturalisierende Deutungsmuster von Geschlecht - speziell von Mutterschaft - werden u.a. über Generativität und das Stillen vermittelt. Dies beschreibt die Verfasserin als </w:t>
            </w:r>
            <w:proofErr w:type="spellStart"/>
            <w:r w:rsidRPr="00F434B0">
              <w:rPr>
                <w:rFonts w:cs="Arial"/>
                <w:sz w:val="20"/>
                <w:szCs w:val="20"/>
              </w:rPr>
              <w:t>Traditionalisierungsfalle</w:t>
            </w:r>
            <w:proofErr w:type="spellEnd"/>
            <w:r w:rsidRPr="00F434B0">
              <w:rPr>
                <w:rFonts w:cs="Arial"/>
                <w:sz w:val="20"/>
                <w:szCs w:val="20"/>
              </w:rPr>
              <w:t xml:space="preserve">, </w:t>
            </w:r>
            <w:proofErr w:type="gramStart"/>
            <w:r w:rsidRPr="00F434B0">
              <w:rPr>
                <w:rFonts w:cs="Arial"/>
                <w:sz w:val="20"/>
                <w:szCs w:val="20"/>
              </w:rPr>
              <w:t>die individuellen Ansprüchen</w:t>
            </w:r>
            <w:proofErr w:type="gramEnd"/>
            <w:r w:rsidRPr="00F434B0">
              <w:rPr>
                <w:rFonts w:cs="Arial"/>
                <w:sz w:val="20"/>
                <w:szCs w:val="20"/>
              </w:rPr>
              <w:t xml:space="preserve"> geteilter Elternschaft entgegensteht. Wie Paare mit egalitären Arrangements von Arbeit und Leben diesen Widerspruch in ihren Lebensentwürfen und ihrer Alltagspraxis vermitteln, wird am Beispiel von Fallanalysen gezeigt. Im Ergebnis werden unterschiedliche Handlungsstrategien von Paaren im Umgang mit Deutungsmustern von Mutterschaft (und Vaterschaft) beschrieben. Sowohl naturalisierende Vorstellungen als auch egalitäre Ansprüche werden dabei in widersprüchlicher Weise in den Selbstbildern und im Alltagshandeln integriert. Einige Paare reproduzieren dabei diskursiv wie auch handlungspraktisch teilweise geschlechtsspezifische Verantwortlichkeiten, etwa bei der Kinderbetreuung. Andere wiederum weisen eher handlungspraktische Veränderungen der familialen Arbeitsteilung auf, ohne sich diskursiv auf Egalität zu beziehen. Dies beschreibt sie als pragmatische Modernisierung von Geschlechterverhältnissen in Paarbeziehungen.</w:t>
            </w:r>
          </w:p>
        </w:tc>
      </w:tr>
      <w:tr w:rsidR="00AA3741" w:rsidRPr="00F434B0" w14:paraId="1F613594" w14:textId="77777777" w:rsidTr="00897417">
        <w:tc>
          <w:tcPr>
            <w:tcW w:w="4390" w:type="dxa"/>
            <w:shd w:val="clear" w:color="auto" w:fill="A8D08D" w:themeFill="accent6" w:themeFillTint="99"/>
          </w:tcPr>
          <w:p w14:paraId="73D61CAC" w14:textId="77777777" w:rsidR="00AA3741" w:rsidRPr="00F434B0" w:rsidRDefault="00AA3741" w:rsidP="003A5925">
            <w:pPr>
              <w:spacing w:before="0" w:line="240" w:lineRule="auto"/>
              <w:jc w:val="left"/>
              <w:rPr>
                <w:rFonts w:cs="Arial"/>
                <w:sz w:val="20"/>
                <w:szCs w:val="20"/>
              </w:rPr>
            </w:pPr>
            <w:r w:rsidRPr="00F434B0">
              <w:rPr>
                <w:rFonts w:cs="Arial"/>
                <w:sz w:val="20"/>
                <w:szCs w:val="20"/>
              </w:rPr>
              <w:t>Sammet, K</w:t>
            </w:r>
            <w:r>
              <w:rPr>
                <w:rFonts w:cs="Arial"/>
                <w:sz w:val="20"/>
                <w:szCs w:val="20"/>
              </w:rPr>
              <w:t xml:space="preserve">ornelia. </w:t>
            </w:r>
            <w:r w:rsidRPr="00F434B0">
              <w:rPr>
                <w:rFonts w:cs="Arial"/>
                <w:sz w:val="20"/>
                <w:szCs w:val="20"/>
              </w:rPr>
              <w:t>2017. Religion, Geschlechterordnungen und Generativität. In</w:t>
            </w:r>
            <w:r>
              <w:rPr>
                <w:rFonts w:cs="Arial"/>
                <w:sz w:val="20"/>
                <w:szCs w:val="20"/>
              </w:rPr>
              <w:t xml:space="preserve"> </w:t>
            </w:r>
            <w:r w:rsidRPr="00320F30">
              <w:rPr>
                <w:rFonts w:cs="Arial"/>
                <w:i/>
                <w:iCs/>
                <w:sz w:val="20"/>
                <w:szCs w:val="20"/>
              </w:rPr>
              <w:t xml:space="preserve">Religion und Geschlechterordnungen. Veröffentlichungen der Sektion </w:t>
            </w:r>
            <w:r w:rsidRPr="00320F30">
              <w:rPr>
                <w:rFonts w:cs="Arial"/>
                <w:i/>
                <w:iCs/>
                <w:sz w:val="20"/>
                <w:szCs w:val="20"/>
                <w:highlight w:val="yellow"/>
              </w:rPr>
              <w:t>Religionssoziologie</w:t>
            </w:r>
            <w:r w:rsidRPr="00320F30">
              <w:rPr>
                <w:rFonts w:cs="Arial"/>
                <w:i/>
                <w:iCs/>
                <w:sz w:val="20"/>
                <w:szCs w:val="20"/>
              </w:rPr>
              <w:t xml:space="preserve"> der Deutschen Gesellschaft für Soziologie</w:t>
            </w:r>
            <w:r>
              <w:rPr>
                <w:rFonts w:cs="Arial"/>
                <w:sz w:val="20"/>
                <w:szCs w:val="20"/>
              </w:rPr>
              <w:t xml:space="preserve">, hrsg. von Kornelia </w:t>
            </w:r>
            <w:r w:rsidRPr="00F434B0">
              <w:rPr>
                <w:rFonts w:cs="Arial"/>
                <w:sz w:val="20"/>
                <w:szCs w:val="20"/>
              </w:rPr>
              <w:t xml:space="preserve">Sammet, </w:t>
            </w:r>
            <w:r>
              <w:rPr>
                <w:rFonts w:cs="Arial"/>
                <w:sz w:val="20"/>
                <w:szCs w:val="20"/>
              </w:rPr>
              <w:t xml:space="preserve">Friederike </w:t>
            </w:r>
            <w:r w:rsidRPr="00F434B0">
              <w:rPr>
                <w:rFonts w:cs="Arial"/>
                <w:sz w:val="20"/>
                <w:szCs w:val="20"/>
              </w:rPr>
              <w:t>Benthaus-Apel</w:t>
            </w:r>
            <w:r>
              <w:rPr>
                <w:rFonts w:cs="Arial"/>
                <w:sz w:val="20"/>
                <w:szCs w:val="20"/>
              </w:rPr>
              <w:t xml:space="preserve"> und Christel</w:t>
            </w:r>
            <w:r w:rsidRPr="00F434B0">
              <w:rPr>
                <w:rFonts w:cs="Arial"/>
                <w:sz w:val="20"/>
                <w:szCs w:val="20"/>
              </w:rPr>
              <w:t xml:space="preserve"> Gärtner</w:t>
            </w:r>
            <w:r>
              <w:rPr>
                <w:rFonts w:cs="Arial"/>
                <w:sz w:val="20"/>
                <w:szCs w:val="20"/>
              </w:rPr>
              <w:t xml:space="preserve">, 49-78. Wiesbaden: </w:t>
            </w:r>
            <w:r w:rsidRPr="00F434B0">
              <w:rPr>
                <w:rFonts w:cs="Arial"/>
                <w:sz w:val="20"/>
                <w:szCs w:val="20"/>
              </w:rPr>
              <w:lastRenderedPageBreak/>
              <w:t>Springer VS. https://doi.org/10.1007/978-3-658-17391-3_3</w:t>
            </w:r>
          </w:p>
        </w:tc>
        <w:tc>
          <w:tcPr>
            <w:tcW w:w="10064" w:type="dxa"/>
          </w:tcPr>
          <w:p w14:paraId="7816D7C9"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 xml:space="preserve">(aus Einleitung):  In diesem Beitrag möchte ich dem Verhältnis von Religion und Geschlechterordnungen in </w:t>
            </w:r>
            <w:r w:rsidRPr="00F434B0">
              <w:rPr>
                <w:rFonts w:cs="Arial"/>
                <w:sz w:val="20"/>
                <w:szCs w:val="20"/>
                <w:highlight w:val="yellow"/>
              </w:rPr>
              <w:t>religions- und geschlechtersoziologischen Perspektiven</w:t>
            </w:r>
            <w:r w:rsidRPr="00F434B0">
              <w:rPr>
                <w:rFonts w:cs="Arial"/>
                <w:sz w:val="20"/>
                <w:szCs w:val="20"/>
              </w:rPr>
              <w:t xml:space="preserve"> auf den Grund gehen. Meine Argumentation wird diese Fragestellung gewissermaßen umkreisen und in mehreren Anläufen von verschiedenen Seiten her beleuchten: mit Rückgriff auf quantitative Befunde, historische Entwicklungen, (religions-) soziologische Theorien, qualitative Studien und theologische Exegesen. Auf diesem Weg entfalte ich die These, dass religiöse Geschlechterordnungen die Frage der Generativität bearbeiten.</w:t>
            </w:r>
          </w:p>
        </w:tc>
      </w:tr>
      <w:tr w:rsidR="00AA3741" w:rsidRPr="00F434B0" w14:paraId="3355E409" w14:textId="77777777" w:rsidTr="00AE1BCF">
        <w:tc>
          <w:tcPr>
            <w:tcW w:w="4390" w:type="dxa"/>
            <w:shd w:val="clear" w:color="auto" w:fill="E482D1"/>
          </w:tcPr>
          <w:p w14:paraId="6F513678" w14:textId="77777777" w:rsidR="00AA3741" w:rsidRPr="00F434B0" w:rsidRDefault="00AA3741" w:rsidP="003A5925">
            <w:pPr>
              <w:spacing w:before="0" w:line="240" w:lineRule="auto"/>
              <w:jc w:val="left"/>
              <w:rPr>
                <w:rFonts w:cs="Arial"/>
                <w:sz w:val="20"/>
                <w:szCs w:val="20"/>
              </w:rPr>
            </w:pPr>
            <w:r w:rsidRPr="00F434B0">
              <w:rPr>
                <w:rFonts w:cs="Arial"/>
                <w:sz w:val="20"/>
                <w:szCs w:val="20"/>
              </w:rPr>
              <w:t>Sänger, E</w:t>
            </w:r>
            <w:r>
              <w:rPr>
                <w:rFonts w:cs="Arial"/>
                <w:sz w:val="20"/>
                <w:szCs w:val="20"/>
              </w:rPr>
              <w:t xml:space="preserve">va. </w:t>
            </w:r>
            <w:r w:rsidRPr="00F434B0">
              <w:rPr>
                <w:rFonts w:cs="Arial"/>
                <w:sz w:val="20"/>
                <w:szCs w:val="20"/>
              </w:rPr>
              <w:t xml:space="preserve">2019. Reproduktionstechnologien: Herausforderungen für die feministische Geschlechterforschung. </w:t>
            </w:r>
            <w:r w:rsidRPr="00F434B0">
              <w:rPr>
                <w:rFonts w:cs="Arial"/>
                <w:sz w:val="20"/>
                <w:szCs w:val="20"/>
              </w:rPr>
              <w:t>In</w:t>
            </w:r>
            <w:r>
              <w:rPr>
                <w:rFonts w:cs="Arial"/>
                <w:sz w:val="20"/>
                <w:szCs w:val="20"/>
              </w:rPr>
              <w:t xml:space="preserve"> </w:t>
            </w:r>
            <w:r w:rsidRPr="006133F8">
              <w:rPr>
                <w:rFonts w:cs="Arial"/>
                <w:i/>
                <w:iCs/>
                <w:sz w:val="20"/>
                <w:szCs w:val="20"/>
              </w:rPr>
              <w:t>Handbuch Interdisziplinäre Geschlechterforschung</w:t>
            </w:r>
            <w:r>
              <w:rPr>
                <w:rFonts w:cs="Arial"/>
                <w:sz w:val="20"/>
                <w:szCs w:val="20"/>
              </w:rPr>
              <w:t>, hrsg. von 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 xml:space="preserve">, </w:t>
            </w:r>
            <w:r>
              <w:rPr>
                <w:rFonts w:cs="Arial"/>
                <w:sz w:val="20"/>
                <w:szCs w:val="20"/>
              </w:rPr>
              <w:t>1121-1130</w:t>
            </w:r>
            <w:r>
              <w:rPr>
                <w:rFonts w:cs="Arial"/>
                <w:sz w:val="20"/>
                <w:szCs w:val="20"/>
              </w:rPr>
              <w:t xml:space="preserve">.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Wiesbaden</w:t>
            </w:r>
            <w:r>
              <w:rPr>
                <w:rFonts w:cs="Arial"/>
                <w:sz w:val="20"/>
                <w:szCs w:val="20"/>
              </w:rPr>
              <w:t xml:space="preserve">: </w:t>
            </w:r>
            <w:r w:rsidRPr="00F434B0">
              <w:rPr>
                <w:rFonts w:cs="Arial"/>
                <w:sz w:val="20"/>
                <w:szCs w:val="20"/>
              </w:rPr>
              <w:t xml:space="preserve">Springer VS. </w:t>
            </w:r>
            <w:r w:rsidRPr="00F434B0">
              <w:rPr>
                <w:rFonts w:cs="Arial"/>
                <w:sz w:val="20"/>
                <w:szCs w:val="20"/>
              </w:rPr>
              <w:t>https://doi.org/10.1007/978-3-658-12496-0_75</w:t>
            </w:r>
          </w:p>
        </w:tc>
        <w:tc>
          <w:tcPr>
            <w:tcW w:w="10064" w:type="dxa"/>
          </w:tcPr>
          <w:p w14:paraId="19A39348"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Reproduktionstechnologien sind inzwischen global verbreitet. Die damit verbundenen Fortpflanzungsregime tangieren und verändern Vorstellungen über Mutterschaft, Vaterschaft und Elternschaft. Zugleich sind sie eingebettet in strukturelle Formen sozialer Ungleichheit und beteiligt an transnationalen Wertschöpfungsketten, die mit der Kommodifizierung von Körpern und Körpersubstanzen einhergehen. Der Beitrag stellt Charakteristika der technowissenschaftlichen Entfaltung der Biowissenschaften und Humangenetik vor und kartiert das Terrain der interdisziplinären </w:t>
            </w:r>
            <w:r w:rsidRPr="00F434B0">
              <w:rPr>
                <w:rFonts w:cs="Arial"/>
                <w:sz w:val="20"/>
                <w:szCs w:val="20"/>
                <w:highlight w:val="magenta"/>
              </w:rPr>
              <w:t>feministischen Forschungslandschaft</w:t>
            </w:r>
            <w:r w:rsidRPr="00F434B0">
              <w:rPr>
                <w:rFonts w:cs="Arial"/>
                <w:sz w:val="20"/>
                <w:szCs w:val="20"/>
              </w:rPr>
              <w:t xml:space="preserve"> zu Reproduktionstechnologien seit den 1980er-Jahren.</w:t>
            </w:r>
          </w:p>
        </w:tc>
      </w:tr>
      <w:tr w:rsidR="00AA3741" w:rsidRPr="00F434B0" w14:paraId="609CC124" w14:textId="77777777" w:rsidTr="00AE1BCF">
        <w:tc>
          <w:tcPr>
            <w:tcW w:w="4390" w:type="dxa"/>
            <w:shd w:val="clear" w:color="auto" w:fill="E482D1"/>
          </w:tcPr>
          <w:p w14:paraId="0119ED90" w14:textId="77777777" w:rsidR="00AA3741" w:rsidRPr="00F434B0" w:rsidRDefault="00AA3741" w:rsidP="003A5925">
            <w:pPr>
              <w:spacing w:before="0" w:line="240" w:lineRule="auto"/>
              <w:jc w:val="left"/>
              <w:rPr>
                <w:rFonts w:cs="Arial"/>
                <w:sz w:val="20"/>
                <w:szCs w:val="20"/>
              </w:rPr>
            </w:pPr>
            <w:commentRangeStart w:id="17"/>
            <w:proofErr w:type="spellStart"/>
            <w:r>
              <w:rPr>
                <w:rFonts w:cs="Arial"/>
                <w:sz w:val="20"/>
                <w:szCs w:val="20"/>
              </w:rPr>
              <w:t>Schlender</w:t>
            </w:r>
            <w:commentRangeEnd w:id="17"/>
            <w:proofErr w:type="spellEnd"/>
            <w:r>
              <w:rPr>
                <w:rStyle w:val="Kommentarzeichen"/>
              </w:rPr>
              <w:commentReference w:id="17"/>
            </w:r>
            <w:r>
              <w:rPr>
                <w:rFonts w:cs="Arial"/>
                <w:sz w:val="20"/>
                <w:szCs w:val="20"/>
              </w:rPr>
              <w:t xml:space="preserve">, Alicia und Lisa </w:t>
            </w:r>
            <w:proofErr w:type="spellStart"/>
            <w:r>
              <w:rPr>
                <w:rFonts w:cs="Arial"/>
                <w:sz w:val="20"/>
                <w:szCs w:val="20"/>
              </w:rPr>
              <w:t>Yashodhara</w:t>
            </w:r>
            <w:proofErr w:type="spellEnd"/>
            <w:r>
              <w:rPr>
                <w:rFonts w:cs="Arial"/>
                <w:sz w:val="20"/>
                <w:szCs w:val="20"/>
              </w:rPr>
              <w:t xml:space="preserve"> Haller, Hrsg. 2021. </w:t>
            </w:r>
            <w:r w:rsidRPr="00AF528F">
              <w:rPr>
                <w:rFonts w:cs="Arial"/>
                <w:i/>
                <w:iCs/>
                <w:sz w:val="20"/>
                <w:szCs w:val="20"/>
              </w:rPr>
              <w:t>Handbuch Feministische Perspektiven auf Elternschaft</w:t>
            </w:r>
            <w:r w:rsidRPr="00F434B0">
              <w:rPr>
                <w:rFonts w:cs="Arial"/>
                <w:sz w:val="20"/>
                <w:szCs w:val="20"/>
              </w:rPr>
              <w:t>.</w:t>
            </w:r>
            <w:r>
              <w:rPr>
                <w:rFonts w:cs="Arial"/>
                <w:sz w:val="20"/>
                <w:szCs w:val="20"/>
              </w:rPr>
              <w:t xml:space="preserve"> Opladen/Berlin/Toronto:</w:t>
            </w:r>
            <w:r w:rsidRPr="00F434B0">
              <w:rPr>
                <w:rFonts w:cs="Arial"/>
                <w:sz w:val="20"/>
                <w:szCs w:val="20"/>
              </w:rPr>
              <w:t xml:space="preserve"> Verlag Barbara Budrich.</w:t>
            </w:r>
          </w:p>
        </w:tc>
        <w:tc>
          <w:tcPr>
            <w:tcW w:w="10064" w:type="dxa"/>
          </w:tcPr>
          <w:p w14:paraId="5ABB5AF1" w14:textId="77777777" w:rsidR="00AA3741" w:rsidRPr="00F434B0" w:rsidRDefault="00AA3741" w:rsidP="003A5925">
            <w:pPr>
              <w:spacing w:before="0" w:line="240" w:lineRule="auto"/>
              <w:jc w:val="left"/>
              <w:rPr>
                <w:rFonts w:cs="Arial"/>
                <w:sz w:val="20"/>
                <w:szCs w:val="20"/>
              </w:rPr>
            </w:pPr>
            <w:r w:rsidRPr="00F434B0">
              <w:rPr>
                <w:rFonts w:cs="Arial"/>
                <w:sz w:val="20"/>
                <w:szCs w:val="20"/>
              </w:rPr>
              <w:t>Elternschaft: Eine ausgesparte Perspektive in der feministischen Auseinandersetzung? Lange Zeit beschäftigten sich feministische Debatten kaum mit Elternschaft und Familie. Der bis in die Gegenwart hinein tonangebende Gleichheitsfeminismus orientiert sich an der Gleichheit mit Männern – ungebunden und durch Frauen von Fürsorge befreit. Zeiten ändern sich: Ein Bedeutungswandel in der Perspektive auf Elternschaft hält Einzug in feministische Auseinandersetzungen und Kämpfe. Nicht länger richten diese sich gegen die Familie, sondern gegen Verhältnisse, in denen das Leben mit Kindern zur Zumutung wird. Das Handbuch vereint 50 Stimmen des Feminismus zum Thema Elternschaft. Die Beiträge gehen anhand von Schlagwörtern der Frage nach, wie Mutterschaft, Vaterschaft und Elternschaft in unterschiedlichen feministischen Strömungen verarbeitet werden. Wie werden rechtliche Aspekte der Ausübung von Mutter- und Vaterschaft ausgelegt? Welche Wege führen in die Elternschaft? Und wie sehen feministische Utopien eines guten Lebens mit Kindern aus?</w:t>
            </w:r>
          </w:p>
        </w:tc>
      </w:tr>
      <w:tr w:rsidR="00AA3741" w:rsidRPr="00F434B0" w14:paraId="6893442D" w14:textId="77777777" w:rsidTr="00AE1BCF">
        <w:tc>
          <w:tcPr>
            <w:tcW w:w="4390" w:type="dxa"/>
            <w:shd w:val="clear" w:color="auto" w:fill="E482D1"/>
          </w:tcPr>
          <w:p w14:paraId="78AA7577" w14:textId="77777777" w:rsidR="00AA3741" w:rsidRPr="00F434B0" w:rsidRDefault="00AA3741" w:rsidP="003A5925">
            <w:pPr>
              <w:spacing w:before="0" w:line="240" w:lineRule="auto"/>
              <w:jc w:val="left"/>
              <w:rPr>
                <w:rFonts w:cs="Arial"/>
                <w:sz w:val="20"/>
                <w:szCs w:val="20"/>
              </w:rPr>
            </w:pPr>
            <w:commentRangeStart w:id="18"/>
            <w:proofErr w:type="spellStart"/>
            <w:r w:rsidRPr="00F434B0">
              <w:rPr>
                <w:rFonts w:cs="Arial"/>
                <w:sz w:val="20"/>
                <w:szCs w:val="20"/>
              </w:rPr>
              <w:t>Schrupp</w:t>
            </w:r>
            <w:commentRangeEnd w:id="18"/>
            <w:proofErr w:type="spellEnd"/>
            <w:r w:rsidRPr="00F434B0">
              <w:rPr>
                <w:rStyle w:val="Kommentarzeichen"/>
                <w:rFonts w:cs="Arial"/>
                <w:sz w:val="20"/>
                <w:szCs w:val="20"/>
              </w:rPr>
              <w:commentReference w:id="18"/>
            </w:r>
            <w:r w:rsidRPr="00F434B0">
              <w:rPr>
                <w:rFonts w:cs="Arial"/>
                <w:sz w:val="20"/>
                <w:szCs w:val="20"/>
              </w:rPr>
              <w:t>, A</w:t>
            </w:r>
            <w:r>
              <w:rPr>
                <w:rFonts w:cs="Arial"/>
                <w:sz w:val="20"/>
                <w:szCs w:val="20"/>
              </w:rPr>
              <w:t>ntje</w:t>
            </w:r>
            <w:r w:rsidRPr="00F434B0">
              <w:rPr>
                <w:rFonts w:cs="Arial"/>
                <w:sz w:val="20"/>
                <w:szCs w:val="20"/>
              </w:rPr>
              <w:t xml:space="preserve">. 2022. </w:t>
            </w:r>
            <w:r w:rsidRPr="002C44E3">
              <w:rPr>
                <w:rFonts w:cs="Arial"/>
                <w:i/>
                <w:iCs/>
                <w:sz w:val="20"/>
                <w:szCs w:val="20"/>
              </w:rPr>
              <w:t>Reproduktive Freiheit. Eine feministische Ethik der Fortpflanzung</w:t>
            </w:r>
            <w:r w:rsidRPr="00F434B0">
              <w:rPr>
                <w:rFonts w:cs="Arial"/>
                <w:sz w:val="20"/>
                <w:szCs w:val="20"/>
              </w:rPr>
              <w:t>.</w:t>
            </w:r>
            <w:r>
              <w:rPr>
                <w:rFonts w:cs="Arial"/>
                <w:sz w:val="20"/>
                <w:szCs w:val="20"/>
              </w:rPr>
              <w:t xml:space="preserve"> Münster:</w:t>
            </w:r>
            <w:r w:rsidRPr="00F434B0">
              <w:rPr>
                <w:rFonts w:cs="Arial"/>
                <w:sz w:val="20"/>
                <w:szCs w:val="20"/>
              </w:rPr>
              <w:t xml:space="preserve"> Unrast. </w:t>
            </w:r>
          </w:p>
        </w:tc>
        <w:tc>
          <w:tcPr>
            <w:tcW w:w="10064" w:type="dxa"/>
          </w:tcPr>
          <w:p w14:paraId="3E694BF1"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Alle Menschen müssen geboren werden, aber nur etwa die Hälfte von ihnen kann </w:t>
            </w:r>
            <w:proofErr w:type="gramStart"/>
            <w:r w:rsidRPr="00F434B0">
              <w:rPr>
                <w:rFonts w:cs="Arial"/>
                <w:sz w:val="20"/>
                <w:szCs w:val="20"/>
              </w:rPr>
              <w:t>selber</w:t>
            </w:r>
            <w:proofErr w:type="gramEnd"/>
            <w:r w:rsidRPr="00F434B0">
              <w:rPr>
                <w:rFonts w:cs="Arial"/>
                <w:sz w:val="20"/>
                <w:szCs w:val="20"/>
              </w:rPr>
              <w:t xml:space="preserve"> schwanger werden kann, wirft Gerechtigkeitsfragen auf: Unter welchen Umständen werden Menschen schwanger und gebären? Welche Rechte (auf Unterstützung) und welche Pflichten (gegenüber der Gesellschaft oder anderen Erwachsenen) haben sie? Nach dem Ende der heteronormativen Geschlechterordnung, wo diese Dinge klar zwischen „Müttern“ und „Vätern“ aufgeteilt waren, brauchen wir heute neue Ideen: Neue Konzepte von Freiheit (die auch für Menschen mit Uterus funktionieren), neue Familienformen, neue ethische Kriterien für die Anwendung von Reproduktionstechnologien.</w:t>
            </w:r>
          </w:p>
        </w:tc>
      </w:tr>
      <w:tr w:rsidR="00AA3741" w:rsidRPr="00F434B0" w14:paraId="46D110F0" w14:textId="77777777" w:rsidTr="00AE1BCF">
        <w:tc>
          <w:tcPr>
            <w:tcW w:w="4390" w:type="dxa"/>
            <w:shd w:val="clear" w:color="auto" w:fill="E482D1"/>
          </w:tcPr>
          <w:p w14:paraId="74AB5433" w14:textId="77777777" w:rsidR="00AA3741" w:rsidRPr="00F434B0" w:rsidRDefault="00AA3741" w:rsidP="003A5925">
            <w:pPr>
              <w:spacing w:before="0" w:line="240" w:lineRule="auto"/>
              <w:jc w:val="left"/>
              <w:rPr>
                <w:rFonts w:cs="Arial"/>
                <w:sz w:val="20"/>
                <w:szCs w:val="20"/>
              </w:rPr>
            </w:pPr>
            <w:r w:rsidRPr="00F434B0">
              <w:rPr>
                <w:rFonts w:cs="Arial"/>
                <w:sz w:val="20"/>
                <w:szCs w:val="20"/>
              </w:rPr>
              <w:t>Schutzbach, F</w:t>
            </w:r>
            <w:r>
              <w:rPr>
                <w:rFonts w:cs="Arial"/>
                <w:sz w:val="20"/>
                <w:szCs w:val="20"/>
              </w:rPr>
              <w:t xml:space="preserve">ranziska. </w:t>
            </w:r>
            <w:r w:rsidRPr="00F434B0">
              <w:rPr>
                <w:rFonts w:cs="Arial"/>
                <w:sz w:val="20"/>
                <w:szCs w:val="20"/>
              </w:rPr>
              <w:t xml:space="preserve">2020. </w:t>
            </w:r>
            <w:r w:rsidRPr="00877548">
              <w:rPr>
                <w:rFonts w:cs="Arial"/>
                <w:i/>
                <w:sz w:val="20"/>
                <w:szCs w:val="20"/>
              </w:rPr>
              <w:t>Politiken der Generativität. Reproduktive Gesundheit, Bevölkerung und Geschlecht. Das Beispiel der Weltgesundheitsorganisation</w:t>
            </w:r>
            <w:r w:rsidRPr="00F434B0">
              <w:rPr>
                <w:rFonts w:cs="Arial"/>
                <w:sz w:val="20"/>
                <w:szCs w:val="20"/>
              </w:rPr>
              <w:t xml:space="preserve">. </w:t>
            </w:r>
            <w:r>
              <w:rPr>
                <w:rFonts w:cs="Arial"/>
                <w:sz w:val="20"/>
                <w:szCs w:val="20"/>
              </w:rPr>
              <w:t xml:space="preserve">Bielefeld: </w:t>
            </w:r>
            <w:proofErr w:type="spellStart"/>
            <w:r w:rsidRPr="00F434B0">
              <w:rPr>
                <w:rFonts w:cs="Arial"/>
                <w:sz w:val="20"/>
                <w:szCs w:val="20"/>
              </w:rPr>
              <w:t>transcript</w:t>
            </w:r>
            <w:proofErr w:type="spellEnd"/>
            <w:r w:rsidRPr="00F434B0">
              <w:rPr>
                <w:rFonts w:cs="Arial"/>
                <w:sz w:val="20"/>
                <w:szCs w:val="20"/>
              </w:rPr>
              <w:t xml:space="preserve"> Verlag.</w:t>
            </w:r>
          </w:p>
        </w:tc>
        <w:tc>
          <w:tcPr>
            <w:tcW w:w="10064" w:type="dxa"/>
          </w:tcPr>
          <w:p w14:paraId="6BCA3145"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Bevölkerungspolitik hat sich seit der UN-Bevölkerungs-Konferenz in Kairo 1994 grundlegend verändert. Geburtensteuernde Zwangsmaßnahmen wurden offiziell abgeschafft und selbstbestimmte Fortpflanzung auf die Grundlage von Menschenrechten gestellt. Allerdings sind auch die hier zugrunde liegenden Konzepte nicht frei von normativen Prämissen in Bezug auf Geschlecht, Sexualität, Ethnie und Gesundheit. Franziska Schutzbach stellt in ihrer Untersuchung - in deren Zentrum die Adaption der UN-Agenda im europäischen Kontext steht - heraus, dass die gegenwärtige </w:t>
            </w:r>
            <w:proofErr w:type="spellStart"/>
            <w:r w:rsidRPr="00F434B0">
              <w:rPr>
                <w:rFonts w:cs="Arial"/>
                <w:sz w:val="20"/>
                <w:szCs w:val="20"/>
              </w:rPr>
              <w:t>Essenzialisierung</w:t>
            </w:r>
            <w:proofErr w:type="spellEnd"/>
            <w:r w:rsidRPr="00F434B0">
              <w:rPr>
                <w:rFonts w:cs="Arial"/>
                <w:sz w:val="20"/>
                <w:szCs w:val="20"/>
              </w:rPr>
              <w:t xml:space="preserve"> der Generativität im Rahmen einer heteronormativen Zweigeschlechtlichkeit zentral für die Reproduktion der herrschenden Gesellschafts- und Geschlechterverhältnisse ist.</w:t>
            </w:r>
          </w:p>
        </w:tc>
      </w:tr>
      <w:tr w:rsidR="00AA3741" w:rsidRPr="00BA27C1" w14:paraId="58D56E86" w14:textId="77777777" w:rsidTr="00AE1BCF">
        <w:tc>
          <w:tcPr>
            <w:tcW w:w="4390" w:type="dxa"/>
            <w:shd w:val="clear" w:color="auto" w:fill="E482D1"/>
          </w:tcPr>
          <w:p w14:paraId="5D839E2E" w14:textId="77777777" w:rsidR="00AA3741" w:rsidRPr="00F434B0" w:rsidRDefault="00AA3741" w:rsidP="003A5925">
            <w:pPr>
              <w:spacing w:before="0" w:line="240" w:lineRule="auto"/>
              <w:jc w:val="left"/>
              <w:rPr>
                <w:rFonts w:cs="Arial"/>
                <w:sz w:val="20"/>
                <w:szCs w:val="20"/>
              </w:rPr>
            </w:pPr>
            <w:r w:rsidRPr="00F434B0">
              <w:rPr>
                <w:rFonts w:cs="Arial"/>
                <w:sz w:val="20"/>
                <w:szCs w:val="20"/>
                <w:lang w:val="en-US"/>
              </w:rPr>
              <w:t>Siegl, V</w:t>
            </w:r>
            <w:r>
              <w:rPr>
                <w:rFonts w:cs="Arial"/>
                <w:sz w:val="20"/>
                <w:szCs w:val="20"/>
                <w:lang w:val="en-US"/>
              </w:rPr>
              <w:t>eronika</w:t>
            </w:r>
            <w:r w:rsidRPr="00F434B0">
              <w:rPr>
                <w:rFonts w:cs="Arial"/>
                <w:sz w:val="20"/>
                <w:szCs w:val="20"/>
                <w:lang w:val="en-US"/>
              </w:rPr>
              <w:t xml:space="preserve">. 2023. </w:t>
            </w:r>
            <w:r w:rsidRPr="00641B93">
              <w:rPr>
                <w:rFonts w:cs="Arial"/>
                <w:i/>
                <w:iCs/>
                <w:sz w:val="20"/>
                <w:szCs w:val="20"/>
                <w:lang w:val="en-US"/>
              </w:rPr>
              <w:t>Intimate Strangers: Commercial Surrogacy in Russia and Ukraine and the Making of Truth.</w:t>
            </w:r>
            <w:r w:rsidRPr="00F434B0">
              <w:rPr>
                <w:rFonts w:cs="Arial"/>
                <w:sz w:val="20"/>
                <w:szCs w:val="20"/>
                <w:lang w:val="en-US"/>
              </w:rPr>
              <w:t xml:space="preserve"> </w:t>
            </w:r>
            <w:r>
              <w:rPr>
                <w:rFonts w:cs="Arial"/>
                <w:sz w:val="20"/>
                <w:szCs w:val="20"/>
                <w:lang w:val="en-US"/>
              </w:rPr>
              <w:t xml:space="preserve">Ithaca/London: </w:t>
            </w:r>
            <w:r w:rsidRPr="00F434B0">
              <w:rPr>
                <w:rFonts w:cs="Arial"/>
                <w:sz w:val="20"/>
                <w:szCs w:val="20"/>
              </w:rPr>
              <w:t>Cornell University Press.</w:t>
            </w:r>
          </w:p>
        </w:tc>
        <w:tc>
          <w:tcPr>
            <w:tcW w:w="10064" w:type="dxa"/>
          </w:tcPr>
          <w:p w14:paraId="1D582022" w14:textId="77777777" w:rsidR="00AA3741" w:rsidRPr="00F434B0" w:rsidRDefault="00AA3741" w:rsidP="003A5925">
            <w:pPr>
              <w:spacing w:before="0" w:line="240" w:lineRule="auto"/>
              <w:jc w:val="left"/>
              <w:rPr>
                <w:rFonts w:cs="Arial"/>
                <w:sz w:val="20"/>
                <w:szCs w:val="20"/>
                <w:lang w:val="en-US"/>
              </w:rPr>
            </w:pPr>
            <w:r w:rsidRPr="00F434B0">
              <w:rPr>
                <w:rFonts w:cs="Arial"/>
                <w:sz w:val="20"/>
                <w:szCs w:val="20"/>
                <w:lang w:val="en-US"/>
              </w:rPr>
              <w:t xml:space="preserve">Zooming in on commercial surrogacy in Russia and Ukraine, Intimate Strangers addresses market expansion into the intimate spheres of life that play out on women's bodies as mothers and workers. Veronika Siegl follows the inner workings of a surrogacy market marked by secrecy, distrust, and anonymous business relationships. She explores intended mothers' anxious struggles for a child </w:t>
            </w:r>
            <w:proofErr w:type="gramStart"/>
            <w:r w:rsidRPr="00F434B0">
              <w:rPr>
                <w:rFonts w:cs="Arial"/>
                <w:sz w:val="20"/>
                <w:szCs w:val="20"/>
                <w:lang w:val="en-US"/>
              </w:rPr>
              <w:t>in light of</w:t>
            </w:r>
            <w:proofErr w:type="gramEnd"/>
            <w:r w:rsidRPr="00F434B0">
              <w:rPr>
                <w:rFonts w:cs="Arial"/>
                <w:sz w:val="20"/>
                <w:szCs w:val="20"/>
                <w:lang w:val="en-US"/>
              </w:rPr>
              <w:t xml:space="preserve"> stigmatized infertility and the aggressive biopolitics of motherhood; the uncertain but pragmatic pathways in and out of fertility clinics as </w:t>
            </w:r>
            <w:r w:rsidRPr="00F434B0">
              <w:rPr>
                <w:rFonts w:cs="Arial"/>
                <w:sz w:val="20"/>
                <w:szCs w:val="20"/>
                <w:lang w:val="en-US"/>
              </w:rPr>
              <w:lastRenderedPageBreak/>
              <w:t>surrogates navigate harsh economic realities and resist being objectified or morally judged; and the powerful role of agents and doctors who have found a profitable niche in nurturing and facilitating other people's existential hopes. Intimate Strangers discusses these issues against the backdrop of ultra-conservatism and moral governance in Russia, the rising international popularity of the Ukrainian surrogacy market, and the pervasiveness of neo-liberal ideologies and individualized notions of reproductive freedom.</w:t>
            </w:r>
          </w:p>
        </w:tc>
      </w:tr>
      <w:tr w:rsidR="00AA3741" w:rsidRPr="00C41F11" w14:paraId="2299E0E7" w14:textId="77777777" w:rsidTr="00151455">
        <w:tc>
          <w:tcPr>
            <w:tcW w:w="4390" w:type="dxa"/>
            <w:shd w:val="clear" w:color="auto" w:fill="FFD966" w:themeFill="accent4" w:themeFillTint="99"/>
          </w:tcPr>
          <w:p w14:paraId="0EFDF109" w14:textId="77777777" w:rsidR="00AA3741" w:rsidRPr="00F434B0" w:rsidRDefault="00AA3741" w:rsidP="003A5925">
            <w:pPr>
              <w:spacing w:before="0" w:line="240" w:lineRule="auto"/>
              <w:jc w:val="left"/>
              <w:rPr>
                <w:rFonts w:cs="Arial"/>
                <w:sz w:val="20"/>
                <w:szCs w:val="20"/>
                <w:lang w:val="en-US"/>
              </w:rPr>
            </w:pPr>
            <w:r w:rsidRPr="009D7A59">
              <w:rPr>
                <w:rFonts w:cs="Arial"/>
                <w:sz w:val="20"/>
                <w:szCs w:val="20"/>
              </w:rPr>
              <w:lastRenderedPageBreak/>
              <w:t xml:space="preserve">St. </w:t>
            </w:r>
            <w:commentRangeStart w:id="19"/>
            <w:r w:rsidRPr="009D7A59">
              <w:rPr>
                <w:rFonts w:cs="Arial"/>
                <w:sz w:val="20"/>
                <w:szCs w:val="20"/>
              </w:rPr>
              <w:t>Aubin</w:t>
            </w:r>
            <w:commentRangeEnd w:id="19"/>
            <w:r>
              <w:rPr>
                <w:rStyle w:val="Kommentarzeichen"/>
              </w:rPr>
              <w:commentReference w:id="19"/>
            </w:r>
            <w:r w:rsidRPr="009D7A59">
              <w:rPr>
                <w:rFonts w:cs="Arial"/>
                <w:sz w:val="20"/>
                <w:szCs w:val="20"/>
              </w:rPr>
              <w:t xml:space="preserve">, Ed de, Dan </w:t>
            </w:r>
            <w:r w:rsidRPr="009D7A59">
              <w:rPr>
                <w:rFonts w:cs="Arial"/>
                <w:sz w:val="20"/>
                <w:szCs w:val="20"/>
              </w:rPr>
              <w:t>McA</w:t>
            </w:r>
            <w:r>
              <w:rPr>
                <w:rFonts w:cs="Arial"/>
                <w:sz w:val="20"/>
                <w:szCs w:val="20"/>
              </w:rPr>
              <w:t>d</w:t>
            </w:r>
            <w:r w:rsidRPr="009D7A59">
              <w:rPr>
                <w:rFonts w:cs="Arial"/>
                <w:sz w:val="20"/>
                <w:szCs w:val="20"/>
              </w:rPr>
              <w:t xml:space="preserve">ams und </w:t>
            </w:r>
            <w:proofErr w:type="spellStart"/>
            <w:r w:rsidRPr="009D7A59">
              <w:rPr>
                <w:rFonts w:cs="Arial"/>
                <w:sz w:val="20"/>
                <w:szCs w:val="20"/>
              </w:rPr>
              <w:t>Tae</w:t>
            </w:r>
            <w:proofErr w:type="spellEnd"/>
            <w:r w:rsidRPr="009D7A59">
              <w:rPr>
                <w:rFonts w:cs="Arial"/>
                <w:sz w:val="20"/>
                <w:szCs w:val="20"/>
              </w:rPr>
              <w:t>-Chang</w:t>
            </w:r>
            <w:r w:rsidRPr="009D7A59">
              <w:rPr>
                <w:rFonts w:cs="Arial"/>
                <w:sz w:val="20"/>
                <w:szCs w:val="20"/>
              </w:rPr>
              <w:t xml:space="preserve">, Hrsg. 2004. </w:t>
            </w:r>
            <w:r w:rsidRPr="009D7A59">
              <w:rPr>
                <w:rFonts w:cs="Arial"/>
                <w:sz w:val="20"/>
                <w:szCs w:val="20"/>
                <w:lang w:val="en-US"/>
              </w:rPr>
              <w:t>The Generative Society: Caring for Future Generations</w:t>
            </w:r>
            <w:r>
              <w:rPr>
                <w:rFonts w:cs="Arial"/>
                <w:sz w:val="20"/>
                <w:szCs w:val="20"/>
                <w:lang w:val="en-US"/>
              </w:rPr>
              <w:t xml:space="preserve">. </w:t>
            </w:r>
            <w:r w:rsidRPr="00F434B0">
              <w:rPr>
                <w:rFonts w:cs="Arial"/>
                <w:sz w:val="20"/>
                <w:szCs w:val="20"/>
                <w:lang w:val="en-US"/>
              </w:rPr>
              <w:t xml:space="preserve"> American Psychological Association</w:t>
            </w:r>
          </w:p>
        </w:tc>
        <w:tc>
          <w:tcPr>
            <w:tcW w:w="10064" w:type="dxa"/>
          </w:tcPr>
          <w:p w14:paraId="3F149E64" w14:textId="77777777" w:rsidR="00AA3741" w:rsidRPr="00F434B0" w:rsidRDefault="00AA3741" w:rsidP="0026391E">
            <w:pPr>
              <w:spacing w:before="0" w:line="240" w:lineRule="auto"/>
              <w:jc w:val="left"/>
              <w:rPr>
                <w:rFonts w:cs="Arial"/>
                <w:sz w:val="20"/>
                <w:szCs w:val="20"/>
                <w:lang w:val="en-US"/>
              </w:rPr>
            </w:pPr>
            <w:r w:rsidRPr="00F434B0">
              <w:rPr>
                <w:rFonts w:cs="Arial"/>
                <w:sz w:val="20"/>
                <w:szCs w:val="20"/>
                <w:lang w:val="en-US"/>
              </w:rPr>
              <w:t>Adult individuals in all societies have long understood the need for generativity—concern for and commitment to caring for the next generation. The need for generative action is particularly critical now given the societal and global threats that we face in the first years of the twenty-first century.</w:t>
            </w:r>
          </w:p>
          <w:p w14:paraId="150D3E0B" w14:textId="77777777" w:rsidR="00AA3741" w:rsidRPr="00F434B0" w:rsidRDefault="00AA3741" w:rsidP="0026391E">
            <w:pPr>
              <w:spacing w:before="0" w:line="240" w:lineRule="auto"/>
              <w:jc w:val="left"/>
              <w:rPr>
                <w:rFonts w:cs="Arial"/>
                <w:sz w:val="20"/>
                <w:szCs w:val="20"/>
                <w:lang w:val="en-US"/>
              </w:rPr>
            </w:pPr>
          </w:p>
          <w:p w14:paraId="3811EC10" w14:textId="77777777" w:rsidR="00AA3741" w:rsidRPr="00F434B0" w:rsidRDefault="00AA3741" w:rsidP="0026391E">
            <w:pPr>
              <w:spacing w:before="0" w:line="240" w:lineRule="auto"/>
              <w:jc w:val="left"/>
              <w:rPr>
                <w:rFonts w:cs="Arial"/>
                <w:sz w:val="20"/>
                <w:szCs w:val="20"/>
                <w:lang w:val="en-US"/>
              </w:rPr>
            </w:pPr>
            <w:r w:rsidRPr="00F434B0">
              <w:rPr>
                <w:rFonts w:cs="Arial"/>
                <w:sz w:val="20"/>
                <w:szCs w:val="20"/>
                <w:lang w:val="en-US"/>
              </w:rPr>
              <w:t>Building upon Erikson's groundbreaking developmental model that first propelled the construct of "generativity versus stagnation" into mainstream consciousness, The Generative Society examines this critical stage of development that occurs during the "long middle" of adulthood, as it exists on societal and cultural levels. This volume's diverse group of eminent scholars explores the complex relationships between generativity and various societies' political, economic, religious, educational, and cultural arenas. Integrating empirical research, scientific and cultural theory, and their own informed observations and speculations regarding generativity in society, the volume that results is a rich and stimulating exchange about the multifaceted role of generativity in human life and in society.</w:t>
            </w:r>
          </w:p>
        </w:tc>
      </w:tr>
      <w:tr w:rsidR="00AA3741" w:rsidRPr="00F434B0" w14:paraId="7502C579" w14:textId="77777777" w:rsidTr="00AE1BCF">
        <w:tc>
          <w:tcPr>
            <w:tcW w:w="4390" w:type="dxa"/>
            <w:shd w:val="clear" w:color="auto" w:fill="E482D1"/>
          </w:tcPr>
          <w:p w14:paraId="0455D583"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Strathern</w:t>
            </w:r>
            <w:proofErr w:type="spellEnd"/>
            <w:r w:rsidRPr="00F434B0">
              <w:rPr>
                <w:rFonts w:cs="Arial"/>
                <w:sz w:val="20"/>
                <w:szCs w:val="20"/>
              </w:rPr>
              <w:t>, M</w:t>
            </w:r>
            <w:r>
              <w:rPr>
                <w:rFonts w:cs="Arial"/>
                <w:sz w:val="20"/>
                <w:szCs w:val="20"/>
              </w:rPr>
              <w:t xml:space="preserve">arilyn. </w:t>
            </w:r>
            <w:r w:rsidRPr="00F434B0">
              <w:rPr>
                <w:rFonts w:cs="Arial"/>
                <w:sz w:val="20"/>
                <w:szCs w:val="20"/>
              </w:rPr>
              <w:t xml:space="preserve">2019. Tauschverhältnisse und Konsumverhältnisse Der Embryo als zukünftiger Konsument. </w:t>
            </w:r>
            <w:r w:rsidRPr="00EF2E15">
              <w:rPr>
                <w:rFonts w:cs="Arial"/>
                <w:i/>
                <w:iCs/>
                <w:sz w:val="20"/>
                <w:szCs w:val="20"/>
              </w:rPr>
              <w:t>Feministische Studien</w:t>
            </w:r>
            <w:r w:rsidRPr="00F434B0">
              <w:rPr>
                <w:rFonts w:cs="Arial"/>
                <w:sz w:val="20"/>
                <w:szCs w:val="20"/>
              </w:rPr>
              <w:t xml:space="preserve"> 37(1)</w:t>
            </w:r>
            <w:r>
              <w:rPr>
                <w:rFonts w:cs="Arial"/>
                <w:sz w:val="20"/>
                <w:szCs w:val="20"/>
              </w:rPr>
              <w:t>:</w:t>
            </w:r>
            <w:r w:rsidRPr="00F434B0">
              <w:rPr>
                <w:rFonts w:cs="Arial"/>
                <w:sz w:val="20"/>
                <w:szCs w:val="20"/>
              </w:rPr>
              <w:t xml:space="preserve"> 118-143.</w:t>
            </w:r>
          </w:p>
        </w:tc>
        <w:tc>
          <w:tcPr>
            <w:tcW w:w="10064" w:type="dxa"/>
          </w:tcPr>
          <w:p w14:paraId="6BECC307" w14:textId="77777777" w:rsidR="00AA3741" w:rsidRPr="00F434B0" w:rsidRDefault="00AA3741" w:rsidP="003A5925">
            <w:pPr>
              <w:spacing w:before="0" w:line="240" w:lineRule="auto"/>
              <w:jc w:val="left"/>
              <w:rPr>
                <w:rFonts w:cs="Arial"/>
                <w:sz w:val="20"/>
                <w:szCs w:val="20"/>
              </w:rPr>
            </w:pPr>
            <w:r w:rsidRPr="00F434B0">
              <w:rPr>
                <w:rFonts w:cs="Arial"/>
                <w:sz w:val="20"/>
                <w:szCs w:val="20"/>
              </w:rPr>
              <w:t xml:space="preserve">Kein Abstract </w:t>
            </w:r>
          </w:p>
        </w:tc>
      </w:tr>
      <w:tr w:rsidR="00AA3741" w:rsidRPr="00F434B0" w14:paraId="45709E2D" w14:textId="77777777" w:rsidTr="00AE1BCF">
        <w:tc>
          <w:tcPr>
            <w:tcW w:w="4390" w:type="dxa"/>
            <w:shd w:val="clear" w:color="auto" w:fill="E482D1"/>
          </w:tcPr>
          <w:p w14:paraId="065E9C63"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Teschlade</w:t>
            </w:r>
            <w:proofErr w:type="spellEnd"/>
            <w:r w:rsidRPr="00F434B0">
              <w:rPr>
                <w:rFonts w:cs="Arial"/>
                <w:sz w:val="20"/>
                <w:szCs w:val="20"/>
              </w:rPr>
              <w:t>, J</w:t>
            </w:r>
            <w:r>
              <w:rPr>
                <w:rFonts w:cs="Arial"/>
                <w:sz w:val="20"/>
                <w:szCs w:val="20"/>
              </w:rPr>
              <w:t>ulia</w:t>
            </w:r>
            <w:r w:rsidRPr="00F434B0">
              <w:rPr>
                <w:rFonts w:cs="Arial"/>
                <w:sz w:val="20"/>
                <w:szCs w:val="20"/>
              </w:rPr>
              <w:t xml:space="preserve">. 2019. Wenn das liebe Geld nicht wär’: Zur Konstruktion von Intimität zwischen Tragemüttern und gleichgeschlechtlichen Männerpaaren. </w:t>
            </w:r>
            <w:r w:rsidRPr="00001289">
              <w:rPr>
                <w:rFonts w:cs="Arial"/>
                <w:i/>
                <w:iCs/>
                <w:sz w:val="20"/>
                <w:szCs w:val="20"/>
              </w:rPr>
              <w:t>Feministische Studien</w:t>
            </w:r>
            <w:r w:rsidRPr="00F434B0">
              <w:rPr>
                <w:rFonts w:cs="Arial"/>
                <w:sz w:val="20"/>
                <w:szCs w:val="20"/>
              </w:rPr>
              <w:t xml:space="preserve"> 37(1)</w:t>
            </w:r>
            <w:r>
              <w:rPr>
                <w:rFonts w:cs="Arial"/>
                <w:sz w:val="20"/>
                <w:szCs w:val="20"/>
              </w:rPr>
              <w:t>:</w:t>
            </w:r>
            <w:r w:rsidRPr="00F434B0">
              <w:rPr>
                <w:rFonts w:cs="Arial"/>
                <w:sz w:val="20"/>
                <w:szCs w:val="20"/>
              </w:rPr>
              <w:t xml:space="preserve"> 65-81.</w:t>
            </w:r>
          </w:p>
        </w:tc>
        <w:tc>
          <w:tcPr>
            <w:tcW w:w="10064" w:type="dxa"/>
          </w:tcPr>
          <w:p w14:paraId="76A224F4" w14:textId="77777777" w:rsidR="00AA3741" w:rsidRPr="00F434B0" w:rsidRDefault="00AA3741" w:rsidP="003A5925">
            <w:pPr>
              <w:spacing w:before="0" w:line="240" w:lineRule="auto"/>
              <w:jc w:val="left"/>
              <w:rPr>
                <w:rFonts w:cs="Arial"/>
                <w:sz w:val="20"/>
                <w:szCs w:val="20"/>
              </w:rPr>
            </w:pPr>
            <w:r w:rsidRPr="00F434B0">
              <w:rPr>
                <w:rFonts w:cs="Arial"/>
                <w:sz w:val="20"/>
                <w:szCs w:val="20"/>
              </w:rPr>
              <w:t>(aus Einleitung): Ausgangspunkt für diesen Artikel ist die komplexe Verwobenheit von Geschlechterverhältnissen, Sexualität, Reproduktion(</w:t>
            </w:r>
            <w:proofErr w:type="spellStart"/>
            <w:r w:rsidRPr="00F434B0">
              <w:rPr>
                <w:rFonts w:cs="Arial"/>
                <w:sz w:val="20"/>
                <w:szCs w:val="20"/>
              </w:rPr>
              <w:t>sarbeit</w:t>
            </w:r>
            <w:proofErr w:type="spellEnd"/>
            <w:r w:rsidRPr="00F434B0">
              <w:rPr>
                <w:rFonts w:cs="Arial"/>
                <w:sz w:val="20"/>
                <w:szCs w:val="20"/>
              </w:rPr>
              <w:t xml:space="preserve">), Intimität und Ökonomie. Der Beitrag behandelt das Phänomen der Tragemutterschaft bei gleichgeschlechtlichen Cis-Männerpaaren, da sich hier ein besonderes Spannungsverhältnis zeigt: zwischen der Kommodifizierung weiblicher Reproduktionsarbeit wie Eizellgabe, Schwangerschaft und Geburt sowie den Möglichkeiten für schwule Paare, eine Elternschaft in einer von ihnen präferierten Familienkonstellation mit Hilfe von Reproduktionstechnologien umzusetzen. Mit </w:t>
            </w:r>
            <w:proofErr w:type="spellStart"/>
            <w:r w:rsidRPr="00F434B0">
              <w:rPr>
                <w:rFonts w:cs="Arial"/>
                <w:sz w:val="20"/>
                <w:szCs w:val="20"/>
              </w:rPr>
              <w:t>Shellee</w:t>
            </w:r>
            <w:proofErr w:type="spellEnd"/>
            <w:r w:rsidRPr="00F434B0">
              <w:rPr>
                <w:rFonts w:cs="Arial"/>
                <w:sz w:val="20"/>
                <w:szCs w:val="20"/>
              </w:rPr>
              <w:t xml:space="preserve"> </w:t>
            </w:r>
            <w:proofErr w:type="spellStart"/>
            <w:r w:rsidRPr="00F434B0">
              <w:rPr>
                <w:rFonts w:cs="Arial"/>
                <w:sz w:val="20"/>
                <w:szCs w:val="20"/>
              </w:rPr>
              <w:t>Colens</w:t>
            </w:r>
            <w:proofErr w:type="spellEnd"/>
            <w:r w:rsidRPr="00F434B0">
              <w:rPr>
                <w:rFonts w:cs="Arial"/>
                <w:sz w:val="20"/>
                <w:szCs w:val="20"/>
              </w:rPr>
              <w:t xml:space="preserve"> (1995) Konzept der »</w:t>
            </w:r>
            <w:proofErr w:type="spellStart"/>
            <w:r w:rsidRPr="00F434B0">
              <w:rPr>
                <w:rFonts w:cs="Arial"/>
                <w:sz w:val="20"/>
                <w:szCs w:val="20"/>
              </w:rPr>
              <w:t>stratified</w:t>
            </w:r>
            <w:proofErr w:type="spellEnd"/>
            <w:r w:rsidRPr="00F434B0">
              <w:rPr>
                <w:rFonts w:cs="Arial"/>
                <w:sz w:val="20"/>
                <w:szCs w:val="20"/>
              </w:rPr>
              <w:t xml:space="preserve"> </w:t>
            </w:r>
            <w:proofErr w:type="spellStart"/>
            <w:r w:rsidRPr="00F434B0">
              <w:rPr>
                <w:rFonts w:cs="Arial"/>
                <w:sz w:val="20"/>
                <w:szCs w:val="20"/>
              </w:rPr>
              <w:t>reproduction</w:t>
            </w:r>
            <w:proofErr w:type="spellEnd"/>
            <w:r w:rsidRPr="00F434B0">
              <w:rPr>
                <w:rFonts w:cs="Arial"/>
                <w:sz w:val="20"/>
                <w:szCs w:val="20"/>
              </w:rPr>
              <w:t xml:space="preserve">« geraten die strukturellen Ungleichheiten und Machtverhältnisse zwischen den Personen, die ihre reproduktive Arbeit anbieten und jenen, die sie in Anspruch nehmen, in den Blick. Welche Menschen Zugang zu Reproduktionsmedizin haben, hängt mit deren ökonomischen Ressourcen, rechtlichen Anerkennungs- sowie Teilhabechancen zusammen. Werden die reproduktiven Entscheidungen von heterosexuellen, verheirateten und </w:t>
            </w:r>
            <w:proofErr w:type="gramStart"/>
            <w:r w:rsidRPr="00F434B0">
              <w:rPr>
                <w:rFonts w:cs="Arial"/>
                <w:sz w:val="20"/>
                <w:szCs w:val="20"/>
              </w:rPr>
              <w:t>gut verdienenden</w:t>
            </w:r>
            <w:proofErr w:type="gramEnd"/>
            <w:r w:rsidRPr="00F434B0">
              <w:rPr>
                <w:rFonts w:cs="Arial"/>
                <w:sz w:val="20"/>
                <w:szCs w:val="20"/>
              </w:rPr>
              <w:t xml:space="preserve"> Paaren eher unterstützt, werden andere behindert oder abgehalten. Schwule Paare verletzen im Kontext der Familiengründung durch Tragemutterschaft (mindestens) zwei gesellschaftliche Normen: Die Freiheit der Privatsphäre von </w:t>
            </w:r>
            <w:proofErr w:type="spellStart"/>
            <w:r w:rsidRPr="00F434B0">
              <w:rPr>
                <w:rFonts w:cs="Arial"/>
                <w:sz w:val="20"/>
                <w:szCs w:val="20"/>
              </w:rPr>
              <w:t>Vermarktlichung</w:t>
            </w:r>
            <w:proofErr w:type="spellEnd"/>
            <w:r w:rsidRPr="00F434B0">
              <w:rPr>
                <w:rFonts w:cs="Arial"/>
                <w:sz w:val="20"/>
                <w:szCs w:val="20"/>
              </w:rPr>
              <w:t xml:space="preserve"> sowie heteronormative Vorstellungen von Elternschaft (</w:t>
            </w:r>
            <w:proofErr w:type="spellStart"/>
            <w:r w:rsidRPr="00F434B0">
              <w:rPr>
                <w:rFonts w:cs="Arial"/>
                <w:sz w:val="20"/>
                <w:szCs w:val="20"/>
              </w:rPr>
              <w:t>Smietana</w:t>
            </w:r>
            <w:proofErr w:type="spellEnd"/>
            <w:r w:rsidRPr="00F434B0">
              <w:rPr>
                <w:rFonts w:cs="Arial"/>
                <w:sz w:val="20"/>
                <w:szCs w:val="20"/>
              </w:rPr>
              <w:t xml:space="preserve"> 2017).</w:t>
            </w:r>
          </w:p>
        </w:tc>
      </w:tr>
      <w:tr w:rsidR="00AA3741" w:rsidRPr="00F434B0" w14:paraId="6736258D" w14:textId="77777777" w:rsidTr="00AE1BCF">
        <w:tc>
          <w:tcPr>
            <w:tcW w:w="4390" w:type="dxa"/>
            <w:shd w:val="clear" w:color="auto" w:fill="E482D1"/>
          </w:tcPr>
          <w:p w14:paraId="0C70EFCE" w14:textId="77777777" w:rsidR="00AA3741" w:rsidRPr="00001289" w:rsidRDefault="00AA3741" w:rsidP="003A5925">
            <w:pPr>
              <w:spacing w:before="0" w:line="240" w:lineRule="auto"/>
              <w:jc w:val="left"/>
              <w:rPr>
                <w:rFonts w:cs="Arial"/>
                <w:sz w:val="20"/>
                <w:szCs w:val="20"/>
              </w:rPr>
            </w:pPr>
            <w:r w:rsidRPr="00F434B0">
              <w:rPr>
                <w:rFonts w:cs="Arial"/>
                <w:sz w:val="20"/>
                <w:szCs w:val="20"/>
              </w:rPr>
              <w:t>Thiessen, B</w:t>
            </w:r>
            <w:r>
              <w:rPr>
                <w:rFonts w:cs="Arial"/>
                <w:sz w:val="20"/>
                <w:szCs w:val="20"/>
              </w:rPr>
              <w:t>arbara.</w:t>
            </w:r>
            <w:r w:rsidRPr="00F434B0">
              <w:rPr>
                <w:rFonts w:cs="Arial"/>
                <w:sz w:val="20"/>
                <w:szCs w:val="20"/>
              </w:rPr>
              <w:t xml:space="preserve"> 2019. Mutterschaft: zwischen (Re-) Naturalisierung und </w:t>
            </w:r>
            <w:proofErr w:type="spellStart"/>
            <w:r w:rsidRPr="00F434B0">
              <w:rPr>
                <w:rFonts w:cs="Arial"/>
                <w:sz w:val="20"/>
                <w:szCs w:val="20"/>
              </w:rPr>
              <w:t>Diskursivierung</w:t>
            </w:r>
            <w:proofErr w:type="spellEnd"/>
            <w:r w:rsidRPr="00F434B0">
              <w:rPr>
                <w:rFonts w:cs="Arial"/>
                <w:sz w:val="20"/>
                <w:szCs w:val="20"/>
              </w:rPr>
              <w:t xml:space="preserve"> von Gender und Care. </w:t>
            </w:r>
            <w:r w:rsidRPr="00F434B0">
              <w:rPr>
                <w:rFonts w:cs="Arial"/>
                <w:sz w:val="20"/>
                <w:szCs w:val="20"/>
              </w:rPr>
              <w:t>In</w:t>
            </w:r>
            <w:r>
              <w:rPr>
                <w:rFonts w:cs="Arial"/>
                <w:sz w:val="20"/>
                <w:szCs w:val="20"/>
              </w:rPr>
              <w:t xml:space="preserve"> </w:t>
            </w:r>
            <w:r w:rsidRPr="006133F8">
              <w:rPr>
                <w:rFonts w:cs="Arial"/>
                <w:i/>
                <w:iCs/>
                <w:sz w:val="20"/>
                <w:szCs w:val="20"/>
              </w:rPr>
              <w:t>Handbuch Interdisziplinäre Geschlechterforschung</w:t>
            </w:r>
            <w:r>
              <w:rPr>
                <w:rFonts w:cs="Arial"/>
                <w:sz w:val="20"/>
                <w:szCs w:val="20"/>
              </w:rPr>
              <w:t xml:space="preserve">, hrsg. von </w:t>
            </w:r>
            <w:r>
              <w:rPr>
                <w:rFonts w:cs="Arial"/>
                <w:sz w:val="20"/>
                <w:szCs w:val="20"/>
              </w:rPr>
              <w:lastRenderedPageBreak/>
              <w:t>Beate</w:t>
            </w:r>
            <w:r w:rsidRPr="00F434B0">
              <w:rPr>
                <w:rFonts w:cs="Arial"/>
                <w:sz w:val="20"/>
                <w:szCs w:val="20"/>
              </w:rPr>
              <w:t xml:space="preserve"> </w:t>
            </w:r>
            <w:proofErr w:type="spellStart"/>
            <w:r w:rsidRPr="00F434B0">
              <w:rPr>
                <w:rFonts w:cs="Arial"/>
                <w:sz w:val="20"/>
                <w:szCs w:val="20"/>
              </w:rPr>
              <w:t>Kortendiek</w:t>
            </w:r>
            <w:proofErr w:type="spellEnd"/>
            <w:r w:rsidRPr="00F434B0">
              <w:rPr>
                <w:rFonts w:cs="Arial"/>
                <w:sz w:val="20"/>
                <w:szCs w:val="20"/>
              </w:rPr>
              <w:t xml:space="preserve">, </w:t>
            </w:r>
            <w:r>
              <w:rPr>
                <w:rFonts w:cs="Arial"/>
                <w:sz w:val="20"/>
                <w:szCs w:val="20"/>
              </w:rPr>
              <w:t xml:space="preserve">Birgit </w:t>
            </w:r>
            <w:proofErr w:type="spellStart"/>
            <w:r w:rsidRPr="00F434B0">
              <w:rPr>
                <w:rFonts w:cs="Arial"/>
                <w:sz w:val="20"/>
                <w:szCs w:val="20"/>
              </w:rPr>
              <w:t>Riegraf</w:t>
            </w:r>
            <w:proofErr w:type="spellEnd"/>
            <w:r>
              <w:rPr>
                <w:rFonts w:cs="Arial"/>
                <w:sz w:val="20"/>
                <w:szCs w:val="20"/>
              </w:rPr>
              <w:t xml:space="preserve"> und Katja </w:t>
            </w:r>
            <w:proofErr w:type="spellStart"/>
            <w:r w:rsidRPr="00F434B0">
              <w:rPr>
                <w:rFonts w:cs="Arial"/>
                <w:sz w:val="20"/>
                <w:szCs w:val="20"/>
              </w:rPr>
              <w:t>Sabisch</w:t>
            </w:r>
            <w:proofErr w:type="spellEnd"/>
            <w:r>
              <w:rPr>
                <w:rFonts w:cs="Arial"/>
                <w:sz w:val="20"/>
                <w:szCs w:val="20"/>
              </w:rPr>
              <w:t>,</w:t>
            </w:r>
            <w:r>
              <w:rPr>
                <w:rFonts w:cs="Arial"/>
                <w:sz w:val="20"/>
                <w:szCs w:val="20"/>
              </w:rPr>
              <w:t xml:space="preserve"> </w:t>
            </w:r>
            <w:r w:rsidRPr="00001289">
              <w:rPr>
                <w:rFonts w:cs="Arial"/>
                <w:sz w:val="20"/>
                <w:szCs w:val="20"/>
              </w:rPr>
              <w:t>1141-1149</w:t>
            </w:r>
            <w:r>
              <w:rPr>
                <w:rFonts w:cs="Arial"/>
                <w:sz w:val="20"/>
                <w:szCs w:val="20"/>
              </w:rPr>
              <w:t xml:space="preserve">. </w:t>
            </w:r>
            <w:r w:rsidRPr="00F434B0">
              <w:rPr>
                <w:rFonts w:cs="Arial"/>
                <w:sz w:val="20"/>
                <w:szCs w:val="20"/>
              </w:rPr>
              <w:t xml:space="preserve">Geschlecht und Gesellschaft, </w:t>
            </w:r>
            <w:r>
              <w:rPr>
                <w:rFonts w:cs="Arial"/>
                <w:sz w:val="20"/>
                <w:szCs w:val="20"/>
              </w:rPr>
              <w:t>Band</w:t>
            </w:r>
            <w:r w:rsidRPr="00F434B0">
              <w:rPr>
                <w:rFonts w:cs="Arial"/>
                <w:sz w:val="20"/>
                <w:szCs w:val="20"/>
              </w:rPr>
              <w:t xml:space="preserve"> 65. Wiesbaden</w:t>
            </w:r>
            <w:r>
              <w:rPr>
                <w:rFonts w:cs="Arial"/>
                <w:sz w:val="20"/>
                <w:szCs w:val="20"/>
              </w:rPr>
              <w:t xml:space="preserve">: </w:t>
            </w:r>
            <w:r w:rsidRPr="00F434B0">
              <w:rPr>
                <w:rFonts w:cs="Arial"/>
                <w:sz w:val="20"/>
                <w:szCs w:val="20"/>
              </w:rPr>
              <w:t xml:space="preserve">Springer VS. </w:t>
            </w:r>
          </w:p>
        </w:tc>
        <w:tc>
          <w:tcPr>
            <w:tcW w:w="10064" w:type="dxa"/>
          </w:tcPr>
          <w:p w14:paraId="63AC61F0" w14:textId="77777777" w:rsidR="00AA3741" w:rsidRPr="00F434B0" w:rsidRDefault="00AA3741" w:rsidP="003A5925">
            <w:pPr>
              <w:spacing w:before="0" w:line="240" w:lineRule="auto"/>
              <w:jc w:val="left"/>
              <w:rPr>
                <w:rFonts w:cs="Arial"/>
                <w:sz w:val="20"/>
                <w:szCs w:val="20"/>
              </w:rPr>
            </w:pPr>
            <w:r w:rsidRPr="00F434B0">
              <w:rPr>
                <w:rFonts w:cs="Arial"/>
                <w:sz w:val="20"/>
                <w:szCs w:val="20"/>
              </w:rPr>
              <w:lastRenderedPageBreak/>
              <w:t xml:space="preserve">Der Beitrag greift mit einem Überblick über Forschungsarbeiten zu Mutterschaft einen zentralen Topos der Frauen- und Geschlechterforschung auf. Dabei werden sowohl die grundlegende Bedeutung der Konstruktion von Mutterschaft für historische Geschlechter- und Gesellschaftsverhältnisse deutlich als auch zentrale Begründungsmuster für </w:t>
            </w:r>
            <w:proofErr w:type="spellStart"/>
            <w:r w:rsidRPr="00F434B0">
              <w:rPr>
                <w:rFonts w:cs="Arial"/>
                <w:sz w:val="20"/>
                <w:szCs w:val="20"/>
              </w:rPr>
              <w:t>Weiblichkeiten</w:t>
            </w:r>
            <w:proofErr w:type="spellEnd"/>
            <w:r w:rsidRPr="00F434B0">
              <w:rPr>
                <w:rFonts w:cs="Arial"/>
                <w:sz w:val="20"/>
                <w:szCs w:val="20"/>
              </w:rPr>
              <w:t xml:space="preserve"> und Geschlechterkulturen.</w:t>
            </w:r>
          </w:p>
        </w:tc>
      </w:tr>
      <w:tr w:rsidR="00AA3741" w:rsidRPr="00F434B0" w14:paraId="27F2DD60" w14:textId="77777777" w:rsidTr="00AE1BCF">
        <w:tc>
          <w:tcPr>
            <w:tcW w:w="4390" w:type="dxa"/>
            <w:shd w:val="clear" w:color="auto" w:fill="A8D08D" w:themeFill="accent6" w:themeFillTint="99"/>
          </w:tcPr>
          <w:p w14:paraId="234B8B9C"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highlight w:val="green"/>
              </w:rPr>
              <w:t>Waterstradt</w:t>
            </w:r>
            <w:proofErr w:type="spellEnd"/>
            <w:r w:rsidRPr="00F434B0">
              <w:rPr>
                <w:rFonts w:cs="Arial"/>
                <w:sz w:val="20"/>
                <w:szCs w:val="20"/>
                <w:highlight w:val="green"/>
              </w:rPr>
              <w:t>, D</w:t>
            </w:r>
            <w:r>
              <w:rPr>
                <w:rFonts w:cs="Arial"/>
                <w:sz w:val="20"/>
                <w:szCs w:val="20"/>
                <w:highlight w:val="green"/>
              </w:rPr>
              <w:t>ésirée</w:t>
            </w:r>
            <w:r w:rsidRPr="00F434B0">
              <w:rPr>
                <w:rFonts w:cs="Arial"/>
                <w:sz w:val="20"/>
                <w:szCs w:val="20"/>
                <w:highlight w:val="green"/>
              </w:rPr>
              <w:t>.</w:t>
            </w:r>
            <w:r w:rsidRPr="00F434B0">
              <w:rPr>
                <w:rFonts w:cs="Arial"/>
                <w:sz w:val="20"/>
                <w:szCs w:val="20"/>
              </w:rPr>
              <w:t xml:space="preserve"> 2015. </w:t>
            </w:r>
            <w:r w:rsidRPr="00DE1344">
              <w:rPr>
                <w:rFonts w:cs="Arial"/>
                <w:i/>
                <w:sz w:val="20"/>
                <w:szCs w:val="20"/>
              </w:rPr>
              <w:t>Prozess-Soziologie der Elternschaft: Nationsbildung, Figurationsideale und generative Machtarchitektur in Deutschland</w:t>
            </w:r>
            <w:r w:rsidRPr="00F434B0">
              <w:rPr>
                <w:rFonts w:cs="Arial"/>
                <w:sz w:val="20"/>
                <w:szCs w:val="20"/>
              </w:rPr>
              <w:t xml:space="preserve">. </w:t>
            </w:r>
            <w:r>
              <w:rPr>
                <w:rFonts w:cs="Arial"/>
                <w:sz w:val="20"/>
                <w:szCs w:val="20"/>
              </w:rPr>
              <w:t xml:space="preserve">Münster: </w:t>
            </w:r>
            <w:r w:rsidRPr="00F434B0">
              <w:rPr>
                <w:rFonts w:cs="Arial"/>
                <w:sz w:val="20"/>
                <w:szCs w:val="20"/>
              </w:rPr>
              <w:t>MV-Verlag.</w:t>
            </w:r>
          </w:p>
          <w:p w14:paraId="24379D0A" w14:textId="77777777" w:rsidR="00AA3741" w:rsidRPr="00F434B0" w:rsidRDefault="00AA3741" w:rsidP="003A5925">
            <w:pPr>
              <w:spacing w:before="0" w:line="240" w:lineRule="auto"/>
              <w:jc w:val="left"/>
              <w:rPr>
                <w:rFonts w:cs="Arial"/>
                <w:sz w:val="20"/>
                <w:szCs w:val="20"/>
              </w:rPr>
            </w:pPr>
          </w:p>
          <w:p w14:paraId="04905969" w14:textId="77777777" w:rsidR="00AA3741" w:rsidRPr="00F434B0" w:rsidRDefault="00AA3741" w:rsidP="003A5925">
            <w:pPr>
              <w:spacing w:before="0" w:line="240" w:lineRule="auto"/>
              <w:jc w:val="left"/>
              <w:rPr>
                <w:rFonts w:cs="Arial"/>
                <w:sz w:val="20"/>
                <w:szCs w:val="20"/>
              </w:rPr>
            </w:pPr>
          </w:p>
        </w:tc>
        <w:tc>
          <w:tcPr>
            <w:tcW w:w="10064" w:type="dxa"/>
          </w:tcPr>
          <w:p w14:paraId="30C2BD47"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Was ist Elternschaft? Die Begriffskonzepte ‚Eltern‘ und ‚Elternschaft‘ erscheinen klar und selbsterklärend. Doch dies verdeckt ihre sozialhistorische Prägung und normative Aufladung, wie die interdisziplinäre Untersuchung von Begriffen, Wissensgrundlagen und nationaler Rahmung zeigt. </w:t>
            </w:r>
          </w:p>
          <w:p w14:paraId="39E4261C" w14:textId="77777777" w:rsidR="00AA3741" w:rsidRPr="00F434B0" w:rsidRDefault="00AA3741" w:rsidP="006E19A7">
            <w:pPr>
              <w:spacing w:before="0" w:line="240" w:lineRule="auto"/>
              <w:jc w:val="left"/>
              <w:rPr>
                <w:rFonts w:cs="Arial"/>
                <w:sz w:val="20"/>
                <w:szCs w:val="20"/>
              </w:rPr>
            </w:pPr>
            <w:r w:rsidRPr="00F434B0">
              <w:rPr>
                <w:rFonts w:cs="Arial"/>
                <w:sz w:val="20"/>
                <w:szCs w:val="20"/>
              </w:rPr>
              <w:t>Der sozialhistorische Wandel von Elternschaft lässt sich am Beispiel Deutschlands nachvollziehen. In den gut zwei Jahrhunderten moderner deutscher Nationsbildung verändert sich Elternschaft grundlegend, wie über die ausgewählten sechs Themenachsen deutlich wird:</w:t>
            </w:r>
          </w:p>
          <w:p w14:paraId="0096C76F" w14:textId="77777777" w:rsidR="00AA3741" w:rsidRPr="00F434B0" w:rsidRDefault="00AA3741" w:rsidP="006E19A7">
            <w:pPr>
              <w:spacing w:before="0" w:line="240" w:lineRule="auto"/>
              <w:jc w:val="left"/>
              <w:rPr>
                <w:rFonts w:cs="Arial"/>
                <w:sz w:val="20"/>
                <w:szCs w:val="20"/>
              </w:rPr>
            </w:pPr>
          </w:p>
          <w:p w14:paraId="336D96D6"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1. Formierung als Nationsfamilie, </w:t>
            </w:r>
          </w:p>
          <w:p w14:paraId="0E405B59"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2. Bevölkerungsentwicklung, </w:t>
            </w:r>
          </w:p>
          <w:p w14:paraId="55FD2EE0"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3. Wandlung von Abstammungskonzepten, </w:t>
            </w:r>
          </w:p>
          <w:p w14:paraId="6CFC18C8"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4. Ordnung der Arbeit der Wirtschaftsnation in Beruf und Familie, </w:t>
            </w:r>
          </w:p>
          <w:p w14:paraId="1E4FAB3E" w14:textId="77777777" w:rsidR="00AA3741" w:rsidRPr="00F434B0" w:rsidRDefault="00AA3741" w:rsidP="006E19A7">
            <w:pPr>
              <w:spacing w:before="0" w:line="240" w:lineRule="auto"/>
              <w:jc w:val="left"/>
              <w:rPr>
                <w:rFonts w:cs="Arial"/>
                <w:sz w:val="20"/>
                <w:szCs w:val="20"/>
              </w:rPr>
            </w:pPr>
            <w:r w:rsidRPr="00F434B0">
              <w:rPr>
                <w:rFonts w:cs="Arial"/>
                <w:sz w:val="20"/>
                <w:szCs w:val="20"/>
              </w:rPr>
              <w:t xml:space="preserve">5. Übergang von der Elternzentrierung zur </w:t>
            </w:r>
            <w:proofErr w:type="spellStart"/>
            <w:r w:rsidRPr="00F434B0">
              <w:rPr>
                <w:rFonts w:cs="Arial"/>
                <w:sz w:val="20"/>
                <w:szCs w:val="20"/>
              </w:rPr>
              <w:t>Kindzentrierung</w:t>
            </w:r>
            <w:proofErr w:type="spellEnd"/>
            <w:r w:rsidRPr="00F434B0">
              <w:rPr>
                <w:rFonts w:cs="Arial"/>
                <w:sz w:val="20"/>
                <w:szCs w:val="20"/>
              </w:rPr>
              <w:t>,</w:t>
            </w:r>
          </w:p>
          <w:p w14:paraId="7169234A" w14:textId="77777777" w:rsidR="00AA3741" w:rsidRPr="00F434B0" w:rsidRDefault="00AA3741" w:rsidP="006E19A7">
            <w:pPr>
              <w:spacing w:before="0" w:line="240" w:lineRule="auto"/>
              <w:jc w:val="left"/>
              <w:rPr>
                <w:rFonts w:cs="Arial"/>
                <w:sz w:val="20"/>
                <w:szCs w:val="20"/>
              </w:rPr>
            </w:pPr>
            <w:r w:rsidRPr="00F434B0">
              <w:rPr>
                <w:rFonts w:cs="Arial"/>
                <w:sz w:val="20"/>
                <w:szCs w:val="20"/>
              </w:rPr>
              <w:t>6. Veränderung gesellschaftlicher Ehr- und Schamstandards bezüglich der Elternposition.</w:t>
            </w:r>
          </w:p>
          <w:p w14:paraId="697BCFCE" w14:textId="77777777" w:rsidR="00AA3741" w:rsidRPr="00F434B0" w:rsidRDefault="00AA3741" w:rsidP="006E19A7">
            <w:pPr>
              <w:spacing w:before="0" w:line="240" w:lineRule="auto"/>
              <w:jc w:val="left"/>
              <w:rPr>
                <w:rFonts w:cs="Arial"/>
                <w:sz w:val="20"/>
                <w:szCs w:val="20"/>
              </w:rPr>
            </w:pPr>
          </w:p>
          <w:p w14:paraId="4DE010D7" w14:textId="77777777" w:rsidR="00AA3741" w:rsidRPr="00F434B0" w:rsidRDefault="00AA3741" w:rsidP="006E19A7">
            <w:pPr>
              <w:spacing w:before="0" w:line="240" w:lineRule="auto"/>
              <w:jc w:val="left"/>
              <w:rPr>
                <w:rFonts w:cs="Arial"/>
                <w:sz w:val="20"/>
                <w:szCs w:val="20"/>
              </w:rPr>
            </w:pPr>
            <w:r w:rsidRPr="00F434B0">
              <w:rPr>
                <w:rFonts w:cs="Arial"/>
                <w:sz w:val="20"/>
                <w:szCs w:val="20"/>
              </w:rPr>
              <w:t>Auf Basis der Untersuchungsergebnisse wird abschließend ein prozess-soziologisches Grundlagenkonzept entwickelt: Es beschreibt Elternschaft als unverzichtbaren Kernprozess gesellschaftlicher Generativität. Dieser wird unter dem Wandlungsdruck der Beziehungsgeflechte und Machtdynamiken mitgeformt, so dass sich Kanons, Ideale und Habitus der Elternschaft verändern.</w:t>
            </w:r>
          </w:p>
        </w:tc>
      </w:tr>
      <w:tr w:rsidR="00AA3741" w:rsidRPr="00F434B0" w14:paraId="27B798F6" w14:textId="77777777" w:rsidTr="00AE1BCF">
        <w:tc>
          <w:tcPr>
            <w:tcW w:w="4390" w:type="dxa"/>
            <w:shd w:val="clear" w:color="auto" w:fill="E482D1"/>
          </w:tcPr>
          <w:p w14:paraId="2B237A7A" w14:textId="77777777" w:rsidR="00AA3741" w:rsidRPr="00F434B0" w:rsidRDefault="00AA3741" w:rsidP="003A5925">
            <w:pPr>
              <w:spacing w:before="0" w:line="240" w:lineRule="auto"/>
              <w:jc w:val="left"/>
              <w:rPr>
                <w:rFonts w:cs="Arial"/>
                <w:sz w:val="20"/>
                <w:szCs w:val="20"/>
              </w:rPr>
            </w:pPr>
            <w:proofErr w:type="spellStart"/>
            <w:r w:rsidRPr="00F434B0">
              <w:rPr>
                <w:rFonts w:cs="Arial"/>
                <w:sz w:val="20"/>
                <w:szCs w:val="20"/>
              </w:rPr>
              <w:t>Wimbauer</w:t>
            </w:r>
            <w:proofErr w:type="spellEnd"/>
            <w:r w:rsidRPr="00F434B0">
              <w:rPr>
                <w:rFonts w:cs="Arial"/>
                <w:sz w:val="20"/>
                <w:szCs w:val="20"/>
              </w:rPr>
              <w:t>, C</w:t>
            </w:r>
            <w:r>
              <w:rPr>
                <w:rFonts w:cs="Arial"/>
                <w:sz w:val="20"/>
                <w:szCs w:val="20"/>
              </w:rPr>
              <w:t>hristine</w:t>
            </w:r>
            <w:r w:rsidRPr="00F434B0">
              <w:rPr>
                <w:rFonts w:cs="Arial"/>
                <w:sz w:val="20"/>
                <w:szCs w:val="20"/>
              </w:rPr>
              <w:t>. 2021. Co-</w:t>
            </w:r>
            <w:proofErr w:type="spellStart"/>
            <w:r w:rsidRPr="00F434B0">
              <w:rPr>
                <w:rFonts w:cs="Arial"/>
                <w:sz w:val="20"/>
                <w:szCs w:val="20"/>
              </w:rPr>
              <w:t>Parenting</w:t>
            </w:r>
            <w:proofErr w:type="spellEnd"/>
            <w:r w:rsidRPr="00F434B0">
              <w:rPr>
                <w:rFonts w:cs="Arial"/>
                <w:sz w:val="20"/>
                <w:szCs w:val="20"/>
              </w:rPr>
              <w:t xml:space="preserve"> und die Zukunft der Liebe: über post-romantische Elternschaf</w:t>
            </w:r>
            <w:r>
              <w:rPr>
                <w:rFonts w:cs="Arial"/>
                <w:sz w:val="20"/>
                <w:szCs w:val="20"/>
              </w:rPr>
              <w:t>t</w:t>
            </w:r>
            <w:r w:rsidRPr="00F434B0">
              <w:rPr>
                <w:rFonts w:cs="Arial"/>
                <w:sz w:val="20"/>
                <w:szCs w:val="20"/>
              </w:rPr>
              <w:t xml:space="preserve">. </w:t>
            </w:r>
            <w:r>
              <w:rPr>
                <w:rFonts w:cs="Arial"/>
                <w:sz w:val="20"/>
                <w:szCs w:val="20"/>
              </w:rPr>
              <w:t xml:space="preserve">Bielefeld: </w:t>
            </w:r>
            <w:proofErr w:type="spellStart"/>
            <w:r w:rsidRPr="00F434B0">
              <w:rPr>
                <w:rFonts w:cs="Arial"/>
                <w:sz w:val="20"/>
                <w:szCs w:val="20"/>
              </w:rPr>
              <w:t>transcript</w:t>
            </w:r>
            <w:proofErr w:type="spellEnd"/>
            <w:r w:rsidRPr="00F434B0">
              <w:rPr>
                <w:rFonts w:cs="Arial"/>
                <w:sz w:val="20"/>
                <w:szCs w:val="20"/>
              </w:rPr>
              <w:t xml:space="preserve"> Verlag.</w:t>
            </w:r>
          </w:p>
        </w:tc>
        <w:tc>
          <w:tcPr>
            <w:tcW w:w="10064" w:type="dxa"/>
          </w:tcPr>
          <w:p w14:paraId="0B1E628E" w14:textId="77777777" w:rsidR="00AA3741" w:rsidRPr="00F434B0" w:rsidRDefault="00AA3741" w:rsidP="003A5925">
            <w:pPr>
              <w:spacing w:before="0" w:line="240" w:lineRule="auto"/>
              <w:jc w:val="left"/>
              <w:rPr>
                <w:rFonts w:cs="Arial"/>
                <w:sz w:val="20"/>
                <w:szCs w:val="20"/>
              </w:rPr>
            </w:pPr>
            <w:r w:rsidRPr="00F434B0">
              <w:rPr>
                <w:rFonts w:cs="Arial"/>
                <w:sz w:val="20"/>
                <w:szCs w:val="20"/>
              </w:rPr>
              <w:t>»Co-</w:t>
            </w:r>
            <w:proofErr w:type="spellStart"/>
            <w:r w:rsidRPr="00F434B0">
              <w:rPr>
                <w:rFonts w:cs="Arial"/>
                <w:sz w:val="20"/>
                <w:szCs w:val="20"/>
              </w:rPr>
              <w:t>Parenting</w:t>
            </w:r>
            <w:proofErr w:type="spellEnd"/>
            <w:r w:rsidRPr="00F434B0">
              <w:rPr>
                <w:rFonts w:cs="Arial"/>
                <w:sz w:val="20"/>
                <w:szCs w:val="20"/>
              </w:rPr>
              <w:t xml:space="preserve">« als Familienkonzept breitet sich aus und stellt die Versprechen des romantischen Liebesideals mitsamt seinem geschlechterungleichen Normalfamilienmodell in Frage. Doch was bedeutet das für die Liebe selbst? Wird sie zerstört oder transformiert und öffnet sie sich für neue Familien- und Beziehungsformen? Entfaltet sich in der post-romantischen Elternschaft gar ein utopisch-emanzipatives Potenzial, das Frauen und LGBTIQ*s aus patriarchalen, hetero- und paarnormativen Herrschaftsverhältnissen befreit? Neben Gegenwarts- und Zukunftsszenarien erkundet Christine </w:t>
            </w:r>
            <w:proofErr w:type="spellStart"/>
            <w:r w:rsidRPr="00F434B0">
              <w:rPr>
                <w:rFonts w:cs="Arial"/>
                <w:sz w:val="20"/>
                <w:szCs w:val="20"/>
              </w:rPr>
              <w:t>Wimbauer</w:t>
            </w:r>
            <w:proofErr w:type="spellEnd"/>
            <w:r w:rsidRPr="00F434B0">
              <w:rPr>
                <w:rFonts w:cs="Arial"/>
                <w:sz w:val="20"/>
                <w:szCs w:val="20"/>
              </w:rPr>
              <w:t xml:space="preserve"> auch die gesellschaftspolitischen Herausforderungen dieser Entwicklungen.</w:t>
            </w:r>
          </w:p>
        </w:tc>
      </w:tr>
      <w:tr w:rsidR="00AA3741" w:rsidRPr="00F434B0" w14:paraId="67649EFD" w14:textId="77777777" w:rsidTr="00AE1BCF">
        <w:tc>
          <w:tcPr>
            <w:tcW w:w="4390" w:type="dxa"/>
            <w:shd w:val="clear" w:color="auto" w:fill="E482D1"/>
          </w:tcPr>
          <w:p w14:paraId="4973D1C2" w14:textId="77777777" w:rsidR="00AA3741" w:rsidRPr="00F434B0" w:rsidRDefault="00AA3741" w:rsidP="003A5925">
            <w:pPr>
              <w:spacing w:before="0" w:line="240" w:lineRule="auto"/>
              <w:jc w:val="left"/>
              <w:rPr>
                <w:rFonts w:cs="Arial"/>
                <w:sz w:val="20"/>
                <w:szCs w:val="20"/>
              </w:rPr>
            </w:pPr>
            <w:r w:rsidRPr="00F434B0">
              <w:rPr>
                <w:rFonts w:cs="Arial"/>
                <w:sz w:val="20"/>
                <w:szCs w:val="20"/>
                <w:lang w:val="en-US"/>
              </w:rPr>
              <w:t>Winkler, C</w:t>
            </w:r>
            <w:r>
              <w:rPr>
                <w:rFonts w:cs="Arial"/>
                <w:sz w:val="20"/>
                <w:szCs w:val="20"/>
                <w:lang w:val="en-US"/>
              </w:rPr>
              <w:t xml:space="preserve">hristiane und Emine </w:t>
            </w:r>
            <w:proofErr w:type="spellStart"/>
            <w:r w:rsidRPr="00F434B0">
              <w:rPr>
                <w:rFonts w:cs="Arial"/>
                <w:sz w:val="20"/>
                <w:szCs w:val="20"/>
                <w:lang w:val="en-US"/>
              </w:rPr>
              <w:t>Babac</w:t>
            </w:r>
            <w:proofErr w:type="spellEnd"/>
            <w:r>
              <w:rPr>
                <w:rFonts w:cs="Arial"/>
                <w:sz w:val="20"/>
                <w:szCs w:val="20"/>
                <w:lang w:val="en-US"/>
              </w:rPr>
              <w:t xml:space="preserve">. 2022. </w:t>
            </w:r>
            <w:r w:rsidRPr="00F434B0">
              <w:rPr>
                <w:rFonts w:cs="Arial"/>
                <w:sz w:val="20"/>
                <w:szCs w:val="20"/>
                <w:lang w:val="en-US"/>
              </w:rPr>
              <w:t xml:space="preserve">Birth Justice. </w:t>
            </w:r>
            <w:r w:rsidRPr="00F434B0">
              <w:rPr>
                <w:rFonts w:cs="Arial"/>
                <w:sz w:val="20"/>
                <w:szCs w:val="20"/>
              </w:rPr>
              <w:t xml:space="preserve">Die Bedeutung von Intersektionalität für die Begleitung von Schwangerschaft, Geburt und früher Elternschaft. </w:t>
            </w:r>
            <w:r w:rsidRPr="00BC7C11">
              <w:rPr>
                <w:rFonts w:cs="Arial"/>
                <w:i/>
                <w:iCs/>
                <w:sz w:val="20"/>
                <w:szCs w:val="20"/>
              </w:rPr>
              <w:t>Österreich</w:t>
            </w:r>
            <w:r>
              <w:rPr>
                <w:rFonts w:cs="Arial"/>
                <w:i/>
                <w:iCs/>
                <w:sz w:val="20"/>
                <w:szCs w:val="20"/>
              </w:rPr>
              <w:t>ische</w:t>
            </w:r>
            <w:r w:rsidRPr="00BC7C11">
              <w:rPr>
                <w:rFonts w:cs="Arial"/>
                <w:i/>
                <w:iCs/>
                <w:sz w:val="20"/>
                <w:szCs w:val="20"/>
              </w:rPr>
              <w:t xml:space="preserve"> Z</w:t>
            </w:r>
            <w:r>
              <w:rPr>
                <w:rFonts w:cs="Arial"/>
                <w:i/>
                <w:iCs/>
                <w:sz w:val="20"/>
                <w:szCs w:val="20"/>
              </w:rPr>
              <w:t>eitschrift für</w:t>
            </w:r>
            <w:r w:rsidRPr="00BC7C11">
              <w:rPr>
                <w:rFonts w:cs="Arial"/>
                <w:i/>
                <w:iCs/>
                <w:sz w:val="20"/>
                <w:szCs w:val="20"/>
              </w:rPr>
              <w:t xml:space="preserve"> Soziol</w:t>
            </w:r>
            <w:r>
              <w:rPr>
                <w:rFonts w:cs="Arial"/>
                <w:i/>
                <w:iCs/>
                <w:sz w:val="20"/>
                <w:szCs w:val="20"/>
              </w:rPr>
              <w:t>ogie</w:t>
            </w:r>
            <w:r w:rsidRPr="00F434B0">
              <w:rPr>
                <w:rFonts w:cs="Arial"/>
                <w:sz w:val="20"/>
                <w:szCs w:val="20"/>
              </w:rPr>
              <w:t xml:space="preserve"> 47</w:t>
            </w:r>
            <w:r>
              <w:rPr>
                <w:rFonts w:cs="Arial"/>
                <w:sz w:val="20"/>
                <w:szCs w:val="20"/>
              </w:rPr>
              <w:t>:</w:t>
            </w:r>
            <w:r w:rsidRPr="00F434B0">
              <w:rPr>
                <w:rFonts w:cs="Arial"/>
                <w:sz w:val="20"/>
                <w:szCs w:val="20"/>
              </w:rPr>
              <w:t xml:space="preserve"> 31–58. https://doi.org/10.1007/s11614-022-00472-5</w:t>
            </w:r>
          </w:p>
        </w:tc>
        <w:tc>
          <w:tcPr>
            <w:tcW w:w="10064" w:type="dxa"/>
          </w:tcPr>
          <w:p w14:paraId="7B42E8BF" w14:textId="77777777" w:rsidR="00AA3741" w:rsidRPr="00F434B0" w:rsidRDefault="00AA3741" w:rsidP="001C5585">
            <w:pPr>
              <w:spacing w:before="0" w:line="240" w:lineRule="auto"/>
              <w:jc w:val="left"/>
              <w:rPr>
                <w:rFonts w:cs="Arial"/>
                <w:sz w:val="20"/>
                <w:szCs w:val="20"/>
              </w:rPr>
            </w:pPr>
            <w:r w:rsidRPr="00F434B0">
              <w:rPr>
                <w:rFonts w:cs="Arial"/>
                <w:sz w:val="20"/>
                <w:szCs w:val="20"/>
              </w:rPr>
              <w:t xml:space="preserve">US-amerikanische Schwarze Feminist*innen entwickelten den Begriff </w:t>
            </w:r>
            <w:proofErr w:type="spellStart"/>
            <w:r w:rsidRPr="00F434B0">
              <w:rPr>
                <w:rFonts w:cs="Arial"/>
                <w:sz w:val="20"/>
                <w:szCs w:val="20"/>
              </w:rPr>
              <w:t>Birth</w:t>
            </w:r>
            <w:proofErr w:type="spellEnd"/>
            <w:r w:rsidRPr="00F434B0">
              <w:rPr>
                <w:rFonts w:cs="Arial"/>
                <w:sz w:val="20"/>
                <w:szCs w:val="20"/>
              </w:rPr>
              <w:t xml:space="preserve"> Justice, um strukturell verankerte Ungleichheits- und Gewaltverhältnisse rund um Schwangerschaft, Geburt und frühe Elternschaft sichtbar zu machen (</w:t>
            </w:r>
            <w:proofErr w:type="spellStart"/>
            <w:r w:rsidRPr="00F434B0">
              <w:rPr>
                <w:rFonts w:cs="Arial"/>
                <w:sz w:val="20"/>
                <w:szCs w:val="20"/>
              </w:rPr>
              <w:t>Oparah</w:t>
            </w:r>
            <w:proofErr w:type="spellEnd"/>
            <w:r w:rsidRPr="00F434B0">
              <w:rPr>
                <w:rFonts w:cs="Arial"/>
                <w:sz w:val="20"/>
                <w:szCs w:val="20"/>
              </w:rPr>
              <w:t xml:space="preserve"> 2015). </w:t>
            </w:r>
            <w:proofErr w:type="spellStart"/>
            <w:r w:rsidRPr="00F434B0">
              <w:rPr>
                <w:rFonts w:cs="Arial"/>
                <w:sz w:val="20"/>
                <w:szCs w:val="20"/>
              </w:rPr>
              <w:t>Birth</w:t>
            </w:r>
            <w:proofErr w:type="spellEnd"/>
            <w:r w:rsidRPr="00F434B0">
              <w:rPr>
                <w:rFonts w:cs="Arial"/>
                <w:sz w:val="20"/>
                <w:szCs w:val="20"/>
              </w:rPr>
              <w:t xml:space="preserve"> Justice verortet sich im Kontext des Konzeptes von </w:t>
            </w:r>
            <w:proofErr w:type="spellStart"/>
            <w:r w:rsidRPr="00F434B0">
              <w:rPr>
                <w:rFonts w:cs="Arial"/>
                <w:sz w:val="20"/>
                <w:szCs w:val="20"/>
              </w:rPr>
              <w:t>Reproductive</w:t>
            </w:r>
            <w:proofErr w:type="spellEnd"/>
            <w:r w:rsidRPr="00F434B0">
              <w:rPr>
                <w:rFonts w:cs="Arial"/>
                <w:sz w:val="20"/>
                <w:szCs w:val="20"/>
              </w:rPr>
              <w:t xml:space="preserve"> Justice und ist durch eine menschenrechtsbasierte, intersektionale Analyse reproduktiver Ungleichheitsverhältnisse gekennzeichnet (</w:t>
            </w:r>
            <w:proofErr w:type="spellStart"/>
            <w:r w:rsidRPr="00F434B0">
              <w:rPr>
                <w:rFonts w:cs="Arial"/>
                <w:sz w:val="20"/>
                <w:szCs w:val="20"/>
              </w:rPr>
              <w:t>Oparah</w:t>
            </w:r>
            <w:proofErr w:type="spellEnd"/>
            <w:r w:rsidRPr="00F434B0">
              <w:rPr>
                <w:rFonts w:cs="Arial"/>
                <w:sz w:val="20"/>
                <w:szCs w:val="20"/>
              </w:rPr>
              <w:t xml:space="preserve"> 2015; Ross und Solinger 2017).</w:t>
            </w:r>
          </w:p>
          <w:p w14:paraId="50E7EF75" w14:textId="77777777" w:rsidR="00AA3741" w:rsidRPr="00F434B0" w:rsidRDefault="00AA3741" w:rsidP="001C5585">
            <w:pPr>
              <w:spacing w:before="0" w:line="240" w:lineRule="auto"/>
              <w:jc w:val="left"/>
              <w:rPr>
                <w:rFonts w:cs="Arial"/>
                <w:sz w:val="20"/>
                <w:szCs w:val="20"/>
              </w:rPr>
            </w:pPr>
            <w:r w:rsidRPr="00F434B0">
              <w:rPr>
                <w:rFonts w:cs="Arial"/>
                <w:sz w:val="20"/>
                <w:szCs w:val="20"/>
              </w:rPr>
              <w:t xml:space="preserve">Die individuellen Erfahrungen Schwangerer* und Gebärender* werden geprägt durch die vielfältigen Wechselwirkungen zwischen Merkmalen wie geschlechtlicher Identität, </w:t>
            </w:r>
            <w:proofErr w:type="spellStart"/>
            <w:r w:rsidRPr="00F434B0">
              <w:rPr>
                <w:rFonts w:cs="Arial"/>
                <w:sz w:val="20"/>
                <w:szCs w:val="20"/>
              </w:rPr>
              <w:t>Race</w:t>
            </w:r>
            <w:proofErr w:type="spellEnd"/>
            <w:r w:rsidRPr="00F434B0">
              <w:rPr>
                <w:rFonts w:cs="Arial"/>
                <w:sz w:val="20"/>
                <w:szCs w:val="20"/>
              </w:rPr>
              <w:t>/Ethnizität/Nationalität, Klasse, Alter, sog. Behinderung und sexueller Orientierung (ebd.). Subjektive Erfahrungen wirken sich auf Zufriedenheit mit der gesundheitlichen Versorgung aus und beeinflussen zukünftige Gesundheitsentscheidungen (Ohlbrecht 2016). Dadurch können Ungleichheiten fortgeschrieben werden.</w:t>
            </w:r>
          </w:p>
          <w:p w14:paraId="6CDA2FF2" w14:textId="77777777" w:rsidR="00AA3741" w:rsidRPr="00F434B0" w:rsidRDefault="00AA3741" w:rsidP="001C5585">
            <w:pPr>
              <w:spacing w:before="0" w:line="240" w:lineRule="auto"/>
              <w:jc w:val="left"/>
              <w:rPr>
                <w:rFonts w:cs="Arial"/>
                <w:sz w:val="20"/>
                <w:szCs w:val="20"/>
              </w:rPr>
            </w:pPr>
            <w:r w:rsidRPr="00F434B0">
              <w:rPr>
                <w:rFonts w:cs="Arial"/>
                <w:sz w:val="20"/>
                <w:szCs w:val="20"/>
              </w:rPr>
              <w:lastRenderedPageBreak/>
              <w:t xml:space="preserve">Zufriedenstellende intersektional orientierte quantitative und qualitative Studien zu </w:t>
            </w:r>
            <w:proofErr w:type="spellStart"/>
            <w:r w:rsidRPr="00F434B0">
              <w:rPr>
                <w:rFonts w:cs="Arial"/>
                <w:sz w:val="20"/>
                <w:szCs w:val="20"/>
              </w:rPr>
              <w:t>peripartalen</w:t>
            </w:r>
            <w:proofErr w:type="spellEnd"/>
            <w:r w:rsidRPr="00F434B0">
              <w:rPr>
                <w:rFonts w:cs="Arial"/>
                <w:sz w:val="20"/>
                <w:szCs w:val="20"/>
              </w:rPr>
              <w:t xml:space="preserve"> Outcomes sowie zum Erleben der gesundheitlichen Versorgung stehen im deutschsprachigen Raum aus. Quantitative Erhebungen zu Outcomes Gebärender* mit Migrationshintergrund in Deutschland sind sehr begrenzt und kritisch zu betrachten, da sie nicht auf der Grundlage differenzierter Antidiskriminierungsdaten durchgeführt wurden. Qualitative Studien zu Erfahrungen marginalisierter/</w:t>
            </w:r>
            <w:proofErr w:type="spellStart"/>
            <w:r w:rsidRPr="00F434B0">
              <w:rPr>
                <w:rFonts w:cs="Arial"/>
                <w:sz w:val="20"/>
                <w:szCs w:val="20"/>
              </w:rPr>
              <w:t>minorisierter</w:t>
            </w:r>
            <w:proofErr w:type="spellEnd"/>
            <w:r w:rsidRPr="00F434B0">
              <w:rPr>
                <w:rFonts w:cs="Arial"/>
                <w:sz w:val="20"/>
                <w:szCs w:val="20"/>
              </w:rPr>
              <w:t xml:space="preserve"> Personen mit </w:t>
            </w:r>
            <w:proofErr w:type="spellStart"/>
            <w:r w:rsidRPr="00F434B0">
              <w:rPr>
                <w:rFonts w:cs="Arial"/>
                <w:sz w:val="20"/>
                <w:szCs w:val="20"/>
              </w:rPr>
              <w:t>peripartaler</w:t>
            </w:r>
            <w:proofErr w:type="spellEnd"/>
            <w:r w:rsidRPr="00F434B0">
              <w:rPr>
                <w:rFonts w:cs="Arial"/>
                <w:sz w:val="20"/>
                <w:szCs w:val="20"/>
              </w:rPr>
              <w:t xml:space="preserve"> Betreuung gibt es nur sehr unzureichend in Quantität und Qualität. Ergebnisse zu Diskriminierungserfahrungen sind bisher noch nicht publiziert.</w:t>
            </w:r>
          </w:p>
          <w:p w14:paraId="096E4BF5" w14:textId="77777777" w:rsidR="00AA3741" w:rsidRPr="00F434B0" w:rsidRDefault="00AA3741" w:rsidP="001C5585">
            <w:pPr>
              <w:spacing w:before="0" w:line="240" w:lineRule="auto"/>
              <w:jc w:val="left"/>
              <w:rPr>
                <w:rFonts w:cs="Arial"/>
                <w:sz w:val="20"/>
                <w:szCs w:val="20"/>
              </w:rPr>
            </w:pPr>
            <w:r w:rsidRPr="00F434B0">
              <w:rPr>
                <w:rFonts w:cs="Arial"/>
                <w:sz w:val="20"/>
                <w:szCs w:val="20"/>
              </w:rPr>
              <w:t xml:space="preserve">Um menschenrechtsbasierte, respektvolle Betreuung als Qualitätsmerkmal der Gesundheitsversorgung Realität werden zu lassen und gesundheitliche Ungleichheiten abzubauen, braucht es verlässliche Erhebungen zu Erfahrungen mit der </w:t>
            </w:r>
            <w:proofErr w:type="spellStart"/>
            <w:r w:rsidRPr="00F434B0">
              <w:rPr>
                <w:rFonts w:cs="Arial"/>
                <w:sz w:val="20"/>
                <w:szCs w:val="20"/>
              </w:rPr>
              <w:t>peripartalen</w:t>
            </w:r>
            <w:proofErr w:type="spellEnd"/>
            <w:r w:rsidRPr="00F434B0">
              <w:rPr>
                <w:rFonts w:cs="Arial"/>
                <w:sz w:val="20"/>
                <w:szCs w:val="20"/>
              </w:rPr>
              <w:t xml:space="preserve"> Versorgung insbesondere von marginalisierten und </w:t>
            </w:r>
            <w:proofErr w:type="spellStart"/>
            <w:r w:rsidRPr="00F434B0">
              <w:rPr>
                <w:rFonts w:cs="Arial"/>
                <w:sz w:val="20"/>
                <w:szCs w:val="20"/>
              </w:rPr>
              <w:t>minorisierten</w:t>
            </w:r>
            <w:proofErr w:type="spellEnd"/>
            <w:r w:rsidRPr="00F434B0">
              <w:rPr>
                <w:rFonts w:cs="Arial"/>
                <w:sz w:val="20"/>
                <w:szCs w:val="20"/>
              </w:rPr>
              <w:t xml:space="preserve"> Personen. Diese sollten in ihrem Design intersektional reflektiert und diskriminierungssensibel angelegt sein. Intersektionalität und ihre Auswirkung auf den Zugang und die Qualität der </w:t>
            </w:r>
            <w:proofErr w:type="spellStart"/>
            <w:r w:rsidRPr="00F434B0">
              <w:rPr>
                <w:rFonts w:cs="Arial"/>
                <w:sz w:val="20"/>
                <w:szCs w:val="20"/>
              </w:rPr>
              <w:t>peripartalen</w:t>
            </w:r>
            <w:proofErr w:type="spellEnd"/>
            <w:r w:rsidRPr="00F434B0">
              <w:rPr>
                <w:rFonts w:cs="Arial"/>
                <w:sz w:val="20"/>
                <w:szCs w:val="20"/>
              </w:rPr>
              <w:t xml:space="preserve"> Begleitung sollten in die theoretische als auch praktische Ausbildung im Gesundheitswesen aufgenommen und Bewusstsein durch Fortbildungen gefördert werden.</w:t>
            </w:r>
          </w:p>
        </w:tc>
      </w:tr>
      <w:tr w:rsidR="004F1F48" w:rsidRPr="00F434B0" w14:paraId="19826604" w14:textId="77777777" w:rsidTr="00A86737">
        <w:tc>
          <w:tcPr>
            <w:tcW w:w="4390" w:type="dxa"/>
          </w:tcPr>
          <w:p w14:paraId="18E4E180" w14:textId="77777777" w:rsidR="004F1F48" w:rsidRPr="00F434B0" w:rsidRDefault="004F1F48" w:rsidP="003A5925">
            <w:pPr>
              <w:spacing w:before="0" w:line="240" w:lineRule="auto"/>
              <w:jc w:val="left"/>
              <w:rPr>
                <w:rFonts w:cs="Arial"/>
                <w:sz w:val="20"/>
                <w:szCs w:val="20"/>
              </w:rPr>
            </w:pPr>
          </w:p>
        </w:tc>
        <w:tc>
          <w:tcPr>
            <w:tcW w:w="10064" w:type="dxa"/>
          </w:tcPr>
          <w:p w14:paraId="1FABB66E" w14:textId="77777777" w:rsidR="004F1F48" w:rsidRPr="00F434B0" w:rsidRDefault="004F1F48" w:rsidP="003A5925">
            <w:pPr>
              <w:spacing w:before="0" w:line="240" w:lineRule="auto"/>
              <w:jc w:val="left"/>
              <w:rPr>
                <w:rFonts w:cs="Arial"/>
                <w:sz w:val="20"/>
                <w:szCs w:val="20"/>
              </w:rPr>
            </w:pPr>
          </w:p>
        </w:tc>
      </w:tr>
      <w:tr w:rsidR="004F1F48" w:rsidRPr="00F434B0" w14:paraId="01019F15" w14:textId="77777777" w:rsidTr="00A86737">
        <w:tc>
          <w:tcPr>
            <w:tcW w:w="4390" w:type="dxa"/>
          </w:tcPr>
          <w:p w14:paraId="6F4F014B" w14:textId="77777777" w:rsidR="004F1F48" w:rsidRPr="00F434B0" w:rsidRDefault="004F1F48" w:rsidP="003A5925">
            <w:pPr>
              <w:spacing w:before="0" w:line="240" w:lineRule="auto"/>
              <w:jc w:val="left"/>
              <w:rPr>
                <w:rFonts w:cs="Arial"/>
                <w:sz w:val="20"/>
                <w:szCs w:val="20"/>
              </w:rPr>
            </w:pPr>
          </w:p>
        </w:tc>
        <w:tc>
          <w:tcPr>
            <w:tcW w:w="10064" w:type="dxa"/>
          </w:tcPr>
          <w:p w14:paraId="44F1882A" w14:textId="77777777" w:rsidR="004F1F48" w:rsidRPr="00F434B0" w:rsidRDefault="004F1F48" w:rsidP="003A5925">
            <w:pPr>
              <w:spacing w:before="0" w:line="240" w:lineRule="auto"/>
              <w:jc w:val="left"/>
              <w:rPr>
                <w:rFonts w:cs="Arial"/>
                <w:sz w:val="20"/>
                <w:szCs w:val="20"/>
              </w:rPr>
            </w:pPr>
          </w:p>
        </w:tc>
      </w:tr>
      <w:tr w:rsidR="004F1F48" w:rsidRPr="00F434B0" w14:paraId="775BF3F7" w14:textId="77777777" w:rsidTr="00A86737">
        <w:tc>
          <w:tcPr>
            <w:tcW w:w="4390" w:type="dxa"/>
          </w:tcPr>
          <w:p w14:paraId="2096C138" w14:textId="77777777" w:rsidR="004F1F48" w:rsidRPr="00F434B0" w:rsidRDefault="004F1F48" w:rsidP="003A5925">
            <w:pPr>
              <w:spacing w:before="0" w:line="240" w:lineRule="auto"/>
              <w:jc w:val="left"/>
              <w:rPr>
                <w:rFonts w:cs="Arial"/>
                <w:sz w:val="20"/>
                <w:szCs w:val="20"/>
              </w:rPr>
            </w:pPr>
          </w:p>
        </w:tc>
        <w:tc>
          <w:tcPr>
            <w:tcW w:w="10064" w:type="dxa"/>
          </w:tcPr>
          <w:p w14:paraId="527F43E1" w14:textId="77777777" w:rsidR="004F1F48" w:rsidRPr="00F434B0" w:rsidRDefault="004F1F48" w:rsidP="003A5925">
            <w:pPr>
              <w:spacing w:before="0" w:line="240" w:lineRule="auto"/>
              <w:jc w:val="left"/>
              <w:rPr>
                <w:rFonts w:cs="Arial"/>
                <w:sz w:val="20"/>
                <w:szCs w:val="20"/>
              </w:rPr>
            </w:pPr>
          </w:p>
        </w:tc>
      </w:tr>
      <w:tr w:rsidR="004F1F48" w:rsidRPr="00F434B0" w14:paraId="08275035" w14:textId="77777777" w:rsidTr="00A86737">
        <w:tc>
          <w:tcPr>
            <w:tcW w:w="4390" w:type="dxa"/>
          </w:tcPr>
          <w:p w14:paraId="0FFDC50E" w14:textId="77777777" w:rsidR="004F1F48" w:rsidRPr="00F434B0" w:rsidRDefault="004F1F48" w:rsidP="003A5925">
            <w:pPr>
              <w:spacing w:before="0" w:line="240" w:lineRule="auto"/>
              <w:jc w:val="left"/>
              <w:rPr>
                <w:rFonts w:cs="Arial"/>
                <w:sz w:val="20"/>
                <w:szCs w:val="20"/>
              </w:rPr>
            </w:pPr>
          </w:p>
        </w:tc>
        <w:tc>
          <w:tcPr>
            <w:tcW w:w="10064" w:type="dxa"/>
          </w:tcPr>
          <w:p w14:paraId="157D6F66" w14:textId="77777777" w:rsidR="004F1F48" w:rsidRPr="00F434B0" w:rsidRDefault="004F1F48" w:rsidP="003A5925">
            <w:pPr>
              <w:spacing w:before="0" w:line="240" w:lineRule="auto"/>
              <w:jc w:val="left"/>
              <w:rPr>
                <w:rFonts w:cs="Arial"/>
                <w:sz w:val="20"/>
                <w:szCs w:val="20"/>
              </w:rPr>
            </w:pPr>
          </w:p>
        </w:tc>
      </w:tr>
      <w:tr w:rsidR="009340E2" w:rsidRPr="00F434B0" w14:paraId="2C7E7FB6" w14:textId="77777777" w:rsidTr="00A86737">
        <w:tc>
          <w:tcPr>
            <w:tcW w:w="4390" w:type="dxa"/>
          </w:tcPr>
          <w:p w14:paraId="24C2D442" w14:textId="77777777" w:rsidR="009340E2" w:rsidRPr="00F434B0" w:rsidRDefault="009340E2" w:rsidP="003A5925">
            <w:pPr>
              <w:spacing w:before="0" w:line="240" w:lineRule="auto"/>
              <w:jc w:val="left"/>
              <w:rPr>
                <w:rFonts w:cs="Arial"/>
                <w:sz w:val="20"/>
                <w:szCs w:val="20"/>
              </w:rPr>
            </w:pPr>
          </w:p>
        </w:tc>
        <w:tc>
          <w:tcPr>
            <w:tcW w:w="10064" w:type="dxa"/>
          </w:tcPr>
          <w:p w14:paraId="61559D40" w14:textId="77777777" w:rsidR="009340E2" w:rsidRPr="00F434B0" w:rsidRDefault="009340E2" w:rsidP="003A5925">
            <w:pPr>
              <w:spacing w:before="0" w:line="240" w:lineRule="auto"/>
              <w:jc w:val="left"/>
              <w:rPr>
                <w:rFonts w:cs="Arial"/>
                <w:sz w:val="20"/>
                <w:szCs w:val="20"/>
              </w:rPr>
            </w:pPr>
          </w:p>
        </w:tc>
      </w:tr>
    </w:tbl>
    <w:p w14:paraId="55E506F9" w14:textId="768DBE8D" w:rsidR="00716146" w:rsidRPr="00F434B0" w:rsidRDefault="00716146" w:rsidP="003A5925">
      <w:pPr>
        <w:spacing w:before="0" w:line="240" w:lineRule="auto"/>
        <w:jc w:val="left"/>
        <w:rPr>
          <w:rFonts w:cs="Arial"/>
          <w:sz w:val="20"/>
          <w:szCs w:val="20"/>
        </w:rPr>
      </w:pPr>
    </w:p>
    <w:p w14:paraId="6F76C5A6" w14:textId="77777777" w:rsidR="00716146" w:rsidRPr="00F434B0" w:rsidRDefault="00716146" w:rsidP="003A5925">
      <w:pPr>
        <w:spacing w:before="0" w:line="240" w:lineRule="auto"/>
        <w:jc w:val="left"/>
        <w:rPr>
          <w:rFonts w:cs="Arial"/>
          <w:sz w:val="20"/>
          <w:szCs w:val="20"/>
        </w:rPr>
      </w:pPr>
    </w:p>
    <w:sectPr w:rsidR="00716146" w:rsidRPr="00F434B0" w:rsidSect="00716146">
      <w:headerReference w:type="default" r:id="rId14"/>
      <w:footerReference w:type="default" r:id="rId15"/>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elie Veenema" w:date="2023-10-02T12:07:00Z" w:initials="AV">
    <w:p w14:paraId="1A343777" w14:textId="77777777" w:rsidR="00AA3741" w:rsidRDefault="00AA3741" w:rsidP="00465F5A">
      <w:pPr>
        <w:pStyle w:val="Kommentartext"/>
        <w:jc w:val="left"/>
      </w:pPr>
      <w:r>
        <w:rPr>
          <w:rStyle w:val="Kommentarzeichen"/>
        </w:rPr>
        <w:annotationRef/>
      </w:r>
      <w:r>
        <w:t xml:space="preserve">Unter dem Link können die einzelnen Kapitel über den RUB Zugang heruntergeladen werden. </w:t>
      </w:r>
    </w:p>
  </w:comment>
  <w:comment w:id="1" w:author="Amelie Veenema" w:date="2023-10-12T14:03:00Z" w:initials="AV">
    <w:p w14:paraId="604084C1" w14:textId="77777777" w:rsidR="00AA3741" w:rsidRDefault="00AA3741" w:rsidP="00E4647C">
      <w:pPr>
        <w:pStyle w:val="Kommentartext"/>
        <w:jc w:val="left"/>
      </w:pPr>
      <w:r>
        <w:rPr>
          <w:rStyle w:val="Kommentarzeichen"/>
        </w:rPr>
        <w:annotationRef/>
      </w:r>
      <w:r>
        <w:t>Titelei online nicht verfügbar</w:t>
      </w:r>
    </w:p>
  </w:comment>
  <w:comment w:id="2" w:author="Amelie Veenema" w:date="2023-10-02T11:51:00Z" w:initials="AV">
    <w:p w14:paraId="2631C69E" w14:textId="77777777" w:rsidR="00AA3741" w:rsidRDefault="00AA3741" w:rsidP="00473FAB">
      <w:pPr>
        <w:pStyle w:val="Kommentartext"/>
        <w:jc w:val="left"/>
      </w:pPr>
      <w:r>
        <w:rPr>
          <w:rStyle w:val="Kommentarzeichen"/>
        </w:rPr>
        <w:annotationRef/>
      </w:r>
      <w:r>
        <w:t>Keinen Zugriff - können Sie mir den Text/Abstract zur Verfügung stellen?</w:t>
      </w:r>
    </w:p>
  </w:comment>
  <w:comment w:id="3" w:author="Amelie Veenema" w:date="2023-10-09T14:13:00Z" w:initials="AV">
    <w:p w14:paraId="5E9D6174" w14:textId="77777777" w:rsidR="00AA3741" w:rsidRDefault="00AA3741" w:rsidP="0019484D">
      <w:pPr>
        <w:pStyle w:val="Kommentartext"/>
        <w:jc w:val="left"/>
      </w:pPr>
      <w:r>
        <w:rPr>
          <w:rStyle w:val="Kommentarzeichen"/>
        </w:rPr>
        <w:annotationRef/>
      </w:r>
      <w:r>
        <w:t>Leider online kein Zugriff</w:t>
      </w:r>
    </w:p>
  </w:comment>
  <w:comment w:id="4" w:author="Amelie Veenema" w:date="2023-10-12T14:23:00Z" w:initials="AV">
    <w:p w14:paraId="56B098F9" w14:textId="77777777" w:rsidR="00AA3741" w:rsidRDefault="00AA3741" w:rsidP="00774C4F">
      <w:pPr>
        <w:pStyle w:val="Kommentartext"/>
        <w:jc w:val="left"/>
      </w:pPr>
      <w:r>
        <w:rPr>
          <w:rStyle w:val="Kommentarzeichen"/>
        </w:rPr>
        <w:annotationRef/>
      </w:r>
      <w:r>
        <w:t>Titelei online nicht verfügbar</w:t>
      </w:r>
    </w:p>
  </w:comment>
  <w:comment w:id="5" w:author="Amelie Veenema" w:date="2023-10-12T14:28:00Z" w:initials="AV">
    <w:p w14:paraId="4FE96FA2" w14:textId="77777777" w:rsidR="00AA3741" w:rsidRDefault="00AA3741" w:rsidP="006E14CB">
      <w:pPr>
        <w:pStyle w:val="Kommentartext"/>
        <w:jc w:val="left"/>
      </w:pPr>
      <w:r>
        <w:rPr>
          <w:rStyle w:val="Kommentarzeichen"/>
        </w:rPr>
        <w:annotationRef/>
      </w:r>
      <w:r>
        <w:t>Titelei online nicht verfügbar</w:t>
      </w:r>
    </w:p>
  </w:comment>
  <w:comment w:id="6" w:author="Amelie Veenema" w:date="2023-10-12T14:29:00Z" w:initials="AV">
    <w:p w14:paraId="496C7843" w14:textId="77777777" w:rsidR="00AA3741" w:rsidRDefault="00AA3741" w:rsidP="001C78C8">
      <w:pPr>
        <w:pStyle w:val="Kommentartext"/>
        <w:jc w:val="left"/>
      </w:pPr>
      <w:r>
        <w:rPr>
          <w:rStyle w:val="Kommentarzeichen"/>
        </w:rPr>
        <w:annotationRef/>
      </w:r>
      <w:r>
        <w:t>Titelei online nicht verfügbar</w:t>
      </w:r>
    </w:p>
  </w:comment>
  <w:comment w:id="7" w:author="Amelie Veenema" w:date="2023-10-12T14:38:00Z" w:initials="AV">
    <w:p w14:paraId="614E7715" w14:textId="77777777" w:rsidR="00AA3741" w:rsidRDefault="00AA3741" w:rsidP="000060F1">
      <w:pPr>
        <w:pStyle w:val="Kommentartext"/>
        <w:jc w:val="left"/>
      </w:pPr>
      <w:r>
        <w:rPr>
          <w:rStyle w:val="Kommentarzeichen"/>
        </w:rPr>
        <w:annotationRef/>
      </w:r>
      <w:r>
        <w:t>Titelei online nicht verfügbar</w:t>
      </w:r>
    </w:p>
  </w:comment>
  <w:comment w:id="8" w:author="Amelie Veenema" w:date="2023-10-02T13:01:00Z" w:initials="AV">
    <w:p w14:paraId="1A3B4B2E" w14:textId="77777777" w:rsidR="00AA3741" w:rsidRDefault="00AA3741" w:rsidP="00C946B8">
      <w:pPr>
        <w:pStyle w:val="Kommentartext"/>
        <w:jc w:val="left"/>
      </w:pPr>
      <w:r>
        <w:rPr>
          <w:rStyle w:val="Kommentarzeichen"/>
        </w:rPr>
        <w:annotationRef/>
      </w:r>
      <w:r>
        <w:t>Tendenziell eher sozialpsychologische Perspektive, aber wird häufig zitiert</w:t>
      </w:r>
    </w:p>
  </w:comment>
  <w:comment w:id="9" w:author="Amelie Veenema" w:date="2023-10-04T09:33:00Z" w:initials="AV">
    <w:p w14:paraId="6FBFE26C" w14:textId="77777777" w:rsidR="00AA3741" w:rsidRDefault="00AA3741" w:rsidP="00AD1C74">
      <w:pPr>
        <w:pStyle w:val="Kommentartext"/>
        <w:jc w:val="left"/>
      </w:pPr>
      <w:r>
        <w:rPr>
          <w:rStyle w:val="Kommentarzeichen"/>
        </w:rPr>
        <w:annotationRef/>
      </w:r>
      <w:r>
        <w:t xml:space="preserve">Habe leider keinen Zugriff über meine Zugänge von RUB/Goethe Uni: </w:t>
      </w:r>
      <w:hyperlink r:id="rId1" w:history="1">
        <w:r w:rsidRPr="00AD1C74">
          <w:rPr>
            <w:rStyle w:val="Hyperlink"/>
          </w:rPr>
          <w:t>https://psycnet.apa.org/record/2003-07169-003?errorCode=invalidAccess</w:t>
        </w:r>
      </w:hyperlink>
    </w:p>
  </w:comment>
  <w:comment w:id="10" w:author="Amelie Veenema" w:date="2023-10-04T11:47:00Z" w:initials="AV">
    <w:p w14:paraId="2F5E4AB6" w14:textId="77777777" w:rsidR="00AA3741" w:rsidRDefault="00AA3741" w:rsidP="003859D4">
      <w:pPr>
        <w:pStyle w:val="Kommentartext"/>
        <w:jc w:val="left"/>
      </w:pPr>
      <w:r>
        <w:rPr>
          <w:rStyle w:val="Kommentarzeichen"/>
        </w:rPr>
        <w:annotationRef/>
      </w:r>
      <w:r>
        <w:t>Leider nicht online verfügbar</w:t>
      </w:r>
    </w:p>
  </w:comment>
  <w:comment w:id="11" w:author="Amelie Veenema" w:date="2023-10-12T15:07:00Z" w:initials="AV">
    <w:p w14:paraId="4F64FD29" w14:textId="77777777" w:rsidR="00AA3741" w:rsidRDefault="00AA3741" w:rsidP="00EE4AF9">
      <w:pPr>
        <w:pStyle w:val="Kommentartext"/>
        <w:jc w:val="left"/>
      </w:pPr>
      <w:r>
        <w:rPr>
          <w:rStyle w:val="Kommentarzeichen"/>
        </w:rPr>
        <w:annotationRef/>
      </w:r>
      <w:r>
        <w:t xml:space="preserve">Unter diesem Link online zu lesen (ohne Möglichkeit zum Download): </w:t>
      </w:r>
      <w:hyperlink r:id="rId2" w:history="1">
        <w:r w:rsidRPr="00EE4AF9">
          <w:rPr>
            <w:rStyle w:val="Hyperlink"/>
          </w:rPr>
          <w:t>https://archive.org/details/denkachsenzurthe0000unse/page/n5/mode/2up</w:t>
        </w:r>
      </w:hyperlink>
    </w:p>
  </w:comment>
  <w:comment w:id="12" w:author="Amelie Veenema" w:date="2023-10-04T10:00:00Z" w:initials="AV">
    <w:p w14:paraId="7050EDF3" w14:textId="77777777" w:rsidR="00AA3741" w:rsidRDefault="00AA3741" w:rsidP="007259ED">
      <w:pPr>
        <w:pStyle w:val="Kommentartext"/>
        <w:jc w:val="left"/>
      </w:pPr>
      <w:r>
        <w:rPr>
          <w:rStyle w:val="Kommentarzeichen"/>
        </w:rPr>
        <w:annotationRef/>
      </w:r>
      <w:r>
        <w:t xml:space="preserve">Leider auch kein Zugriff über RUB/Goethe Uni: </w:t>
      </w:r>
      <w:hyperlink r:id="rId3" w:history="1">
        <w:r w:rsidRPr="007259ED">
          <w:rPr>
            <w:rStyle w:val="Hyperlink"/>
          </w:rPr>
          <w:t>https://psycnet.apa.org/record/2003-07169-011</w:t>
        </w:r>
      </w:hyperlink>
    </w:p>
  </w:comment>
  <w:comment w:id="13" w:author="Amelie Veenema" w:date="2023-10-02T11:41:00Z" w:initials="AV">
    <w:p w14:paraId="6BC57E3B" w14:textId="77777777" w:rsidR="00AA3741" w:rsidRDefault="00AA3741" w:rsidP="008C76F0">
      <w:pPr>
        <w:pStyle w:val="Kommentartext"/>
        <w:jc w:val="left"/>
      </w:pPr>
      <w:r>
        <w:rPr>
          <w:rStyle w:val="Kommentarzeichen"/>
        </w:rPr>
        <w:annotationRef/>
      </w:r>
      <w:r>
        <w:t>Psychoanalytische Perspektive!</w:t>
      </w:r>
    </w:p>
  </w:comment>
  <w:comment w:id="14" w:author="Amelie Veenema" w:date="2023-10-04T11:46:00Z" w:initials="AV">
    <w:p w14:paraId="1288A07C" w14:textId="77777777" w:rsidR="00AA3741" w:rsidRDefault="00AA3741" w:rsidP="00A72F10">
      <w:pPr>
        <w:pStyle w:val="Kommentartext"/>
        <w:jc w:val="left"/>
      </w:pPr>
      <w:r>
        <w:rPr>
          <w:rStyle w:val="Kommentarzeichen"/>
        </w:rPr>
        <w:annotationRef/>
      </w:r>
      <w:r>
        <w:t>Leider nicht online verfügbar</w:t>
      </w:r>
    </w:p>
  </w:comment>
  <w:comment w:id="15" w:author="Amelie Veenema" w:date="2023-10-04T11:57:00Z" w:initials="AV">
    <w:p w14:paraId="1E81830D" w14:textId="77777777" w:rsidR="00AA3741" w:rsidRDefault="00AA3741" w:rsidP="00EE42CB">
      <w:pPr>
        <w:pStyle w:val="Kommentartext"/>
        <w:jc w:val="left"/>
      </w:pPr>
      <w:r>
        <w:rPr>
          <w:rStyle w:val="Kommentarzeichen"/>
        </w:rPr>
        <w:annotationRef/>
      </w:r>
      <w:r>
        <w:t>Leider online nicht verfügbar</w:t>
      </w:r>
    </w:p>
  </w:comment>
  <w:comment w:id="16" w:author="Amelie Veenema" w:date="2023-10-12T15:45:00Z" w:initials="AV">
    <w:p w14:paraId="698D4091" w14:textId="77777777" w:rsidR="00AA3741" w:rsidRDefault="00AA3741" w:rsidP="00D95245">
      <w:pPr>
        <w:pStyle w:val="Kommentartext"/>
        <w:jc w:val="left"/>
      </w:pPr>
      <w:r>
        <w:rPr>
          <w:rStyle w:val="Kommentarzeichen"/>
        </w:rPr>
        <w:annotationRef/>
      </w:r>
      <w:r>
        <w:t>Titelei online nicht verfügbar</w:t>
      </w:r>
    </w:p>
  </w:comment>
  <w:comment w:id="17" w:author="Amelie Veenema" w:date="2023-10-12T15:54:00Z" w:initials="AV">
    <w:p w14:paraId="6AF2F961" w14:textId="77777777" w:rsidR="00AA3741" w:rsidRDefault="00AA3741" w:rsidP="003E4D32">
      <w:pPr>
        <w:pStyle w:val="Kommentartext"/>
        <w:jc w:val="left"/>
      </w:pPr>
      <w:r>
        <w:rPr>
          <w:rStyle w:val="Kommentarzeichen"/>
        </w:rPr>
        <w:annotationRef/>
      </w:r>
      <w:r>
        <w:t>Online nicht zum download verfügbar</w:t>
      </w:r>
    </w:p>
  </w:comment>
  <w:comment w:id="18" w:author="Amelie Veenema" w:date="2023-10-04T11:51:00Z" w:initials="AV">
    <w:p w14:paraId="0655DE00" w14:textId="77777777" w:rsidR="00AA3741" w:rsidRDefault="00AA3741" w:rsidP="0059056A">
      <w:pPr>
        <w:pStyle w:val="Kommentartext"/>
        <w:jc w:val="left"/>
      </w:pPr>
      <w:r>
        <w:rPr>
          <w:rStyle w:val="Kommentarzeichen"/>
        </w:rPr>
        <w:annotationRef/>
      </w:r>
      <w:r>
        <w:t>Leider online nicht verfügbar</w:t>
      </w:r>
    </w:p>
  </w:comment>
  <w:comment w:id="19" w:author="Amelie Veenema" w:date="2023-10-12T15:19:00Z" w:initials="AV">
    <w:p w14:paraId="27325EDF" w14:textId="77777777" w:rsidR="00AA3741" w:rsidRDefault="00AA3741" w:rsidP="00652697">
      <w:pPr>
        <w:pStyle w:val="Kommentartext"/>
        <w:jc w:val="left"/>
      </w:pPr>
      <w:r>
        <w:rPr>
          <w:rStyle w:val="Kommentarzeichen"/>
        </w:rPr>
        <w:annotationRef/>
      </w:r>
      <w:r>
        <w:t>Online nicht zum download verfügbar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343777" w15:done="0"/>
  <w15:commentEx w15:paraId="604084C1" w15:done="0"/>
  <w15:commentEx w15:paraId="2631C69E" w15:done="0"/>
  <w15:commentEx w15:paraId="5E9D6174" w15:done="0"/>
  <w15:commentEx w15:paraId="56B098F9" w15:done="0"/>
  <w15:commentEx w15:paraId="4FE96FA2" w15:done="0"/>
  <w15:commentEx w15:paraId="496C7843" w15:done="0"/>
  <w15:commentEx w15:paraId="614E7715" w15:done="0"/>
  <w15:commentEx w15:paraId="1A3B4B2E" w15:done="0"/>
  <w15:commentEx w15:paraId="6FBFE26C" w15:done="0"/>
  <w15:commentEx w15:paraId="2F5E4AB6" w15:done="0"/>
  <w15:commentEx w15:paraId="4F64FD29" w15:paraIdParent="2F5E4AB6" w15:done="0"/>
  <w15:commentEx w15:paraId="7050EDF3" w15:done="0"/>
  <w15:commentEx w15:paraId="6BC57E3B" w15:done="0"/>
  <w15:commentEx w15:paraId="1288A07C" w15:done="0"/>
  <w15:commentEx w15:paraId="1E81830D" w15:done="0"/>
  <w15:commentEx w15:paraId="698D4091" w15:done="0"/>
  <w15:commentEx w15:paraId="6AF2F961" w15:done="0"/>
  <w15:commentEx w15:paraId="0655DE00" w15:done="0"/>
  <w15:commentEx w15:paraId="27325E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98A9F1" w16cex:dateUtc="2023-10-02T10:07:00Z"/>
  <w16cex:commentExtensible w16cex:durableId="092D0480" w16cex:dateUtc="2023-10-12T12:03:00Z"/>
  <w16cex:commentExtensible w16cex:durableId="1F460BFF" w16cex:dateUtc="2023-10-02T09:51:00Z"/>
  <w16cex:commentExtensible w16cex:durableId="66695569" w16cex:dateUtc="2023-10-09T12:13:00Z"/>
  <w16cex:commentExtensible w16cex:durableId="06837F27" w16cex:dateUtc="2023-10-12T12:23:00Z"/>
  <w16cex:commentExtensible w16cex:durableId="04FC3DA9" w16cex:dateUtc="2023-10-12T12:28:00Z"/>
  <w16cex:commentExtensible w16cex:durableId="268F68CB" w16cex:dateUtc="2023-10-12T12:29:00Z"/>
  <w16cex:commentExtensible w16cex:durableId="4BE286E1" w16cex:dateUtc="2023-10-12T12:38:00Z"/>
  <w16cex:commentExtensible w16cex:durableId="16137B5D" w16cex:dateUtc="2023-10-02T11:01:00Z"/>
  <w16cex:commentExtensible w16cex:durableId="2B27E715" w16cex:dateUtc="2023-10-04T07:33:00Z"/>
  <w16cex:commentExtensible w16cex:durableId="4F0B66DB" w16cex:dateUtc="2023-10-04T09:47:00Z"/>
  <w16cex:commentExtensible w16cex:durableId="46F9A755" w16cex:dateUtc="2023-10-12T13:07:00Z"/>
  <w16cex:commentExtensible w16cex:durableId="3ACBA99E" w16cex:dateUtc="2023-10-04T08:00:00Z"/>
  <w16cex:commentExtensible w16cex:durableId="494DDF18" w16cex:dateUtc="2023-10-02T09:41:00Z"/>
  <w16cex:commentExtensible w16cex:durableId="1CE65D15" w16cex:dateUtc="2023-10-04T09:46:00Z"/>
  <w16cex:commentExtensible w16cex:durableId="66AC9DCD" w16cex:dateUtc="2023-10-04T09:57:00Z"/>
  <w16cex:commentExtensible w16cex:durableId="51B6DF83" w16cex:dateUtc="2023-10-12T13:45:00Z"/>
  <w16cex:commentExtensible w16cex:durableId="763F7B46" w16cex:dateUtc="2023-10-12T13:54:00Z"/>
  <w16cex:commentExtensible w16cex:durableId="2847D8D3" w16cex:dateUtc="2023-10-04T09:51:00Z"/>
  <w16cex:commentExtensible w16cex:durableId="54D785F4" w16cex:dateUtc="2023-10-12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343777" w16cid:durableId="6498A9F1"/>
  <w16cid:commentId w16cid:paraId="604084C1" w16cid:durableId="092D0480"/>
  <w16cid:commentId w16cid:paraId="2631C69E" w16cid:durableId="1F460BFF"/>
  <w16cid:commentId w16cid:paraId="5E9D6174" w16cid:durableId="66695569"/>
  <w16cid:commentId w16cid:paraId="56B098F9" w16cid:durableId="06837F27"/>
  <w16cid:commentId w16cid:paraId="4FE96FA2" w16cid:durableId="04FC3DA9"/>
  <w16cid:commentId w16cid:paraId="496C7843" w16cid:durableId="268F68CB"/>
  <w16cid:commentId w16cid:paraId="614E7715" w16cid:durableId="4BE286E1"/>
  <w16cid:commentId w16cid:paraId="1A3B4B2E" w16cid:durableId="16137B5D"/>
  <w16cid:commentId w16cid:paraId="6FBFE26C" w16cid:durableId="2B27E715"/>
  <w16cid:commentId w16cid:paraId="2F5E4AB6" w16cid:durableId="4F0B66DB"/>
  <w16cid:commentId w16cid:paraId="4F64FD29" w16cid:durableId="46F9A755"/>
  <w16cid:commentId w16cid:paraId="7050EDF3" w16cid:durableId="3ACBA99E"/>
  <w16cid:commentId w16cid:paraId="6BC57E3B" w16cid:durableId="494DDF18"/>
  <w16cid:commentId w16cid:paraId="1288A07C" w16cid:durableId="1CE65D15"/>
  <w16cid:commentId w16cid:paraId="1E81830D" w16cid:durableId="66AC9DCD"/>
  <w16cid:commentId w16cid:paraId="698D4091" w16cid:durableId="51B6DF83"/>
  <w16cid:commentId w16cid:paraId="6AF2F961" w16cid:durableId="763F7B46"/>
  <w16cid:commentId w16cid:paraId="0655DE00" w16cid:durableId="2847D8D3"/>
  <w16cid:commentId w16cid:paraId="27325EDF" w16cid:durableId="54D785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2FB6" w14:textId="77777777" w:rsidR="005A478D" w:rsidRDefault="005A478D" w:rsidP="00716146">
      <w:pPr>
        <w:spacing w:before="0" w:after="0" w:line="240" w:lineRule="auto"/>
      </w:pPr>
      <w:r>
        <w:separator/>
      </w:r>
    </w:p>
  </w:endnote>
  <w:endnote w:type="continuationSeparator" w:id="0">
    <w:p w14:paraId="15906D3F" w14:textId="77777777" w:rsidR="005A478D" w:rsidRDefault="005A478D" w:rsidP="007161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513781"/>
      <w:docPartObj>
        <w:docPartGallery w:val="Page Numbers (Bottom of Page)"/>
        <w:docPartUnique/>
      </w:docPartObj>
    </w:sdtPr>
    <w:sdtContent>
      <w:p w14:paraId="460002AE" w14:textId="59F1C61B" w:rsidR="00716146" w:rsidRDefault="00716146">
        <w:pPr>
          <w:pStyle w:val="Fuzeile"/>
          <w:jc w:val="right"/>
        </w:pPr>
        <w:r>
          <w:fldChar w:fldCharType="begin"/>
        </w:r>
        <w:r>
          <w:instrText>PAGE   \* MERGEFORMAT</w:instrText>
        </w:r>
        <w:r>
          <w:fldChar w:fldCharType="separate"/>
        </w:r>
        <w:r>
          <w:t>2</w:t>
        </w:r>
        <w:r>
          <w:fldChar w:fldCharType="end"/>
        </w:r>
      </w:p>
    </w:sdtContent>
  </w:sdt>
  <w:p w14:paraId="7A2E3396" w14:textId="77777777" w:rsidR="00716146" w:rsidRDefault="007161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FD12" w14:textId="77777777" w:rsidR="005A478D" w:rsidRDefault="005A478D" w:rsidP="00716146">
      <w:pPr>
        <w:spacing w:before="0" w:after="0" w:line="240" w:lineRule="auto"/>
      </w:pPr>
      <w:r>
        <w:separator/>
      </w:r>
    </w:p>
  </w:footnote>
  <w:footnote w:type="continuationSeparator" w:id="0">
    <w:p w14:paraId="30261B23" w14:textId="77777777" w:rsidR="005A478D" w:rsidRDefault="005A478D" w:rsidP="007161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247" w14:textId="49ADAEBB" w:rsidR="00716146" w:rsidRPr="004F1DDA" w:rsidRDefault="00716146">
    <w:pPr>
      <w:pStyle w:val="Kopfzeile"/>
      <w:rPr>
        <w:b/>
        <w:bCs/>
        <w:sz w:val="24"/>
        <w:szCs w:val="24"/>
      </w:rPr>
    </w:pPr>
    <w:r w:rsidRPr="004F1DDA">
      <w:rPr>
        <w:b/>
        <w:bCs/>
        <w:sz w:val="24"/>
        <w:szCs w:val="24"/>
      </w:rPr>
      <w:t>Literaturrecherche Generativität</w:t>
    </w:r>
    <w:r w:rsidRPr="004F1DDA">
      <w:rPr>
        <w:b/>
        <w:bCs/>
        <w:sz w:val="24"/>
        <w:szCs w:val="24"/>
      </w:rPr>
      <w:ptab w:relativeTo="margin" w:alignment="center" w:leader="none"/>
    </w:r>
    <w:r w:rsidRPr="004F1DDA">
      <w:rPr>
        <w:sz w:val="24"/>
        <w:szCs w:val="24"/>
      </w:rPr>
      <w:t>Amelie</w:t>
    </w:r>
    <w:r w:rsidRPr="004F1DDA">
      <w:rPr>
        <w:b/>
        <w:bCs/>
        <w:sz w:val="24"/>
        <w:szCs w:val="24"/>
      </w:rPr>
      <w:t xml:space="preserve"> </w:t>
    </w:r>
    <w:r w:rsidRPr="004F1DDA">
      <w:rPr>
        <w:sz w:val="24"/>
        <w:szCs w:val="24"/>
      </w:rPr>
      <w:t>Veenema</w:t>
    </w:r>
    <w:r w:rsidRPr="004F1DDA">
      <w:rPr>
        <w:b/>
        <w:bCs/>
        <w:sz w:val="24"/>
        <w:szCs w:val="24"/>
      </w:rPr>
      <w:ptab w:relativeTo="margin" w:alignment="right" w:leader="none"/>
    </w:r>
    <w:r w:rsidRPr="004F1DDA">
      <w:rPr>
        <w:b/>
        <w:bCs/>
        <w:sz w:val="24"/>
        <w:szCs w:val="24"/>
      </w:rPr>
      <w:t xml:space="preserve">Stand: </w:t>
    </w:r>
    <w:r w:rsidR="00AA3741">
      <w:rPr>
        <w:b/>
        <w:bCs/>
        <w:sz w:val="24"/>
        <w:szCs w:val="24"/>
      </w:rPr>
      <w:t>12</w:t>
    </w:r>
    <w:r w:rsidRPr="004F1DDA">
      <w:rPr>
        <w:b/>
        <w:bCs/>
        <w:sz w:val="24"/>
        <w:szCs w:val="24"/>
      </w:rPr>
      <w:t>.10.2023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8B7"/>
    <w:multiLevelType w:val="multilevel"/>
    <w:tmpl w:val="20A4976E"/>
    <w:styleLink w:val="Formatvorlage1"/>
    <w:lvl w:ilvl="0">
      <w:start w:val="1"/>
      <w:numFmt w:val="decimal"/>
      <w:pStyle w:val="berschrift1"/>
      <w:lvlText w:val="%1"/>
      <w:lvlJc w:val="left"/>
      <w:pPr>
        <w:ind w:left="360" w:hanging="360"/>
      </w:pPr>
      <w:rPr>
        <w:rFonts w:ascii="Arial" w:hAnsi="Arial" w:hint="default"/>
        <w:b/>
        <w:sz w:val="22"/>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F047739"/>
    <w:multiLevelType w:val="multilevel"/>
    <w:tmpl w:val="20A4976E"/>
    <w:numStyleLink w:val="Formatvorlage1"/>
  </w:abstractNum>
  <w:abstractNum w:abstractNumId="2" w15:restartNumberingAfterBreak="0">
    <w:nsid w:val="653903F8"/>
    <w:multiLevelType w:val="multilevel"/>
    <w:tmpl w:val="1C44CC34"/>
    <w:styleLink w:val="FormatvorlageNummerierungBA"/>
    <w:lvl w:ilvl="0">
      <w:start w:val="1"/>
      <w:numFmt w:val="decimal"/>
      <w:lvlText w:val="%1"/>
      <w:lvlJc w:val="left"/>
      <w:pPr>
        <w:ind w:left="2160" w:hanging="360"/>
      </w:pPr>
      <w:rPr>
        <w:rFonts w:ascii="Arial" w:hAnsi="Arial" w:hint="default"/>
        <w:b/>
        <w:sz w:val="22"/>
      </w:rPr>
    </w:lvl>
    <w:lvl w:ilvl="1">
      <w:start w:val="1"/>
      <w:numFmt w:val="decimal"/>
      <w:lvlText w:val="%1.%2"/>
      <w:lvlJc w:val="left"/>
      <w:pPr>
        <w:ind w:left="2592" w:hanging="432"/>
      </w:pPr>
      <w:rPr>
        <w:rFonts w:ascii="Arial" w:hAnsi="Arial" w:hint="default"/>
        <w:sz w:val="22"/>
      </w:rPr>
    </w:lvl>
    <w:lvl w:ilvl="2">
      <w:start w:val="1"/>
      <w:numFmt w:val="decimal"/>
      <w:lvlText w:val="%1.%2.%3"/>
      <w:lvlJc w:val="left"/>
      <w:pPr>
        <w:ind w:left="3024" w:hanging="504"/>
      </w:pPr>
      <w:rPr>
        <w:rFonts w:ascii="Arial" w:hAnsi="Arial" w:hint="default"/>
        <w:sz w:val="22"/>
      </w:rPr>
    </w:lvl>
    <w:lvl w:ilvl="3">
      <w:start w:val="1"/>
      <w:numFmt w:val="decimal"/>
      <w:lvlText w:val="%1.%2.%3.%4"/>
      <w:lvlJc w:val="left"/>
      <w:pPr>
        <w:ind w:left="3528" w:hanging="648"/>
      </w:pPr>
      <w:rPr>
        <w:rFonts w:ascii="Arial" w:hAnsi="Arial" w:hint="default"/>
        <w:sz w:val="22"/>
      </w:rPr>
    </w:lvl>
    <w:lvl w:ilvl="4">
      <w:start w:val="1"/>
      <w:numFmt w:val="decimal"/>
      <w:lvlText w:val="%1.%2.%3.%4.%5"/>
      <w:lvlJc w:val="left"/>
      <w:pPr>
        <w:ind w:left="4032" w:hanging="792"/>
      </w:pPr>
      <w:rPr>
        <w:rFonts w:ascii="Arial" w:hAnsi="Arial" w:hint="default"/>
        <w:sz w:val="22"/>
      </w:rPr>
    </w:lvl>
    <w:lvl w:ilvl="5">
      <w:start w:val="1"/>
      <w:numFmt w:val="decimal"/>
      <w:lvlText w:val="%1.%2.%3.%4.%5.%6"/>
      <w:lvlJc w:val="left"/>
      <w:pPr>
        <w:ind w:left="4536" w:hanging="936"/>
      </w:pPr>
      <w:rPr>
        <w:rFonts w:ascii="Arial" w:hAnsi="Arial" w:hint="default"/>
        <w:sz w:val="22"/>
      </w:rPr>
    </w:lvl>
    <w:lvl w:ilvl="6">
      <w:start w:val="1"/>
      <w:numFmt w:val="decimal"/>
      <w:lvlText w:val="%1.%2.%3.%4.%5.%6.%7."/>
      <w:lvlJc w:val="left"/>
      <w:pPr>
        <w:ind w:left="5040" w:hanging="1080"/>
      </w:pPr>
      <w:rPr>
        <w:rFonts w:ascii="Arial" w:hAnsi="Arial" w:hint="default"/>
        <w:b w:val="0"/>
        <w:i w:val="0"/>
        <w:sz w:val="22"/>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num w:numId="1" w16cid:durableId="1998991489">
    <w:abstractNumId w:val="0"/>
  </w:num>
  <w:num w:numId="2" w16cid:durableId="546451679">
    <w:abstractNumId w:val="2"/>
  </w:num>
  <w:num w:numId="3" w16cid:durableId="2099476799">
    <w:abstractNumId w:val="1"/>
  </w:num>
  <w:num w:numId="4" w16cid:durableId="3452077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ie Veenema">
    <w15:presenceInfo w15:providerId="None" w15:userId="Amelie Veen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46"/>
    <w:rsid w:val="00000D7E"/>
    <w:rsid w:val="00001289"/>
    <w:rsid w:val="000253E3"/>
    <w:rsid w:val="00050E6C"/>
    <w:rsid w:val="00060821"/>
    <w:rsid w:val="00085074"/>
    <w:rsid w:val="0009407B"/>
    <w:rsid w:val="000A61B3"/>
    <w:rsid w:val="000A667F"/>
    <w:rsid w:val="000B3D57"/>
    <w:rsid w:val="000D0AAA"/>
    <w:rsid w:val="000D137E"/>
    <w:rsid w:val="000E0F16"/>
    <w:rsid w:val="000E2F9D"/>
    <w:rsid w:val="000F07D1"/>
    <w:rsid w:val="000F54C2"/>
    <w:rsid w:val="000F5534"/>
    <w:rsid w:val="0010234B"/>
    <w:rsid w:val="0011115C"/>
    <w:rsid w:val="001205D1"/>
    <w:rsid w:val="0013002F"/>
    <w:rsid w:val="001309E2"/>
    <w:rsid w:val="00130E36"/>
    <w:rsid w:val="00132469"/>
    <w:rsid w:val="00151455"/>
    <w:rsid w:val="0017095B"/>
    <w:rsid w:val="0017301C"/>
    <w:rsid w:val="00180B4E"/>
    <w:rsid w:val="0018268E"/>
    <w:rsid w:val="00186C7D"/>
    <w:rsid w:val="00187788"/>
    <w:rsid w:val="001B1467"/>
    <w:rsid w:val="001B1BC4"/>
    <w:rsid w:val="001B794A"/>
    <w:rsid w:val="001C2486"/>
    <w:rsid w:val="001C2FC9"/>
    <w:rsid w:val="001C5585"/>
    <w:rsid w:val="001D5603"/>
    <w:rsid w:val="001D7A28"/>
    <w:rsid w:val="001E1DB8"/>
    <w:rsid w:val="001F2799"/>
    <w:rsid w:val="001F51F8"/>
    <w:rsid w:val="001F6433"/>
    <w:rsid w:val="0020196C"/>
    <w:rsid w:val="002235F7"/>
    <w:rsid w:val="00237EE0"/>
    <w:rsid w:val="00242B02"/>
    <w:rsid w:val="0025334C"/>
    <w:rsid w:val="002575F2"/>
    <w:rsid w:val="0026391E"/>
    <w:rsid w:val="0026520A"/>
    <w:rsid w:val="0027642C"/>
    <w:rsid w:val="00277BDF"/>
    <w:rsid w:val="00281DC1"/>
    <w:rsid w:val="002842A2"/>
    <w:rsid w:val="00287BF0"/>
    <w:rsid w:val="00295035"/>
    <w:rsid w:val="00296493"/>
    <w:rsid w:val="002A307E"/>
    <w:rsid w:val="002A6D87"/>
    <w:rsid w:val="002C44E3"/>
    <w:rsid w:val="002C74D6"/>
    <w:rsid w:val="002C7B52"/>
    <w:rsid w:val="002C7D75"/>
    <w:rsid w:val="002D0AB2"/>
    <w:rsid w:val="002D41E0"/>
    <w:rsid w:val="002E3510"/>
    <w:rsid w:val="002E3DCB"/>
    <w:rsid w:val="002F2A4B"/>
    <w:rsid w:val="002F6C0B"/>
    <w:rsid w:val="003137E1"/>
    <w:rsid w:val="00316719"/>
    <w:rsid w:val="00317E22"/>
    <w:rsid w:val="00320F30"/>
    <w:rsid w:val="003210C0"/>
    <w:rsid w:val="003214F3"/>
    <w:rsid w:val="00327F32"/>
    <w:rsid w:val="00332EB8"/>
    <w:rsid w:val="0034084F"/>
    <w:rsid w:val="0034769E"/>
    <w:rsid w:val="00350AFA"/>
    <w:rsid w:val="0035101C"/>
    <w:rsid w:val="003510AD"/>
    <w:rsid w:val="00367F06"/>
    <w:rsid w:val="00370FE2"/>
    <w:rsid w:val="003729AB"/>
    <w:rsid w:val="00377FA2"/>
    <w:rsid w:val="00380F31"/>
    <w:rsid w:val="00390E97"/>
    <w:rsid w:val="003A4663"/>
    <w:rsid w:val="003A5925"/>
    <w:rsid w:val="003B04C6"/>
    <w:rsid w:val="003C25C1"/>
    <w:rsid w:val="003F12B8"/>
    <w:rsid w:val="003F5C53"/>
    <w:rsid w:val="004029FA"/>
    <w:rsid w:val="00402EF6"/>
    <w:rsid w:val="00411C3D"/>
    <w:rsid w:val="00425633"/>
    <w:rsid w:val="0042712F"/>
    <w:rsid w:val="00433B11"/>
    <w:rsid w:val="00440287"/>
    <w:rsid w:val="00453A7A"/>
    <w:rsid w:val="00454CBF"/>
    <w:rsid w:val="0047671B"/>
    <w:rsid w:val="004916F8"/>
    <w:rsid w:val="004959F6"/>
    <w:rsid w:val="004A2930"/>
    <w:rsid w:val="004B62F8"/>
    <w:rsid w:val="004C4303"/>
    <w:rsid w:val="004E0FAF"/>
    <w:rsid w:val="004E253A"/>
    <w:rsid w:val="004F1DDA"/>
    <w:rsid w:val="004F1F48"/>
    <w:rsid w:val="004F5C41"/>
    <w:rsid w:val="004F7B38"/>
    <w:rsid w:val="004F7E6F"/>
    <w:rsid w:val="00503AE4"/>
    <w:rsid w:val="00517A36"/>
    <w:rsid w:val="005219BB"/>
    <w:rsid w:val="00524727"/>
    <w:rsid w:val="00532A3E"/>
    <w:rsid w:val="005349E8"/>
    <w:rsid w:val="005432C1"/>
    <w:rsid w:val="005552E0"/>
    <w:rsid w:val="00563DDC"/>
    <w:rsid w:val="00563E54"/>
    <w:rsid w:val="0056431F"/>
    <w:rsid w:val="005667D7"/>
    <w:rsid w:val="00576E48"/>
    <w:rsid w:val="005775CB"/>
    <w:rsid w:val="00582782"/>
    <w:rsid w:val="00584A2B"/>
    <w:rsid w:val="005875F4"/>
    <w:rsid w:val="0059422B"/>
    <w:rsid w:val="00596149"/>
    <w:rsid w:val="005A478D"/>
    <w:rsid w:val="005A6282"/>
    <w:rsid w:val="005C5200"/>
    <w:rsid w:val="0060321D"/>
    <w:rsid w:val="006133F8"/>
    <w:rsid w:val="00615C8F"/>
    <w:rsid w:val="00635CDD"/>
    <w:rsid w:val="00636E88"/>
    <w:rsid w:val="00641B93"/>
    <w:rsid w:val="006429F9"/>
    <w:rsid w:val="0064321D"/>
    <w:rsid w:val="0064332F"/>
    <w:rsid w:val="006908A6"/>
    <w:rsid w:val="0069201C"/>
    <w:rsid w:val="006A19BF"/>
    <w:rsid w:val="006A591B"/>
    <w:rsid w:val="006B0F17"/>
    <w:rsid w:val="006B2D2B"/>
    <w:rsid w:val="006B491D"/>
    <w:rsid w:val="006C1D03"/>
    <w:rsid w:val="006C4854"/>
    <w:rsid w:val="006C7A69"/>
    <w:rsid w:val="006D5A7E"/>
    <w:rsid w:val="006E19A7"/>
    <w:rsid w:val="006E2391"/>
    <w:rsid w:val="006E51A4"/>
    <w:rsid w:val="006E7E4E"/>
    <w:rsid w:val="00703406"/>
    <w:rsid w:val="007050FD"/>
    <w:rsid w:val="00705DC4"/>
    <w:rsid w:val="00711A87"/>
    <w:rsid w:val="00712504"/>
    <w:rsid w:val="00716146"/>
    <w:rsid w:val="0071619F"/>
    <w:rsid w:val="00716B9E"/>
    <w:rsid w:val="00721D54"/>
    <w:rsid w:val="00742A25"/>
    <w:rsid w:val="0075314A"/>
    <w:rsid w:val="00756EA6"/>
    <w:rsid w:val="007712B3"/>
    <w:rsid w:val="0077336F"/>
    <w:rsid w:val="00787B6E"/>
    <w:rsid w:val="00793161"/>
    <w:rsid w:val="00793EAC"/>
    <w:rsid w:val="007A3A6E"/>
    <w:rsid w:val="007B15F1"/>
    <w:rsid w:val="007D2A9F"/>
    <w:rsid w:val="007F1CF8"/>
    <w:rsid w:val="007F4617"/>
    <w:rsid w:val="007F710B"/>
    <w:rsid w:val="00802B9C"/>
    <w:rsid w:val="00803B9E"/>
    <w:rsid w:val="00821979"/>
    <w:rsid w:val="00836344"/>
    <w:rsid w:val="008422B8"/>
    <w:rsid w:val="00855C97"/>
    <w:rsid w:val="00866DC1"/>
    <w:rsid w:val="00867F19"/>
    <w:rsid w:val="0087089F"/>
    <w:rsid w:val="008736E7"/>
    <w:rsid w:val="00873FA4"/>
    <w:rsid w:val="00877548"/>
    <w:rsid w:val="0089733F"/>
    <w:rsid w:val="00897417"/>
    <w:rsid w:val="008B232A"/>
    <w:rsid w:val="008B7872"/>
    <w:rsid w:val="008C135B"/>
    <w:rsid w:val="008C267F"/>
    <w:rsid w:val="008C671F"/>
    <w:rsid w:val="008D2346"/>
    <w:rsid w:val="008E61B7"/>
    <w:rsid w:val="0090042C"/>
    <w:rsid w:val="00906AD8"/>
    <w:rsid w:val="009134D2"/>
    <w:rsid w:val="00917225"/>
    <w:rsid w:val="00917968"/>
    <w:rsid w:val="00921131"/>
    <w:rsid w:val="00924189"/>
    <w:rsid w:val="009340E2"/>
    <w:rsid w:val="009372D0"/>
    <w:rsid w:val="00943B85"/>
    <w:rsid w:val="00946B62"/>
    <w:rsid w:val="00952043"/>
    <w:rsid w:val="00964008"/>
    <w:rsid w:val="00967E6B"/>
    <w:rsid w:val="0097297F"/>
    <w:rsid w:val="0098609E"/>
    <w:rsid w:val="00987AF7"/>
    <w:rsid w:val="0099242E"/>
    <w:rsid w:val="009A2863"/>
    <w:rsid w:val="009A43BC"/>
    <w:rsid w:val="009B6F46"/>
    <w:rsid w:val="009C31F1"/>
    <w:rsid w:val="009D7A59"/>
    <w:rsid w:val="009E6A39"/>
    <w:rsid w:val="009F44F1"/>
    <w:rsid w:val="00A04DE2"/>
    <w:rsid w:val="00A100CD"/>
    <w:rsid w:val="00A117A2"/>
    <w:rsid w:val="00A13846"/>
    <w:rsid w:val="00A17919"/>
    <w:rsid w:val="00A221E1"/>
    <w:rsid w:val="00A24E0B"/>
    <w:rsid w:val="00A428E8"/>
    <w:rsid w:val="00A4693F"/>
    <w:rsid w:val="00A5090C"/>
    <w:rsid w:val="00A63964"/>
    <w:rsid w:val="00A70A31"/>
    <w:rsid w:val="00A74064"/>
    <w:rsid w:val="00A837B7"/>
    <w:rsid w:val="00A83C27"/>
    <w:rsid w:val="00A86374"/>
    <w:rsid w:val="00A86737"/>
    <w:rsid w:val="00A9243C"/>
    <w:rsid w:val="00A97279"/>
    <w:rsid w:val="00A972E8"/>
    <w:rsid w:val="00AA3741"/>
    <w:rsid w:val="00AB176E"/>
    <w:rsid w:val="00AD10CB"/>
    <w:rsid w:val="00AE1BCF"/>
    <w:rsid w:val="00AE2D95"/>
    <w:rsid w:val="00AF528F"/>
    <w:rsid w:val="00AF6497"/>
    <w:rsid w:val="00B15E99"/>
    <w:rsid w:val="00B37168"/>
    <w:rsid w:val="00B51D65"/>
    <w:rsid w:val="00B5449B"/>
    <w:rsid w:val="00B6002C"/>
    <w:rsid w:val="00B637B2"/>
    <w:rsid w:val="00B70D34"/>
    <w:rsid w:val="00B75CD9"/>
    <w:rsid w:val="00B761F3"/>
    <w:rsid w:val="00B97D0A"/>
    <w:rsid w:val="00BA27C1"/>
    <w:rsid w:val="00BA2E38"/>
    <w:rsid w:val="00BA7280"/>
    <w:rsid w:val="00BC58B5"/>
    <w:rsid w:val="00BC7C11"/>
    <w:rsid w:val="00C02ECD"/>
    <w:rsid w:val="00C071DB"/>
    <w:rsid w:val="00C11966"/>
    <w:rsid w:val="00C14311"/>
    <w:rsid w:val="00C16CB5"/>
    <w:rsid w:val="00C20600"/>
    <w:rsid w:val="00C25493"/>
    <w:rsid w:val="00C25797"/>
    <w:rsid w:val="00C41F11"/>
    <w:rsid w:val="00C47EE5"/>
    <w:rsid w:val="00C57CE1"/>
    <w:rsid w:val="00C631EB"/>
    <w:rsid w:val="00C642A1"/>
    <w:rsid w:val="00C656FE"/>
    <w:rsid w:val="00C879C9"/>
    <w:rsid w:val="00CA58EF"/>
    <w:rsid w:val="00CB5B7D"/>
    <w:rsid w:val="00CC648F"/>
    <w:rsid w:val="00CD0088"/>
    <w:rsid w:val="00CD2387"/>
    <w:rsid w:val="00CD6751"/>
    <w:rsid w:val="00CD6904"/>
    <w:rsid w:val="00CE0F67"/>
    <w:rsid w:val="00CF25B7"/>
    <w:rsid w:val="00D035A1"/>
    <w:rsid w:val="00D0580A"/>
    <w:rsid w:val="00D069D2"/>
    <w:rsid w:val="00D21B00"/>
    <w:rsid w:val="00D2283E"/>
    <w:rsid w:val="00D22EC4"/>
    <w:rsid w:val="00D27F92"/>
    <w:rsid w:val="00D32115"/>
    <w:rsid w:val="00D34318"/>
    <w:rsid w:val="00D3671C"/>
    <w:rsid w:val="00D406C3"/>
    <w:rsid w:val="00D47BBA"/>
    <w:rsid w:val="00D64699"/>
    <w:rsid w:val="00D64DB7"/>
    <w:rsid w:val="00D7068F"/>
    <w:rsid w:val="00D83565"/>
    <w:rsid w:val="00D844EA"/>
    <w:rsid w:val="00D86B06"/>
    <w:rsid w:val="00D92BA4"/>
    <w:rsid w:val="00DA28E0"/>
    <w:rsid w:val="00DB256B"/>
    <w:rsid w:val="00DB60DF"/>
    <w:rsid w:val="00DD24F1"/>
    <w:rsid w:val="00DD7833"/>
    <w:rsid w:val="00DE1344"/>
    <w:rsid w:val="00DE397D"/>
    <w:rsid w:val="00DE6B02"/>
    <w:rsid w:val="00DF467C"/>
    <w:rsid w:val="00DF58F2"/>
    <w:rsid w:val="00DF6359"/>
    <w:rsid w:val="00E069AB"/>
    <w:rsid w:val="00E17080"/>
    <w:rsid w:val="00E17285"/>
    <w:rsid w:val="00E2771F"/>
    <w:rsid w:val="00E33790"/>
    <w:rsid w:val="00E47E70"/>
    <w:rsid w:val="00E51120"/>
    <w:rsid w:val="00E5655D"/>
    <w:rsid w:val="00E61B95"/>
    <w:rsid w:val="00E62165"/>
    <w:rsid w:val="00E62390"/>
    <w:rsid w:val="00E756C6"/>
    <w:rsid w:val="00EA3105"/>
    <w:rsid w:val="00EA5DFD"/>
    <w:rsid w:val="00EC46B3"/>
    <w:rsid w:val="00EC4A2B"/>
    <w:rsid w:val="00EC5CBE"/>
    <w:rsid w:val="00ED1495"/>
    <w:rsid w:val="00ED56D6"/>
    <w:rsid w:val="00ED724E"/>
    <w:rsid w:val="00EE519A"/>
    <w:rsid w:val="00EF2E15"/>
    <w:rsid w:val="00EF3A97"/>
    <w:rsid w:val="00F01A9C"/>
    <w:rsid w:val="00F0729D"/>
    <w:rsid w:val="00F12A6C"/>
    <w:rsid w:val="00F22C8E"/>
    <w:rsid w:val="00F35074"/>
    <w:rsid w:val="00F434B0"/>
    <w:rsid w:val="00F43EB6"/>
    <w:rsid w:val="00F52FF6"/>
    <w:rsid w:val="00F551DF"/>
    <w:rsid w:val="00F5716E"/>
    <w:rsid w:val="00F66A4C"/>
    <w:rsid w:val="00F822D9"/>
    <w:rsid w:val="00F92BAE"/>
    <w:rsid w:val="00F954C6"/>
    <w:rsid w:val="00FA1CE9"/>
    <w:rsid w:val="00FB64E2"/>
    <w:rsid w:val="00FB7284"/>
    <w:rsid w:val="00FC3867"/>
    <w:rsid w:val="00FC3D5E"/>
    <w:rsid w:val="00FF28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9B49"/>
  <w15:chartTrackingRefBased/>
  <w15:docId w15:val="{70C85562-5E58-4EE5-97D8-8DBC07B7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729D"/>
    <w:pPr>
      <w:spacing w:before="120" w:line="360" w:lineRule="auto"/>
      <w:contextualSpacing/>
      <w:jc w:val="both"/>
    </w:pPr>
    <w:rPr>
      <w:rFonts w:ascii="Arial" w:hAnsi="Arial"/>
    </w:rPr>
  </w:style>
  <w:style w:type="paragraph" w:styleId="berschrift1">
    <w:name w:val="heading 1"/>
    <w:basedOn w:val="Standard"/>
    <w:next w:val="Standard"/>
    <w:link w:val="berschrift1Zchn"/>
    <w:uiPriority w:val="9"/>
    <w:qFormat/>
    <w:rsid w:val="004B62F8"/>
    <w:pPr>
      <w:keepNext/>
      <w:keepLines/>
      <w:numPr>
        <w:numId w:val="4"/>
      </w:numPr>
      <w:spacing w:before="240" w:after="0"/>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4B62F8"/>
    <w:pPr>
      <w:numPr>
        <w:ilvl w:val="1"/>
      </w:numPr>
      <w:outlineLvl w:val="1"/>
    </w:pPr>
  </w:style>
  <w:style w:type="paragraph" w:styleId="berschrift4">
    <w:name w:val="heading 4"/>
    <w:aliases w:val="Fußnote"/>
    <w:basedOn w:val="Funotentext"/>
    <w:next w:val="Funotentext"/>
    <w:link w:val="berschrift4Zchn"/>
    <w:uiPriority w:val="9"/>
    <w:unhideWhenUsed/>
    <w:qFormat/>
    <w:rsid w:val="0026520A"/>
    <w:pPr>
      <w:outlineLvl w:val="3"/>
    </w:pPr>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62F8"/>
    <w:rPr>
      <w:rFonts w:ascii="Arial" w:eastAsiaTheme="majorEastAsia" w:hAnsi="Arial" w:cstheme="majorBidi"/>
      <w:b/>
      <w:szCs w:val="32"/>
    </w:rPr>
  </w:style>
  <w:style w:type="numbering" w:customStyle="1" w:styleId="Formatvorlage1">
    <w:name w:val="Formatvorlage1"/>
    <w:uiPriority w:val="99"/>
    <w:rsid w:val="00F0729D"/>
    <w:pPr>
      <w:numPr>
        <w:numId w:val="1"/>
      </w:numPr>
    </w:pPr>
  </w:style>
  <w:style w:type="numbering" w:customStyle="1" w:styleId="FormatvorlageNummerierungBA">
    <w:name w:val="Formatvorlage Nummerierung BA"/>
    <w:uiPriority w:val="99"/>
    <w:rsid w:val="00F0729D"/>
    <w:pPr>
      <w:numPr>
        <w:numId w:val="2"/>
      </w:numPr>
    </w:pPr>
  </w:style>
  <w:style w:type="character" w:customStyle="1" w:styleId="berschrift1Zchn">
    <w:name w:val="Überschrift 1 Zchn"/>
    <w:basedOn w:val="Absatz-Standardschriftart"/>
    <w:link w:val="berschrift1"/>
    <w:uiPriority w:val="9"/>
    <w:rsid w:val="004B62F8"/>
    <w:rPr>
      <w:rFonts w:ascii="Arial" w:eastAsiaTheme="majorEastAsia" w:hAnsi="Arial" w:cstheme="majorBidi"/>
      <w:b/>
      <w:szCs w:val="32"/>
    </w:rPr>
  </w:style>
  <w:style w:type="character" w:customStyle="1" w:styleId="berschrift4Zchn">
    <w:name w:val="Überschrift 4 Zchn"/>
    <w:aliases w:val="Fußnote Zchn"/>
    <w:basedOn w:val="Absatz-Standardschriftart"/>
    <w:link w:val="berschrift4"/>
    <w:uiPriority w:val="9"/>
    <w:rsid w:val="0026520A"/>
    <w:rPr>
      <w:rFonts w:ascii="Times New Roman" w:eastAsia="Times New Roman" w:hAnsi="Times New Roman" w:cs="Times New Roman"/>
      <w:sz w:val="20"/>
      <w:szCs w:val="20"/>
    </w:rPr>
  </w:style>
  <w:style w:type="paragraph" w:styleId="Funotentext">
    <w:name w:val="footnote text"/>
    <w:basedOn w:val="Standard"/>
    <w:link w:val="FunotentextZchn"/>
    <w:uiPriority w:val="99"/>
    <w:semiHidden/>
    <w:unhideWhenUsed/>
    <w:rsid w:val="0026520A"/>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26520A"/>
    <w:rPr>
      <w:rFonts w:ascii="Arial" w:hAnsi="Arial"/>
      <w:sz w:val="20"/>
      <w:szCs w:val="20"/>
    </w:rPr>
  </w:style>
  <w:style w:type="table" w:styleId="Tabellenraster">
    <w:name w:val="Table Grid"/>
    <w:basedOn w:val="NormaleTabelle"/>
    <w:uiPriority w:val="39"/>
    <w:rsid w:val="00716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6146"/>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716146"/>
    <w:rPr>
      <w:rFonts w:ascii="Arial" w:hAnsi="Arial"/>
    </w:rPr>
  </w:style>
  <w:style w:type="paragraph" w:styleId="Fuzeile">
    <w:name w:val="footer"/>
    <w:basedOn w:val="Standard"/>
    <w:link w:val="FuzeileZchn"/>
    <w:uiPriority w:val="99"/>
    <w:unhideWhenUsed/>
    <w:rsid w:val="0071614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716146"/>
    <w:rPr>
      <w:rFonts w:ascii="Arial" w:hAnsi="Arial"/>
    </w:rPr>
  </w:style>
  <w:style w:type="character" w:styleId="Kommentarzeichen">
    <w:name w:val="annotation reference"/>
    <w:basedOn w:val="Absatz-Standardschriftart"/>
    <w:uiPriority w:val="99"/>
    <w:semiHidden/>
    <w:unhideWhenUsed/>
    <w:rsid w:val="0009407B"/>
    <w:rPr>
      <w:sz w:val="16"/>
      <w:szCs w:val="16"/>
    </w:rPr>
  </w:style>
  <w:style w:type="paragraph" w:styleId="Kommentartext">
    <w:name w:val="annotation text"/>
    <w:basedOn w:val="Standard"/>
    <w:link w:val="KommentartextZchn"/>
    <w:uiPriority w:val="99"/>
    <w:unhideWhenUsed/>
    <w:rsid w:val="0009407B"/>
    <w:pPr>
      <w:spacing w:line="240" w:lineRule="auto"/>
    </w:pPr>
    <w:rPr>
      <w:sz w:val="20"/>
      <w:szCs w:val="20"/>
    </w:rPr>
  </w:style>
  <w:style w:type="character" w:customStyle="1" w:styleId="KommentartextZchn">
    <w:name w:val="Kommentartext Zchn"/>
    <w:basedOn w:val="Absatz-Standardschriftart"/>
    <w:link w:val="Kommentartext"/>
    <w:uiPriority w:val="99"/>
    <w:rsid w:val="0009407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9407B"/>
    <w:rPr>
      <w:b/>
      <w:bCs/>
    </w:rPr>
  </w:style>
  <w:style w:type="character" w:customStyle="1" w:styleId="KommentarthemaZchn">
    <w:name w:val="Kommentarthema Zchn"/>
    <w:basedOn w:val="KommentartextZchn"/>
    <w:link w:val="Kommentarthema"/>
    <w:uiPriority w:val="99"/>
    <w:semiHidden/>
    <w:rsid w:val="0009407B"/>
    <w:rPr>
      <w:rFonts w:ascii="Arial" w:hAnsi="Arial"/>
      <w:b/>
      <w:bCs/>
      <w:sz w:val="20"/>
      <w:szCs w:val="20"/>
    </w:rPr>
  </w:style>
  <w:style w:type="character" w:styleId="Hyperlink">
    <w:name w:val="Hyperlink"/>
    <w:basedOn w:val="Absatz-Standardschriftart"/>
    <w:uiPriority w:val="99"/>
    <w:unhideWhenUsed/>
    <w:rsid w:val="00CA58EF"/>
    <w:rPr>
      <w:color w:val="0563C1" w:themeColor="hyperlink"/>
      <w:u w:val="single"/>
    </w:rPr>
  </w:style>
  <w:style w:type="character" w:styleId="NichtaufgelsteErwhnung">
    <w:name w:val="Unresolved Mention"/>
    <w:basedOn w:val="Absatz-Standardschriftart"/>
    <w:uiPriority w:val="99"/>
    <w:semiHidden/>
    <w:unhideWhenUsed/>
    <w:rsid w:val="00CA58EF"/>
    <w:rPr>
      <w:color w:val="605E5C"/>
      <w:shd w:val="clear" w:color="auto" w:fill="E1DFDD"/>
    </w:rPr>
  </w:style>
  <w:style w:type="paragraph" w:styleId="Listenabsatz">
    <w:name w:val="List Paragraph"/>
    <w:basedOn w:val="Standard"/>
    <w:uiPriority w:val="34"/>
    <w:qFormat/>
    <w:rsid w:val="00D27F92"/>
    <w:pPr>
      <w:ind w:left="720"/>
    </w:pPr>
  </w:style>
  <w:style w:type="character" w:styleId="BesuchterLink">
    <w:name w:val="FollowedHyperlink"/>
    <w:basedOn w:val="Absatz-Standardschriftart"/>
    <w:uiPriority w:val="99"/>
    <w:semiHidden/>
    <w:unhideWhenUsed/>
    <w:rsid w:val="00EE51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480">
      <w:bodyDiv w:val="1"/>
      <w:marLeft w:val="0"/>
      <w:marRight w:val="0"/>
      <w:marTop w:val="0"/>
      <w:marBottom w:val="0"/>
      <w:divBdr>
        <w:top w:val="none" w:sz="0" w:space="0" w:color="auto"/>
        <w:left w:val="none" w:sz="0" w:space="0" w:color="auto"/>
        <w:bottom w:val="none" w:sz="0" w:space="0" w:color="auto"/>
        <w:right w:val="none" w:sz="0" w:space="0" w:color="auto"/>
      </w:divBdr>
      <w:divsChild>
        <w:div w:id="369379933">
          <w:marLeft w:val="0"/>
          <w:marRight w:val="0"/>
          <w:marTop w:val="0"/>
          <w:marBottom w:val="0"/>
          <w:divBdr>
            <w:top w:val="none" w:sz="0" w:space="0" w:color="auto"/>
            <w:left w:val="none" w:sz="0" w:space="0" w:color="auto"/>
            <w:bottom w:val="none" w:sz="0" w:space="0" w:color="auto"/>
            <w:right w:val="none" w:sz="0" w:space="0" w:color="auto"/>
          </w:divBdr>
          <w:divsChild>
            <w:div w:id="10623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0872">
      <w:bodyDiv w:val="1"/>
      <w:marLeft w:val="0"/>
      <w:marRight w:val="0"/>
      <w:marTop w:val="0"/>
      <w:marBottom w:val="0"/>
      <w:divBdr>
        <w:top w:val="none" w:sz="0" w:space="0" w:color="auto"/>
        <w:left w:val="none" w:sz="0" w:space="0" w:color="auto"/>
        <w:bottom w:val="none" w:sz="0" w:space="0" w:color="auto"/>
        <w:right w:val="none" w:sz="0" w:space="0" w:color="auto"/>
      </w:divBdr>
      <w:divsChild>
        <w:div w:id="1244030526">
          <w:marLeft w:val="0"/>
          <w:marRight w:val="0"/>
          <w:marTop w:val="0"/>
          <w:marBottom w:val="0"/>
          <w:divBdr>
            <w:top w:val="none" w:sz="0" w:space="0" w:color="auto"/>
            <w:left w:val="none" w:sz="0" w:space="0" w:color="auto"/>
            <w:bottom w:val="none" w:sz="0" w:space="0" w:color="auto"/>
            <w:right w:val="none" w:sz="0" w:space="0" w:color="auto"/>
          </w:divBdr>
          <w:divsChild>
            <w:div w:id="9249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6977">
      <w:bodyDiv w:val="1"/>
      <w:marLeft w:val="0"/>
      <w:marRight w:val="0"/>
      <w:marTop w:val="0"/>
      <w:marBottom w:val="0"/>
      <w:divBdr>
        <w:top w:val="none" w:sz="0" w:space="0" w:color="auto"/>
        <w:left w:val="none" w:sz="0" w:space="0" w:color="auto"/>
        <w:bottom w:val="none" w:sz="0" w:space="0" w:color="auto"/>
        <w:right w:val="none" w:sz="0" w:space="0" w:color="auto"/>
      </w:divBdr>
    </w:div>
    <w:div w:id="145174232">
      <w:bodyDiv w:val="1"/>
      <w:marLeft w:val="0"/>
      <w:marRight w:val="0"/>
      <w:marTop w:val="0"/>
      <w:marBottom w:val="0"/>
      <w:divBdr>
        <w:top w:val="none" w:sz="0" w:space="0" w:color="auto"/>
        <w:left w:val="none" w:sz="0" w:space="0" w:color="auto"/>
        <w:bottom w:val="none" w:sz="0" w:space="0" w:color="auto"/>
        <w:right w:val="none" w:sz="0" w:space="0" w:color="auto"/>
      </w:divBdr>
    </w:div>
    <w:div w:id="192159221">
      <w:bodyDiv w:val="1"/>
      <w:marLeft w:val="0"/>
      <w:marRight w:val="0"/>
      <w:marTop w:val="0"/>
      <w:marBottom w:val="0"/>
      <w:divBdr>
        <w:top w:val="none" w:sz="0" w:space="0" w:color="auto"/>
        <w:left w:val="none" w:sz="0" w:space="0" w:color="auto"/>
        <w:bottom w:val="none" w:sz="0" w:space="0" w:color="auto"/>
        <w:right w:val="none" w:sz="0" w:space="0" w:color="auto"/>
      </w:divBdr>
    </w:div>
    <w:div w:id="389156478">
      <w:bodyDiv w:val="1"/>
      <w:marLeft w:val="0"/>
      <w:marRight w:val="0"/>
      <w:marTop w:val="0"/>
      <w:marBottom w:val="0"/>
      <w:divBdr>
        <w:top w:val="none" w:sz="0" w:space="0" w:color="auto"/>
        <w:left w:val="none" w:sz="0" w:space="0" w:color="auto"/>
        <w:bottom w:val="none" w:sz="0" w:space="0" w:color="auto"/>
        <w:right w:val="none" w:sz="0" w:space="0" w:color="auto"/>
      </w:divBdr>
    </w:div>
    <w:div w:id="423652834">
      <w:bodyDiv w:val="1"/>
      <w:marLeft w:val="0"/>
      <w:marRight w:val="0"/>
      <w:marTop w:val="0"/>
      <w:marBottom w:val="0"/>
      <w:divBdr>
        <w:top w:val="none" w:sz="0" w:space="0" w:color="auto"/>
        <w:left w:val="none" w:sz="0" w:space="0" w:color="auto"/>
        <w:bottom w:val="none" w:sz="0" w:space="0" w:color="auto"/>
        <w:right w:val="none" w:sz="0" w:space="0" w:color="auto"/>
      </w:divBdr>
    </w:div>
    <w:div w:id="542407399">
      <w:bodyDiv w:val="1"/>
      <w:marLeft w:val="0"/>
      <w:marRight w:val="0"/>
      <w:marTop w:val="0"/>
      <w:marBottom w:val="0"/>
      <w:divBdr>
        <w:top w:val="none" w:sz="0" w:space="0" w:color="auto"/>
        <w:left w:val="none" w:sz="0" w:space="0" w:color="auto"/>
        <w:bottom w:val="none" w:sz="0" w:space="0" w:color="auto"/>
        <w:right w:val="none" w:sz="0" w:space="0" w:color="auto"/>
      </w:divBdr>
    </w:div>
    <w:div w:id="666052777">
      <w:bodyDiv w:val="1"/>
      <w:marLeft w:val="0"/>
      <w:marRight w:val="0"/>
      <w:marTop w:val="0"/>
      <w:marBottom w:val="0"/>
      <w:divBdr>
        <w:top w:val="none" w:sz="0" w:space="0" w:color="auto"/>
        <w:left w:val="none" w:sz="0" w:space="0" w:color="auto"/>
        <w:bottom w:val="none" w:sz="0" w:space="0" w:color="auto"/>
        <w:right w:val="none" w:sz="0" w:space="0" w:color="auto"/>
      </w:divBdr>
    </w:div>
    <w:div w:id="678773683">
      <w:bodyDiv w:val="1"/>
      <w:marLeft w:val="0"/>
      <w:marRight w:val="0"/>
      <w:marTop w:val="0"/>
      <w:marBottom w:val="0"/>
      <w:divBdr>
        <w:top w:val="none" w:sz="0" w:space="0" w:color="auto"/>
        <w:left w:val="none" w:sz="0" w:space="0" w:color="auto"/>
        <w:bottom w:val="none" w:sz="0" w:space="0" w:color="auto"/>
        <w:right w:val="none" w:sz="0" w:space="0" w:color="auto"/>
      </w:divBdr>
    </w:div>
    <w:div w:id="953290683">
      <w:bodyDiv w:val="1"/>
      <w:marLeft w:val="0"/>
      <w:marRight w:val="0"/>
      <w:marTop w:val="0"/>
      <w:marBottom w:val="0"/>
      <w:divBdr>
        <w:top w:val="none" w:sz="0" w:space="0" w:color="auto"/>
        <w:left w:val="none" w:sz="0" w:space="0" w:color="auto"/>
        <w:bottom w:val="none" w:sz="0" w:space="0" w:color="auto"/>
        <w:right w:val="none" w:sz="0" w:space="0" w:color="auto"/>
      </w:divBdr>
    </w:div>
    <w:div w:id="1007708008">
      <w:bodyDiv w:val="1"/>
      <w:marLeft w:val="0"/>
      <w:marRight w:val="0"/>
      <w:marTop w:val="0"/>
      <w:marBottom w:val="0"/>
      <w:divBdr>
        <w:top w:val="none" w:sz="0" w:space="0" w:color="auto"/>
        <w:left w:val="none" w:sz="0" w:space="0" w:color="auto"/>
        <w:bottom w:val="none" w:sz="0" w:space="0" w:color="auto"/>
        <w:right w:val="none" w:sz="0" w:space="0" w:color="auto"/>
      </w:divBdr>
      <w:divsChild>
        <w:div w:id="1960067989">
          <w:marLeft w:val="0"/>
          <w:marRight w:val="0"/>
          <w:marTop w:val="0"/>
          <w:marBottom w:val="0"/>
          <w:divBdr>
            <w:top w:val="none" w:sz="0" w:space="0" w:color="auto"/>
            <w:left w:val="none" w:sz="0" w:space="0" w:color="auto"/>
            <w:bottom w:val="none" w:sz="0" w:space="0" w:color="auto"/>
            <w:right w:val="none" w:sz="0" w:space="0" w:color="auto"/>
          </w:divBdr>
        </w:div>
      </w:divsChild>
    </w:div>
    <w:div w:id="1218514348">
      <w:bodyDiv w:val="1"/>
      <w:marLeft w:val="0"/>
      <w:marRight w:val="0"/>
      <w:marTop w:val="0"/>
      <w:marBottom w:val="0"/>
      <w:divBdr>
        <w:top w:val="none" w:sz="0" w:space="0" w:color="auto"/>
        <w:left w:val="none" w:sz="0" w:space="0" w:color="auto"/>
        <w:bottom w:val="none" w:sz="0" w:space="0" w:color="auto"/>
        <w:right w:val="none" w:sz="0" w:space="0" w:color="auto"/>
      </w:divBdr>
      <w:divsChild>
        <w:div w:id="150681492">
          <w:marLeft w:val="0"/>
          <w:marRight w:val="0"/>
          <w:marTop w:val="0"/>
          <w:marBottom w:val="0"/>
          <w:divBdr>
            <w:top w:val="none" w:sz="0" w:space="0" w:color="auto"/>
            <w:left w:val="none" w:sz="0" w:space="0" w:color="auto"/>
            <w:bottom w:val="none" w:sz="0" w:space="0" w:color="auto"/>
            <w:right w:val="none" w:sz="0" w:space="0" w:color="auto"/>
          </w:divBdr>
          <w:divsChild>
            <w:div w:id="403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79140">
      <w:bodyDiv w:val="1"/>
      <w:marLeft w:val="0"/>
      <w:marRight w:val="0"/>
      <w:marTop w:val="0"/>
      <w:marBottom w:val="0"/>
      <w:divBdr>
        <w:top w:val="none" w:sz="0" w:space="0" w:color="auto"/>
        <w:left w:val="none" w:sz="0" w:space="0" w:color="auto"/>
        <w:bottom w:val="none" w:sz="0" w:space="0" w:color="auto"/>
        <w:right w:val="none" w:sz="0" w:space="0" w:color="auto"/>
      </w:divBdr>
    </w:div>
    <w:div w:id="1422264400">
      <w:bodyDiv w:val="1"/>
      <w:marLeft w:val="0"/>
      <w:marRight w:val="0"/>
      <w:marTop w:val="0"/>
      <w:marBottom w:val="0"/>
      <w:divBdr>
        <w:top w:val="none" w:sz="0" w:space="0" w:color="auto"/>
        <w:left w:val="none" w:sz="0" w:space="0" w:color="auto"/>
        <w:bottom w:val="none" w:sz="0" w:space="0" w:color="auto"/>
        <w:right w:val="none" w:sz="0" w:space="0" w:color="auto"/>
      </w:divBdr>
    </w:div>
    <w:div w:id="1536038418">
      <w:bodyDiv w:val="1"/>
      <w:marLeft w:val="0"/>
      <w:marRight w:val="0"/>
      <w:marTop w:val="0"/>
      <w:marBottom w:val="0"/>
      <w:divBdr>
        <w:top w:val="none" w:sz="0" w:space="0" w:color="auto"/>
        <w:left w:val="none" w:sz="0" w:space="0" w:color="auto"/>
        <w:bottom w:val="none" w:sz="0" w:space="0" w:color="auto"/>
        <w:right w:val="none" w:sz="0" w:space="0" w:color="auto"/>
      </w:divBdr>
    </w:div>
    <w:div w:id="1695232320">
      <w:bodyDiv w:val="1"/>
      <w:marLeft w:val="0"/>
      <w:marRight w:val="0"/>
      <w:marTop w:val="0"/>
      <w:marBottom w:val="0"/>
      <w:divBdr>
        <w:top w:val="none" w:sz="0" w:space="0" w:color="auto"/>
        <w:left w:val="none" w:sz="0" w:space="0" w:color="auto"/>
        <w:bottom w:val="none" w:sz="0" w:space="0" w:color="auto"/>
        <w:right w:val="none" w:sz="0" w:space="0" w:color="auto"/>
      </w:divBdr>
      <w:divsChild>
        <w:div w:id="649090233">
          <w:marLeft w:val="0"/>
          <w:marRight w:val="0"/>
          <w:marTop w:val="0"/>
          <w:marBottom w:val="0"/>
          <w:divBdr>
            <w:top w:val="none" w:sz="0" w:space="0" w:color="auto"/>
            <w:left w:val="none" w:sz="0" w:space="0" w:color="auto"/>
            <w:bottom w:val="none" w:sz="0" w:space="0" w:color="auto"/>
            <w:right w:val="none" w:sz="0" w:space="0" w:color="auto"/>
          </w:divBdr>
          <w:divsChild>
            <w:div w:id="9703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6178">
      <w:bodyDiv w:val="1"/>
      <w:marLeft w:val="0"/>
      <w:marRight w:val="0"/>
      <w:marTop w:val="0"/>
      <w:marBottom w:val="0"/>
      <w:divBdr>
        <w:top w:val="none" w:sz="0" w:space="0" w:color="auto"/>
        <w:left w:val="none" w:sz="0" w:space="0" w:color="auto"/>
        <w:bottom w:val="none" w:sz="0" w:space="0" w:color="auto"/>
        <w:right w:val="none" w:sz="0" w:space="0" w:color="auto"/>
      </w:divBdr>
    </w:div>
    <w:div w:id="18714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psycnet.apa.org/record/2003-07169-011" TargetMode="External"/><Relationship Id="rId2" Type="http://schemas.openxmlformats.org/officeDocument/2006/relationships/hyperlink" Target="https://archive.org/details/denkachsenzurthe0000unse/page/n5/mode/2up" TargetMode="External"/><Relationship Id="rId1" Type="http://schemas.openxmlformats.org/officeDocument/2006/relationships/hyperlink" Target="https://psycnet.apa.org/record/2003-07169-003?errorCode=invalidAcces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nbnresolving.org/urn:nbn:de:0168-ssoar-1545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111/soc4.12533"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804-023-09448-5"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11810</Words>
  <Characters>74410</Characters>
  <Application>Microsoft Office Word</Application>
  <DocSecurity>0</DocSecurity>
  <Lines>620</Lines>
  <Paragraphs>172</Paragraphs>
  <ScaleCrop>false</ScaleCrop>
  <Company/>
  <LinksUpToDate>false</LinksUpToDate>
  <CharactersWithSpaces>86048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Veenema</dc:creator>
  <cp:keywords/>
  <dc:description/>
  <cp:lastModifiedBy>Amelie Veenema</cp:lastModifiedBy>
  <cp:revision>362</cp:revision>
  <dcterms:created xsi:type="dcterms:W3CDTF">2023-10-02T07:18:00Z</dcterms:created>
  <dcterms:modified xsi:type="dcterms:W3CDTF">2023-10-12T14:32:00Z</dcterms:modified>
</cp:coreProperties>
</file>